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color w:val="000000"/>
          <w:sz w:val="36"/>
          <w:szCs w:val="36"/>
        </w:rPr>
      </w:pPr>
      <w:r>
        <w:rPr>
          <w:rFonts w:hint="eastAsia" w:ascii="隶书" w:hAnsi="宋体" w:eastAsia="隶书" w:cs="隶书"/>
          <w:color w:val="000000"/>
          <w:sz w:val="36"/>
          <w:szCs w:val="36"/>
        </w:rPr>
        <w:t>管理体系审核记录表</w:t>
      </w:r>
    </w:p>
    <w:tbl>
      <w:tblPr>
        <w:tblStyle w:val="14"/>
        <w:tblW w:w="14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842"/>
        <w:gridCol w:w="11607"/>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1474" w:type="dxa"/>
            <w:vMerge w:val="restart"/>
            <w:vAlign w:val="center"/>
          </w:tcPr>
          <w:p>
            <w:pPr>
              <w:spacing w:before="120" w:line="320" w:lineRule="exact"/>
              <w:rPr>
                <w:rFonts w:ascii="Times New Roman" w:hAnsi="Times New Roman"/>
              </w:rPr>
            </w:pPr>
            <w:r>
              <w:rPr>
                <w:rFonts w:ascii="Times New Roman" w:hAnsi="Times New Roman"/>
              </w:rPr>
              <w:t>过程与活动、抽样计划</w:t>
            </w:r>
          </w:p>
        </w:tc>
        <w:tc>
          <w:tcPr>
            <w:tcW w:w="842" w:type="dxa"/>
            <w:vMerge w:val="restart"/>
            <w:vAlign w:val="center"/>
          </w:tcPr>
          <w:p>
            <w:pPr>
              <w:spacing w:line="320" w:lineRule="exact"/>
              <w:rPr>
                <w:rFonts w:ascii="Times New Roman" w:hAnsi="Times New Roman"/>
              </w:rPr>
            </w:pPr>
            <w:r>
              <w:rPr>
                <w:rFonts w:ascii="Times New Roman" w:hAnsi="Times New Roman"/>
              </w:rPr>
              <w:t>涉及</w:t>
            </w:r>
          </w:p>
          <w:p>
            <w:pPr>
              <w:spacing w:line="320" w:lineRule="exact"/>
              <w:rPr>
                <w:rFonts w:ascii="Times New Roman" w:hAnsi="Times New Roman"/>
              </w:rPr>
            </w:pPr>
            <w:r>
              <w:rPr>
                <w:rFonts w:ascii="Times New Roman" w:hAnsi="Times New Roman"/>
              </w:rPr>
              <w:t>条款</w:t>
            </w:r>
          </w:p>
        </w:tc>
        <w:tc>
          <w:tcPr>
            <w:tcW w:w="11607" w:type="dxa"/>
            <w:vAlign w:val="center"/>
          </w:tcPr>
          <w:p>
            <w:pPr>
              <w:spacing w:line="320" w:lineRule="exact"/>
              <w:rPr>
                <w:rFonts w:hint="eastAsia" w:ascii="Times New Roman" w:hAnsi="Times New Roman" w:eastAsia="宋体"/>
                <w:lang w:eastAsia="zh-CN"/>
              </w:rPr>
            </w:pPr>
            <w:r>
              <w:rPr>
                <w:rFonts w:ascii="Times New Roman" w:hAnsi="Times New Roman"/>
              </w:rPr>
              <w:t>受审核部门：</w:t>
            </w:r>
            <w:r>
              <w:rPr>
                <w:rFonts w:hint="eastAsia" w:ascii="Times New Roman" w:hAnsi="Times New Roman"/>
                <w:lang w:val="en-US" w:eastAsia="zh-CN"/>
              </w:rPr>
              <w:t>商务</w:t>
            </w:r>
            <w:r>
              <w:rPr>
                <w:rFonts w:ascii="Times New Roman" w:hAnsi="Times New Roman"/>
              </w:rPr>
              <w:t xml:space="preserve">部        </w:t>
            </w:r>
            <w:r>
              <w:rPr>
                <w:rFonts w:hint="eastAsia"/>
                <w:lang w:val="en-US" w:eastAsia="zh-CN"/>
              </w:rPr>
              <w:t xml:space="preserve"> </w:t>
            </w:r>
            <w:r>
              <w:rPr>
                <w:rFonts w:ascii="Times New Roman" w:hAnsi="Times New Roman"/>
              </w:rPr>
              <w:t>主管领导：</w:t>
            </w:r>
            <w:r>
              <w:rPr>
                <w:rFonts w:hint="eastAsia"/>
                <w:lang w:eastAsia="zh-CN"/>
              </w:rPr>
              <w:t>耿星华</w:t>
            </w:r>
            <w:r>
              <w:rPr>
                <w:rFonts w:hint="eastAsia" w:ascii="Times New Roman" w:hAnsi="Times New Roman"/>
                <w:lang w:val="en-US" w:eastAsia="zh-CN"/>
              </w:rPr>
              <w:t xml:space="preserve"> </w:t>
            </w:r>
            <w:r>
              <w:rPr>
                <w:rFonts w:hint="eastAsia" w:ascii="Times New Roman" w:hAnsi="Times New Roman"/>
              </w:rPr>
              <w:t xml:space="preserve">       </w:t>
            </w:r>
            <w:r>
              <w:rPr>
                <w:rFonts w:hint="eastAsia" w:ascii="Times New Roman" w:hAnsi="Times New Roman"/>
                <w:lang w:val="en-US" w:eastAsia="zh-CN"/>
              </w:rPr>
              <w:t xml:space="preserve">    </w:t>
            </w:r>
            <w:r>
              <w:rPr>
                <w:rFonts w:hint="eastAsia" w:ascii="Times New Roman" w:hAnsi="Times New Roman"/>
              </w:rPr>
              <w:t xml:space="preserve"> </w:t>
            </w:r>
            <w:r>
              <w:rPr>
                <w:rFonts w:ascii="Times New Roman" w:hAnsi="Times New Roman"/>
              </w:rPr>
              <w:t>陪同人员：</w:t>
            </w:r>
            <w:r>
              <w:rPr>
                <w:rFonts w:hint="eastAsia" w:ascii="Times New Roman" w:hAnsi="Times New Roman"/>
                <w:lang w:val="en-US" w:eastAsia="zh-CN"/>
              </w:rPr>
              <w:t xml:space="preserve"> </w:t>
            </w:r>
            <w:r>
              <w:rPr>
                <w:rFonts w:hint="eastAsia"/>
                <w:lang w:val="en-US" w:eastAsia="zh-CN"/>
              </w:rPr>
              <w:t>段家亮</w:t>
            </w:r>
          </w:p>
        </w:tc>
        <w:tc>
          <w:tcPr>
            <w:tcW w:w="959" w:type="dxa"/>
            <w:vMerge w:val="restart"/>
            <w:vAlign w:val="center"/>
          </w:tcPr>
          <w:p>
            <w:pPr>
              <w:spacing w:line="320" w:lineRule="exact"/>
              <w:rPr>
                <w:rFonts w:ascii="Times New Roman" w:hAnsi="Times New Roman"/>
              </w:rPr>
            </w:pPr>
            <w:r>
              <w:rPr>
                <w:rFonts w:ascii="Times New Roman" w:hAnsi="Times New Roma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474" w:type="dxa"/>
            <w:vMerge w:val="continue"/>
            <w:vAlign w:val="center"/>
          </w:tcPr>
          <w:p>
            <w:pPr>
              <w:spacing w:line="320" w:lineRule="exact"/>
              <w:rPr>
                <w:rFonts w:ascii="Times New Roman" w:hAnsi="Times New Roman"/>
              </w:rPr>
            </w:pPr>
          </w:p>
        </w:tc>
        <w:tc>
          <w:tcPr>
            <w:tcW w:w="842" w:type="dxa"/>
            <w:vMerge w:val="continue"/>
            <w:vAlign w:val="center"/>
          </w:tcPr>
          <w:p>
            <w:pPr>
              <w:spacing w:line="320" w:lineRule="exact"/>
              <w:rPr>
                <w:rFonts w:ascii="Times New Roman" w:hAnsi="Times New Roman"/>
              </w:rPr>
            </w:pPr>
          </w:p>
        </w:tc>
        <w:tc>
          <w:tcPr>
            <w:tcW w:w="11607" w:type="dxa"/>
            <w:vAlign w:val="center"/>
          </w:tcPr>
          <w:p>
            <w:pPr>
              <w:spacing w:before="120" w:line="320" w:lineRule="exact"/>
              <w:rPr>
                <w:rFonts w:hint="eastAsia" w:ascii="Times New Roman" w:hAnsi="Times New Roman" w:eastAsia="宋体"/>
                <w:lang w:val="en-US" w:eastAsia="zh-CN"/>
              </w:rPr>
            </w:pPr>
            <w:r>
              <w:rPr>
                <w:rFonts w:ascii="Times New Roman" w:hAnsi="Times New Roman"/>
              </w:rPr>
              <w:t>审核员：吉洁</w:t>
            </w:r>
            <w:r>
              <w:rPr>
                <w:rFonts w:hint="eastAsia"/>
                <w:lang w:eastAsia="zh-CN"/>
              </w:rPr>
              <w:t>（远程审核，视频，语音，文件传输）</w:t>
            </w:r>
            <w:r>
              <w:rPr>
                <w:rFonts w:ascii="Times New Roman" w:hAnsi="Times New Roman"/>
              </w:rPr>
              <w:t xml:space="preserve">   </w:t>
            </w:r>
            <w:r>
              <w:rPr>
                <w:rFonts w:hint="eastAsia"/>
                <w:lang w:val="en-US" w:eastAsia="zh-CN"/>
              </w:rPr>
              <w:t xml:space="preserve">    </w:t>
            </w:r>
            <w:r>
              <w:rPr>
                <w:rFonts w:ascii="Times New Roman" w:hAnsi="Times New Roman"/>
              </w:rPr>
              <w:t>审核时间：</w:t>
            </w:r>
            <w:r>
              <w:rPr>
                <w:rFonts w:hint="eastAsia"/>
                <w:lang w:val="en-US" w:eastAsia="zh-CN"/>
              </w:rPr>
              <w:t>2022年12月6日</w:t>
            </w:r>
            <w:r>
              <w:rPr>
                <w:rFonts w:hint="eastAsia" w:ascii="Times New Roman" w:hAnsi="Times New Roman"/>
                <w:lang w:val="en-US" w:eastAsia="zh-CN"/>
              </w:rPr>
              <w:t xml:space="preserve"> </w:t>
            </w:r>
          </w:p>
        </w:tc>
        <w:tc>
          <w:tcPr>
            <w:tcW w:w="959" w:type="dxa"/>
            <w:vMerge w:val="continue"/>
            <w:vAlign w:val="top"/>
          </w:tcPr>
          <w:p>
            <w:pPr>
              <w:spacing w:line="32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474" w:type="dxa"/>
            <w:vMerge w:val="continue"/>
            <w:vAlign w:val="center"/>
          </w:tcPr>
          <w:p>
            <w:pPr>
              <w:spacing w:line="320" w:lineRule="exact"/>
              <w:rPr>
                <w:rFonts w:ascii="Times New Roman" w:hAnsi="Times New Roman"/>
              </w:rPr>
            </w:pPr>
          </w:p>
        </w:tc>
        <w:tc>
          <w:tcPr>
            <w:tcW w:w="842" w:type="dxa"/>
            <w:vMerge w:val="continue"/>
            <w:vAlign w:val="center"/>
          </w:tcPr>
          <w:p>
            <w:pPr>
              <w:spacing w:line="320" w:lineRule="exact"/>
              <w:rPr>
                <w:rFonts w:ascii="Times New Roman" w:hAnsi="Times New Roman"/>
              </w:rPr>
            </w:pPr>
          </w:p>
        </w:tc>
        <w:tc>
          <w:tcPr>
            <w:tcW w:w="11607" w:type="dxa"/>
            <w:vAlign w:val="center"/>
          </w:tcPr>
          <w:p>
            <w:pPr>
              <w:spacing w:line="320" w:lineRule="exact"/>
              <w:rPr>
                <w:rFonts w:ascii="Times New Roman" w:hAnsi="Times New Roman"/>
              </w:rPr>
            </w:pPr>
            <w:r>
              <w:rPr>
                <w:rFonts w:ascii="Times New Roman" w:hAnsi="Times New Roman"/>
              </w:rPr>
              <w:t>审核条款：EO5.3/6.1.2/6.2/8.1/8.2</w:t>
            </w:r>
          </w:p>
        </w:tc>
        <w:tc>
          <w:tcPr>
            <w:tcW w:w="959" w:type="dxa"/>
            <w:vMerge w:val="continue"/>
            <w:vAlign w:val="top"/>
          </w:tcPr>
          <w:p>
            <w:pPr>
              <w:spacing w:line="32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74" w:type="dxa"/>
            <w:vAlign w:val="center"/>
          </w:tcPr>
          <w:p>
            <w:pPr>
              <w:spacing w:line="320" w:lineRule="exact"/>
              <w:rPr>
                <w:rFonts w:ascii="Times New Roman" w:hAnsi="Times New Roman"/>
              </w:rPr>
            </w:pPr>
            <w:r>
              <w:rPr>
                <w:rFonts w:ascii="Times New Roman" w:hAnsi="Times New Roman"/>
              </w:rPr>
              <w:t>组织的岗位、职责权限</w:t>
            </w:r>
          </w:p>
        </w:tc>
        <w:tc>
          <w:tcPr>
            <w:tcW w:w="842" w:type="dxa"/>
            <w:vAlign w:val="center"/>
          </w:tcPr>
          <w:p>
            <w:pPr>
              <w:spacing w:line="320" w:lineRule="exact"/>
              <w:rPr>
                <w:rFonts w:ascii="Times New Roman" w:hAnsi="Times New Roman"/>
              </w:rPr>
            </w:pPr>
            <w:r>
              <w:rPr>
                <w:rFonts w:ascii="Times New Roman" w:hAnsi="Times New Roman"/>
              </w:rPr>
              <w:t>EO</w:t>
            </w:r>
          </w:p>
          <w:p>
            <w:pPr>
              <w:spacing w:line="320" w:lineRule="exact"/>
              <w:rPr>
                <w:rFonts w:ascii="Times New Roman" w:hAnsi="Times New Roman"/>
              </w:rPr>
            </w:pPr>
            <w:r>
              <w:rPr>
                <w:rFonts w:ascii="Times New Roman" w:hAnsi="Times New Roman"/>
              </w:rPr>
              <w:t>5.3</w:t>
            </w:r>
          </w:p>
        </w:tc>
        <w:tc>
          <w:tcPr>
            <w:tcW w:w="11607" w:type="dxa"/>
            <w:vAlign w:val="center"/>
          </w:tcPr>
          <w:p>
            <w:pPr>
              <w:spacing w:line="320" w:lineRule="exact"/>
              <w:rPr>
                <w:rFonts w:hint="eastAsia"/>
                <w:lang w:eastAsia="zh-CN"/>
              </w:rPr>
            </w:pPr>
            <w:r>
              <w:rPr>
                <w:rFonts w:hint="eastAsia"/>
                <w:lang w:eastAsia="zh-CN"/>
              </w:rPr>
              <w:t>商务部主管：耿星华</w:t>
            </w:r>
            <w:r>
              <w:rPr>
                <w:rFonts w:hint="eastAsia" w:ascii="Times New Roman" w:hAnsi="Times New Roman"/>
                <w:lang w:val="en-US" w:eastAsia="zh-CN"/>
              </w:rPr>
              <w:t xml:space="preserve"> </w:t>
            </w:r>
            <w:r>
              <w:rPr>
                <w:rFonts w:hint="eastAsia" w:ascii="Times New Roman" w:hAnsi="Times New Roman"/>
              </w:rPr>
              <w:t xml:space="preserve"> </w:t>
            </w:r>
          </w:p>
          <w:p>
            <w:pPr>
              <w:spacing w:line="320" w:lineRule="exact"/>
              <w:rPr>
                <w:rFonts w:hint="eastAsia" w:ascii="Times New Roman" w:hAnsi="Times New Roman" w:eastAsia="宋体"/>
                <w:lang w:eastAsia="zh-CN"/>
              </w:rPr>
            </w:pPr>
            <w:r>
              <w:rPr>
                <w:rFonts w:hint="eastAsia"/>
                <w:lang w:eastAsia="zh-CN"/>
              </w:rPr>
              <w:t>商务部</w:t>
            </w:r>
            <w:r>
              <w:rPr>
                <w:rFonts w:ascii="Times New Roman" w:hAnsi="Times New Roman"/>
              </w:rPr>
              <w:t>主要负责：</w:t>
            </w:r>
            <w:r>
              <w:rPr>
                <w:rFonts w:hint="eastAsia" w:ascii="宋体" w:hAnsi="宋体"/>
                <w:szCs w:val="21"/>
              </w:rPr>
              <w:t>主持</w:t>
            </w:r>
            <w:r>
              <w:rPr>
                <w:rFonts w:hint="eastAsia" w:ascii="宋体" w:hAnsi="宋体"/>
                <w:szCs w:val="21"/>
                <w:lang w:eastAsia="zh-CN"/>
              </w:rPr>
              <w:t>公司</w:t>
            </w:r>
            <w:r>
              <w:rPr>
                <w:rFonts w:hint="eastAsia" w:ascii="宋体" w:hAnsi="宋体"/>
                <w:szCs w:val="21"/>
              </w:rPr>
              <w:t>的投标预算、方案编制、图纸会审、投标答疑、业务洽谈、以及合同评审，指导检查主管部室和分支机构实施经营工作的情况</w:t>
            </w:r>
            <w:r>
              <w:rPr>
                <w:rFonts w:ascii="Times New Roman" w:hAnsi="Times New Roman"/>
              </w:rPr>
              <w:t>；</w:t>
            </w:r>
            <w:r>
              <w:rPr>
                <w:rFonts w:hint="eastAsia"/>
                <w:lang w:eastAsia="zh-CN"/>
              </w:rPr>
              <w:t>组织人员参与工程开标会，项目浅谈与谈判，本部门</w:t>
            </w:r>
            <w:r>
              <w:rPr>
                <w:rFonts w:ascii="Times New Roman" w:hAnsi="Times New Roman"/>
              </w:rPr>
              <w:t>环境因素危险源的识别与控制、公司目标方案的执行、应急准备和相应</w:t>
            </w:r>
            <w:r>
              <w:rPr>
                <w:rFonts w:hint="eastAsia"/>
                <w:lang w:eastAsia="zh-CN"/>
              </w:rPr>
              <w:t>等工作及领导交办的其他工作。</w:t>
            </w:r>
          </w:p>
          <w:p>
            <w:pPr>
              <w:spacing w:line="320" w:lineRule="exact"/>
              <w:rPr>
                <w:rFonts w:ascii="Times New Roman" w:hAnsi="Times New Roman"/>
              </w:rPr>
            </w:pPr>
            <w:r>
              <w:rPr>
                <w:rFonts w:ascii="Times New Roman" w:hAnsi="Times New Roman"/>
              </w:rPr>
              <w:t>负责人对本部门的职责和权限以及工作流程清楚、明确完成本部门的目标指标，对工作要求明确。</w:t>
            </w:r>
          </w:p>
        </w:tc>
        <w:tc>
          <w:tcPr>
            <w:tcW w:w="959" w:type="dxa"/>
            <w:vAlign w:val="top"/>
          </w:tcPr>
          <w:p>
            <w:pPr>
              <w:spacing w:line="320" w:lineRule="exact"/>
              <w:rPr>
                <w:rFonts w:hint="eastAsia" w:ascii="Times New Roman" w:hAnsi="Times New Roman"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74" w:type="dxa"/>
            <w:vAlign w:val="center"/>
          </w:tcPr>
          <w:p>
            <w:pPr>
              <w:spacing w:line="320" w:lineRule="exact"/>
              <w:rPr>
                <w:rFonts w:ascii="Times New Roman" w:hAnsi="Times New Roman"/>
              </w:rPr>
            </w:pPr>
            <w:r>
              <w:rPr>
                <w:rFonts w:ascii="Times New Roman" w:hAnsi="Times New Roman"/>
              </w:rPr>
              <w:t>目标和方案</w:t>
            </w:r>
          </w:p>
        </w:tc>
        <w:tc>
          <w:tcPr>
            <w:tcW w:w="842" w:type="dxa"/>
            <w:vAlign w:val="center"/>
          </w:tcPr>
          <w:p>
            <w:pPr>
              <w:spacing w:line="320" w:lineRule="exact"/>
              <w:rPr>
                <w:rFonts w:ascii="Times New Roman" w:hAnsi="Times New Roman"/>
              </w:rPr>
            </w:pPr>
            <w:r>
              <w:rPr>
                <w:rFonts w:ascii="Times New Roman" w:hAnsi="Times New Roman"/>
              </w:rPr>
              <w:t>EO</w:t>
            </w:r>
          </w:p>
          <w:p>
            <w:pPr>
              <w:spacing w:line="320" w:lineRule="exact"/>
              <w:rPr>
                <w:rFonts w:ascii="Times New Roman" w:hAnsi="Times New Roman"/>
              </w:rPr>
            </w:pPr>
            <w:r>
              <w:rPr>
                <w:rFonts w:ascii="Times New Roman" w:hAnsi="Times New Roman"/>
              </w:rPr>
              <w:t>6.2</w:t>
            </w:r>
          </w:p>
        </w:tc>
        <w:tc>
          <w:tcPr>
            <w:tcW w:w="11607" w:type="dxa"/>
            <w:vAlign w:val="center"/>
          </w:tcPr>
          <w:p>
            <w:pPr>
              <w:spacing w:line="320" w:lineRule="exact"/>
              <w:rPr>
                <w:rFonts w:ascii="Times New Roman" w:hAnsi="Times New Roman"/>
              </w:rPr>
            </w:pPr>
            <w:r>
              <w:rPr>
                <w:rFonts w:hint="eastAsia"/>
                <w:lang w:eastAsia="zh-CN"/>
              </w:rPr>
              <w:t>商务部</w:t>
            </w:r>
            <w:r>
              <w:rPr>
                <w:rFonts w:ascii="Times New Roman" w:hAnsi="Times New Roman"/>
              </w:rPr>
              <w:t>部门目标：</w:t>
            </w:r>
          </w:p>
          <w:tbl>
            <w:tblPr>
              <w:tblStyle w:val="14"/>
              <w:tblpPr w:leftFromText="180" w:rightFromText="180" w:vertAnchor="text" w:horzAnchor="page" w:tblpX="178" w:tblpY="212"/>
              <w:tblOverlap w:val="never"/>
              <w:tblW w:w="85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455"/>
              <w:gridCol w:w="2590"/>
              <w:gridCol w:w="1400"/>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trPr>
              <w:tc>
                <w:tcPr>
                  <w:tcW w:w="776" w:type="dxa"/>
                  <w:vAlign w:val="center"/>
                </w:tcPr>
                <w:p>
                  <w:pPr>
                    <w:spacing w:line="320" w:lineRule="exact"/>
                    <w:rPr>
                      <w:rFonts w:hint="eastAsia" w:ascii="Times New Roman" w:hAnsi="Times New Roman" w:eastAsia="宋体" w:cs="Times New Roman"/>
                      <w:lang w:val="en-US" w:eastAsia="zh-CN"/>
                    </w:rPr>
                  </w:pPr>
                </w:p>
              </w:tc>
              <w:tc>
                <w:tcPr>
                  <w:tcW w:w="2455" w:type="dxa"/>
                  <w:vAlign w:val="center"/>
                </w:tcPr>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目标</w:t>
                  </w:r>
                </w:p>
              </w:tc>
              <w:tc>
                <w:tcPr>
                  <w:tcW w:w="2590" w:type="dxa"/>
                  <w:vAlign w:val="center"/>
                </w:tcPr>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指标</w:t>
                  </w:r>
                </w:p>
              </w:tc>
              <w:tc>
                <w:tcPr>
                  <w:tcW w:w="1400" w:type="dxa"/>
                  <w:vAlign w:val="center"/>
                </w:tcPr>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第2季度</w:t>
                  </w:r>
                </w:p>
              </w:tc>
              <w:tc>
                <w:tcPr>
                  <w:tcW w:w="1330" w:type="dxa"/>
                  <w:vAlign w:val="center"/>
                </w:tcPr>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第3季度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776" w:type="dxa"/>
                  <w:vMerge w:val="restart"/>
                  <w:vAlign w:val="center"/>
                </w:tcPr>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环境</w:t>
                  </w:r>
                </w:p>
              </w:tc>
              <w:tc>
                <w:tcPr>
                  <w:tcW w:w="2455" w:type="dxa"/>
                  <w:vAlign w:val="center"/>
                </w:tcPr>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1.营销车辆废汽排放符合相关标准</w:t>
                  </w:r>
                </w:p>
              </w:tc>
              <w:tc>
                <w:tcPr>
                  <w:tcW w:w="2590" w:type="dxa"/>
                  <w:vAlign w:val="center"/>
                </w:tcPr>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2.营销车辆废汽排放达标率100%</w:t>
                  </w:r>
                </w:p>
              </w:tc>
              <w:tc>
                <w:tcPr>
                  <w:tcW w:w="1400" w:type="dxa"/>
                  <w:vAlign w:val="center"/>
                </w:tcPr>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100%</w:t>
                  </w:r>
                </w:p>
              </w:tc>
              <w:tc>
                <w:tcPr>
                  <w:tcW w:w="1330" w:type="dxa"/>
                  <w:vAlign w:val="center"/>
                </w:tcPr>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76" w:type="dxa"/>
                  <w:vMerge w:val="continue"/>
                  <w:vAlign w:val="center"/>
                </w:tcPr>
                <w:p>
                  <w:pPr>
                    <w:spacing w:line="320" w:lineRule="exact"/>
                    <w:rPr>
                      <w:rFonts w:hint="eastAsia" w:ascii="Times New Roman" w:hAnsi="Times New Roman" w:eastAsia="宋体" w:cs="Times New Roman"/>
                      <w:lang w:val="en-US" w:eastAsia="zh-CN"/>
                    </w:rPr>
                  </w:pPr>
                </w:p>
              </w:tc>
              <w:tc>
                <w:tcPr>
                  <w:tcW w:w="2455" w:type="dxa"/>
                  <w:vAlign w:val="center"/>
                </w:tcPr>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2.本部门废弃物分类、集中收集</w:t>
                  </w:r>
                </w:p>
              </w:tc>
              <w:tc>
                <w:tcPr>
                  <w:tcW w:w="2590" w:type="dxa"/>
                  <w:vAlign w:val="center"/>
                </w:tcPr>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3.本部门固体废弃物统一处理率达100%</w:t>
                  </w:r>
                </w:p>
              </w:tc>
              <w:tc>
                <w:tcPr>
                  <w:tcW w:w="1400" w:type="dxa"/>
                  <w:vAlign w:val="center"/>
                </w:tcPr>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100%</w:t>
                  </w:r>
                </w:p>
              </w:tc>
              <w:tc>
                <w:tcPr>
                  <w:tcW w:w="1330" w:type="dxa"/>
                  <w:vAlign w:val="center"/>
                </w:tcPr>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776" w:type="dxa"/>
                  <w:vMerge w:val="restart"/>
                  <w:vAlign w:val="center"/>
                </w:tcPr>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职业健康</w:t>
                  </w:r>
                </w:p>
              </w:tc>
              <w:tc>
                <w:tcPr>
                  <w:tcW w:w="2455" w:type="dxa"/>
                  <w:vAlign w:val="center"/>
                </w:tcPr>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1.无重大交通事故发生</w:t>
                  </w:r>
                </w:p>
              </w:tc>
              <w:tc>
                <w:tcPr>
                  <w:tcW w:w="2590" w:type="dxa"/>
                  <w:vAlign w:val="center"/>
                </w:tcPr>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重大交通事故为0</w:t>
                  </w:r>
                </w:p>
              </w:tc>
              <w:tc>
                <w:tcPr>
                  <w:tcW w:w="1400" w:type="dxa"/>
                  <w:vAlign w:val="center"/>
                </w:tcPr>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未发生</w:t>
                  </w:r>
                </w:p>
              </w:tc>
              <w:tc>
                <w:tcPr>
                  <w:tcW w:w="1330" w:type="dxa"/>
                  <w:vAlign w:val="center"/>
                </w:tcPr>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776" w:type="dxa"/>
                  <w:vMerge w:val="continue"/>
                  <w:vAlign w:val="center"/>
                </w:tcPr>
                <w:p>
                  <w:pPr>
                    <w:spacing w:line="320" w:lineRule="exact"/>
                    <w:rPr>
                      <w:rFonts w:hint="eastAsia" w:ascii="Times New Roman" w:hAnsi="Times New Roman" w:eastAsia="宋体" w:cs="Times New Roman"/>
                      <w:lang w:val="en-US" w:eastAsia="zh-CN"/>
                    </w:rPr>
                  </w:pPr>
                </w:p>
              </w:tc>
              <w:tc>
                <w:tcPr>
                  <w:tcW w:w="2455" w:type="dxa"/>
                  <w:vAlign w:val="center"/>
                </w:tcPr>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2.无火灾事故发生</w:t>
                  </w:r>
                </w:p>
              </w:tc>
              <w:tc>
                <w:tcPr>
                  <w:tcW w:w="2590" w:type="dxa"/>
                  <w:vAlign w:val="center"/>
                </w:tcPr>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火灾事故发生率为0</w:t>
                  </w:r>
                </w:p>
              </w:tc>
              <w:tc>
                <w:tcPr>
                  <w:tcW w:w="1400" w:type="dxa"/>
                  <w:vAlign w:val="center"/>
                </w:tcPr>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未发生</w:t>
                  </w:r>
                </w:p>
              </w:tc>
              <w:tc>
                <w:tcPr>
                  <w:tcW w:w="1330" w:type="dxa"/>
                  <w:vAlign w:val="center"/>
                </w:tcPr>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76" w:type="dxa"/>
                  <w:vAlign w:val="center"/>
                </w:tcPr>
                <w:p>
                  <w:pPr>
                    <w:spacing w:line="320" w:lineRule="exact"/>
                    <w:rPr>
                      <w:rFonts w:hint="eastAsia" w:ascii="Times New Roman" w:hAnsi="Times New Roman" w:eastAsia="宋体" w:cs="Times New Roman"/>
                      <w:lang w:val="en-US" w:eastAsia="zh-CN"/>
                    </w:rPr>
                  </w:pPr>
                </w:p>
              </w:tc>
              <w:tc>
                <w:tcPr>
                  <w:tcW w:w="2455" w:type="dxa"/>
                  <w:vAlign w:val="center"/>
                </w:tcPr>
                <w:p>
                  <w:pPr>
                    <w:spacing w:line="320" w:lineRule="exact"/>
                    <w:rPr>
                      <w:rFonts w:hint="eastAsia" w:ascii="Times New Roman" w:hAnsi="Times New Roman" w:eastAsia="宋体" w:cs="Times New Roman"/>
                      <w:lang w:val="en-US" w:eastAsia="zh-CN"/>
                    </w:rPr>
                  </w:pPr>
                </w:p>
              </w:tc>
              <w:tc>
                <w:tcPr>
                  <w:tcW w:w="2590" w:type="dxa"/>
                  <w:vAlign w:val="center"/>
                </w:tcPr>
                <w:p>
                  <w:pPr>
                    <w:spacing w:line="320" w:lineRule="exact"/>
                    <w:rPr>
                      <w:rFonts w:hint="eastAsia" w:ascii="Times New Roman" w:hAnsi="Times New Roman" w:eastAsia="宋体" w:cs="Times New Roman"/>
                      <w:lang w:val="en-US" w:eastAsia="zh-CN"/>
                    </w:rPr>
                  </w:pPr>
                </w:p>
              </w:tc>
              <w:tc>
                <w:tcPr>
                  <w:tcW w:w="1400" w:type="dxa"/>
                  <w:vAlign w:val="center"/>
                </w:tcPr>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张鹏</w:t>
                  </w:r>
                </w:p>
              </w:tc>
              <w:tc>
                <w:tcPr>
                  <w:tcW w:w="1330" w:type="dxa"/>
                  <w:vAlign w:val="center"/>
                </w:tcPr>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张鹏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776" w:type="dxa"/>
                  <w:vAlign w:val="center"/>
                </w:tcPr>
                <w:p>
                  <w:pPr>
                    <w:spacing w:line="320" w:lineRule="exact"/>
                    <w:rPr>
                      <w:rFonts w:hint="eastAsia" w:ascii="Times New Roman" w:hAnsi="Times New Roman" w:eastAsia="宋体" w:cs="Times New Roman"/>
                      <w:lang w:val="en-US" w:eastAsia="zh-CN"/>
                    </w:rPr>
                  </w:pPr>
                </w:p>
              </w:tc>
              <w:tc>
                <w:tcPr>
                  <w:tcW w:w="2455" w:type="dxa"/>
                  <w:vAlign w:val="center"/>
                </w:tcPr>
                <w:p>
                  <w:pPr>
                    <w:spacing w:line="320" w:lineRule="exact"/>
                    <w:rPr>
                      <w:rFonts w:hint="eastAsia" w:ascii="Times New Roman" w:hAnsi="Times New Roman" w:eastAsia="宋体" w:cs="Times New Roman"/>
                      <w:lang w:val="en-US" w:eastAsia="zh-CN"/>
                    </w:rPr>
                  </w:pPr>
                </w:p>
              </w:tc>
              <w:tc>
                <w:tcPr>
                  <w:tcW w:w="2590" w:type="dxa"/>
                  <w:vAlign w:val="center"/>
                </w:tcPr>
                <w:p>
                  <w:pPr>
                    <w:spacing w:line="320" w:lineRule="exact"/>
                    <w:rPr>
                      <w:rFonts w:hint="eastAsia" w:ascii="Times New Roman" w:hAnsi="Times New Roman" w:eastAsia="宋体" w:cs="Times New Roman"/>
                      <w:lang w:val="en-US" w:eastAsia="zh-CN"/>
                    </w:rPr>
                  </w:pPr>
                </w:p>
              </w:tc>
              <w:tc>
                <w:tcPr>
                  <w:tcW w:w="1400" w:type="dxa"/>
                  <w:vAlign w:val="center"/>
                </w:tcPr>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2022.7.5</w:t>
                  </w:r>
                </w:p>
              </w:tc>
              <w:tc>
                <w:tcPr>
                  <w:tcW w:w="1330" w:type="dxa"/>
                  <w:vAlign w:val="center"/>
                </w:tcPr>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2022.10.6</w:t>
                  </w:r>
                </w:p>
              </w:tc>
            </w:tr>
          </w:tbl>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hint="eastAsia" w:ascii="Times New Roman" w:hAnsi="Times New Roman" w:eastAsia="宋体"/>
                <w:lang w:eastAsia="zh-CN"/>
              </w:rPr>
            </w:pPr>
            <w:r>
              <w:rPr>
                <w:rFonts w:ascii="Times New Roman" w:hAnsi="Times New Roman"/>
              </w:rPr>
              <w:t>对以上的目标指标制定了管理方案，同</w:t>
            </w:r>
            <w:r>
              <w:rPr>
                <w:rFonts w:hint="eastAsia"/>
                <w:lang w:eastAsia="zh-CN"/>
              </w:rPr>
              <w:t>总经办。</w:t>
            </w:r>
          </w:p>
        </w:tc>
        <w:tc>
          <w:tcPr>
            <w:tcW w:w="959" w:type="dxa"/>
            <w:vAlign w:val="top"/>
          </w:tcPr>
          <w:p>
            <w:pPr>
              <w:spacing w:line="320" w:lineRule="exact"/>
              <w:rPr>
                <w:rFonts w:hint="eastAsia" w:ascii="Times New Roman" w:hAnsi="Times New Roman"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8" w:hRule="atLeast"/>
        </w:trPr>
        <w:tc>
          <w:tcPr>
            <w:tcW w:w="1474" w:type="dxa"/>
            <w:vAlign w:val="center"/>
          </w:tcPr>
          <w:p>
            <w:pPr>
              <w:spacing w:line="320" w:lineRule="exact"/>
              <w:rPr>
                <w:rFonts w:ascii="Times New Roman" w:hAnsi="Times New Roman"/>
              </w:rPr>
            </w:pPr>
            <w:r>
              <w:rPr>
                <w:rFonts w:ascii="Times New Roman" w:hAnsi="Times New Roman"/>
              </w:rPr>
              <w:t>环境因素、危险源辨识评价和控制措施的确定</w:t>
            </w:r>
          </w:p>
        </w:tc>
        <w:tc>
          <w:tcPr>
            <w:tcW w:w="842" w:type="dxa"/>
            <w:vAlign w:val="center"/>
          </w:tcPr>
          <w:p>
            <w:pPr>
              <w:spacing w:line="320" w:lineRule="exact"/>
              <w:rPr>
                <w:rFonts w:ascii="Times New Roman" w:hAnsi="Times New Roman"/>
              </w:rPr>
            </w:pPr>
            <w:r>
              <w:rPr>
                <w:rFonts w:ascii="Times New Roman" w:hAnsi="Times New Roman"/>
              </w:rPr>
              <w:t>EO</w:t>
            </w:r>
          </w:p>
          <w:p>
            <w:pPr>
              <w:spacing w:line="320" w:lineRule="exact"/>
              <w:rPr>
                <w:rFonts w:ascii="Times New Roman" w:hAnsi="Times New Roman"/>
              </w:rPr>
            </w:pPr>
            <w:r>
              <w:rPr>
                <w:rFonts w:ascii="Times New Roman" w:hAnsi="Times New Roman"/>
              </w:rPr>
              <w:t>6.1.2</w:t>
            </w:r>
          </w:p>
        </w:tc>
        <w:tc>
          <w:tcPr>
            <w:tcW w:w="11607" w:type="dxa"/>
            <w:vAlign w:val="center"/>
          </w:tcPr>
          <w:p>
            <w:pPr>
              <w:spacing w:line="320" w:lineRule="exact"/>
              <w:rPr>
                <w:rFonts w:hint="eastAsia" w:ascii="Times New Roman" w:hAnsi="Times New Roman" w:eastAsia="宋体" w:cs="Times New Roman"/>
                <w:lang w:val="en-US" w:eastAsia="zh-CN"/>
              </w:rPr>
            </w:pPr>
            <w:r>
              <w:rPr>
                <w:rFonts w:hint="eastAsia"/>
                <w:lang w:eastAsia="zh-CN"/>
              </w:rPr>
              <w:t>执行公司</w:t>
            </w:r>
            <w:r>
              <w:rPr>
                <w:rFonts w:hint="eastAsia" w:ascii="Times New Roman" w:hAnsi="Times New Roman" w:eastAsia="宋体" w:cs="Times New Roman"/>
                <w:lang w:val="en-US" w:eastAsia="zh-CN"/>
              </w:rPr>
              <w:t>《环境因素识别与评价控制程序》《危险源辨识、风险评价及控制措施的确定控制程序》。</w:t>
            </w:r>
          </w:p>
          <w:p>
            <w:pPr>
              <w:spacing w:line="320" w:lineRule="exact"/>
              <w:rPr>
                <w:rFonts w:hint="eastAsia" w:ascii="Times New Roman" w:hAnsi="Times New Roman" w:eastAsia="宋体"/>
                <w:lang w:eastAsia="zh-CN"/>
              </w:rPr>
            </w:pPr>
            <w:r>
              <w:rPr>
                <w:rFonts w:ascii="Times New Roman" w:hAnsi="Times New Roman"/>
              </w:rPr>
              <w:t>提供</w:t>
            </w:r>
            <w:r>
              <w:rPr>
                <w:rFonts w:hint="eastAsia"/>
                <w:lang w:eastAsia="zh-CN"/>
              </w:rPr>
              <w:t>了商务部</w:t>
            </w:r>
            <w:r>
              <w:rPr>
                <w:rFonts w:hint="eastAsia" w:ascii="Times New Roman" w:hAnsi="Times New Roman" w:eastAsia="宋体" w:cs="Times New Roman"/>
                <w:lang w:eastAsia="zh-CN"/>
              </w:rPr>
              <w:t>《环境因素清单及识别、评价表》</w:t>
            </w:r>
            <w:r>
              <w:rPr>
                <w:rFonts w:ascii="Times New Roman" w:hAnsi="Times New Roman"/>
              </w:rPr>
              <w:t>，</w:t>
            </w:r>
            <w:r>
              <w:rPr>
                <w:rFonts w:hint="eastAsia"/>
                <w:lang w:eastAsia="zh-CN"/>
              </w:rPr>
              <w:t>商务部识别出环境因素</w:t>
            </w:r>
            <w:r>
              <w:rPr>
                <w:rFonts w:ascii="Times New Roman" w:hAnsi="Times New Roman"/>
              </w:rPr>
              <w:t>包括固废排放、火灾的发生、</w:t>
            </w:r>
            <w:r>
              <w:rPr>
                <w:rFonts w:hint="eastAsia"/>
                <w:lang w:eastAsia="zh-CN"/>
              </w:rPr>
              <w:t>日常办公水电资源消耗</w:t>
            </w:r>
            <w:r>
              <w:rPr>
                <w:rFonts w:ascii="Times New Roman" w:hAnsi="Times New Roman"/>
              </w:rPr>
              <w:t>等。可以提供《重要环境因素清单》，其中</w:t>
            </w:r>
            <w:r>
              <w:rPr>
                <w:rFonts w:hint="eastAsia" w:ascii="Times New Roman" w:hAnsi="Times New Roman"/>
                <w:lang w:val="en-US" w:eastAsia="zh-CN"/>
              </w:rPr>
              <w:t>涉及商务部的</w:t>
            </w:r>
            <w:r>
              <w:rPr>
                <w:rFonts w:ascii="Times New Roman" w:hAnsi="Times New Roman"/>
              </w:rPr>
              <w:t>重要环境因素：固体废弃物排放、火灾的发生，评价准确</w:t>
            </w:r>
            <w:r>
              <w:rPr>
                <w:rFonts w:hint="eastAsia"/>
                <w:lang w:eastAsia="zh-CN"/>
              </w:rPr>
              <w:t>。</w:t>
            </w:r>
          </w:p>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提供了商务部《危险源辨识评价表》，通过活动过程对危险源进行了识别，商务部识别的危险源包括：总经办日常办公过程中的触电、火灾、从楼梯上摔伤、电梯伤害、交通事故、传染病感染等的风险，针对识别出的危险源制定了控制措施，采用LEC定量评价法评估出重大危险源，编制了《不可接受风险清单》，财务部不可接受风险有火灾、触电。</w:t>
            </w:r>
          </w:p>
          <w:p>
            <w:pPr>
              <w:spacing w:line="320" w:lineRule="exact"/>
              <w:rPr>
                <w:rFonts w:ascii="Times New Roman" w:hAnsi="Times New Roman"/>
              </w:rPr>
            </w:pPr>
            <w:r>
              <w:rPr>
                <w:rFonts w:ascii="Times New Roman" w:hAnsi="Times New Roman"/>
              </w:rPr>
              <w:t>提供《</w:t>
            </w:r>
            <w:r>
              <w:rPr>
                <w:rFonts w:hint="eastAsia"/>
                <w:lang w:eastAsia="zh-CN"/>
              </w:rPr>
              <w:t>不可接受风险</w:t>
            </w:r>
            <w:r>
              <w:rPr>
                <w:rFonts w:ascii="Times New Roman" w:hAnsi="Times New Roman"/>
              </w:rPr>
              <w:t>清单》，其中</w:t>
            </w:r>
            <w:r>
              <w:rPr>
                <w:rFonts w:hint="eastAsia" w:ascii="Times New Roman" w:hAnsi="Times New Roman"/>
                <w:lang w:val="en-US" w:eastAsia="zh-CN"/>
              </w:rPr>
              <w:t>涉及商务部的</w:t>
            </w:r>
            <w:r>
              <w:rPr>
                <w:rFonts w:hint="eastAsia"/>
                <w:lang w:eastAsia="zh-CN"/>
              </w:rPr>
              <w:t>不可接受风险</w:t>
            </w:r>
            <w:r>
              <w:rPr>
                <w:rFonts w:ascii="Times New Roman" w:hAnsi="Times New Roman"/>
              </w:rPr>
              <w:t>：</w:t>
            </w:r>
            <w:r>
              <w:rPr>
                <w:rFonts w:ascii="Times New Roman" w:hAnsi="Times New Roman"/>
                <w:color w:val="000000"/>
                <w:sz w:val="20"/>
                <w:szCs w:val="20"/>
              </w:rPr>
              <w:t>火灾事故的发生、触电</w:t>
            </w:r>
            <w:r>
              <w:rPr>
                <w:rFonts w:ascii="Times New Roman" w:hAnsi="Times New Roman"/>
              </w:rPr>
              <w:t>，评价准确</w:t>
            </w:r>
          </w:p>
        </w:tc>
        <w:tc>
          <w:tcPr>
            <w:tcW w:w="959" w:type="dxa"/>
            <w:vAlign w:val="top"/>
          </w:tcPr>
          <w:p>
            <w:pPr>
              <w:spacing w:line="320" w:lineRule="exact"/>
              <w:rPr>
                <w:rFonts w:hint="eastAsia" w:ascii="Times New Roman" w:hAnsi="Times New Roman"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3" w:hRule="atLeast"/>
        </w:trPr>
        <w:tc>
          <w:tcPr>
            <w:tcW w:w="1474" w:type="dxa"/>
            <w:vAlign w:val="center"/>
          </w:tcPr>
          <w:p>
            <w:pPr>
              <w:spacing w:line="320" w:lineRule="exact"/>
              <w:rPr>
                <w:rFonts w:ascii="Times New Roman" w:hAnsi="Times New Roman"/>
              </w:rPr>
            </w:pPr>
            <w:r>
              <w:rPr>
                <w:rFonts w:ascii="Times New Roman" w:hAnsi="Times New Roman"/>
              </w:rPr>
              <w:t>运行控制</w:t>
            </w:r>
          </w:p>
        </w:tc>
        <w:tc>
          <w:tcPr>
            <w:tcW w:w="842" w:type="dxa"/>
            <w:vAlign w:val="center"/>
          </w:tcPr>
          <w:p>
            <w:pPr>
              <w:spacing w:line="320" w:lineRule="exact"/>
              <w:rPr>
                <w:rFonts w:ascii="Times New Roman" w:hAnsi="Times New Roman"/>
              </w:rPr>
            </w:pPr>
            <w:r>
              <w:rPr>
                <w:rFonts w:ascii="Times New Roman" w:hAnsi="Times New Roman"/>
              </w:rPr>
              <w:t>EO</w:t>
            </w:r>
          </w:p>
          <w:p>
            <w:pPr>
              <w:spacing w:line="320" w:lineRule="exact"/>
              <w:rPr>
                <w:rFonts w:ascii="Times New Roman" w:hAnsi="Times New Roman"/>
              </w:rPr>
            </w:pPr>
            <w:r>
              <w:rPr>
                <w:rFonts w:ascii="Times New Roman" w:hAnsi="Times New Roman"/>
              </w:rPr>
              <w:t>8.1</w:t>
            </w:r>
          </w:p>
        </w:tc>
        <w:tc>
          <w:tcPr>
            <w:tcW w:w="11607" w:type="dxa"/>
            <w:vAlign w:val="center"/>
          </w:tcPr>
          <w:p>
            <w:pPr>
              <w:spacing w:line="320" w:lineRule="exact"/>
              <w:rPr>
                <w:rFonts w:hint="eastAsia" w:ascii="Times New Roman" w:hAnsi="Times New Roman" w:eastAsia="宋体" w:cs="Times New Roman"/>
                <w:lang w:eastAsia="zh-CN"/>
              </w:rPr>
            </w:pPr>
            <w:r>
              <w:rPr>
                <w:rFonts w:ascii="Times New Roman" w:hAnsi="Times New Roman"/>
              </w:rPr>
              <w:t>本部门应执行的运行控制文件包括：</w:t>
            </w:r>
            <w:r>
              <w:rPr>
                <w:rFonts w:hint="eastAsia"/>
                <w:lang w:eastAsia="zh-CN"/>
              </w:rPr>
              <w:t>环境</w:t>
            </w:r>
            <w:r>
              <w:rPr>
                <w:rFonts w:ascii="Times New Roman" w:hAnsi="Times New Roman"/>
              </w:rPr>
              <w:t>运行控制程序，固体废弃物管理规定、节能降耗管理</w:t>
            </w:r>
            <w:r>
              <w:rPr>
                <w:rFonts w:hint="eastAsia"/>
                <w:lang w:eastAsia="zh-CN"/>
              </w:rPr>
              <w:t>办法</w:t>
            </w:r>
            <w:r>
              <w:rPr>
                <w:rFonts w:ascii="Times New Roman" w:hAnsi="Times New Roman"/>
              </w:rPr>
              <w:t>、消防</w:t>
            </w:r>
            <w:r>
              <w:rPr>
                <w:rFonts w:hint="eastAsia"/>
                <w:lang w:eastAsia="zh-CN"/>
              </w:rPr>
              <w:t>管理</w:t>
            </w:r>
            <w:r>
              <w:rPr>
                <w:rFonts w:hint="eastAsia" w:ascii="Times New Roman" w:hAnsi="Times New Roman" w:eastAsia="宋体" w:cs="Times New Roman"/>
                <w:lang w:eastAsia="zh-CN"/>
              </w:rPr>
              <w:t>办法、</w:t>
            </w:r>
            <w:r>
              <w:rPr>
                <w:rFonts w:hint="eastAsia" w:ascii="Times New Roman" w:hAnsi="Times New Roman" w:eastAsia="宋体" w:cs="Times New Roman"/>
              </w:rPr>
              <w:t>职工健康与劳动保护管理办法</w:t>
            </w:r>
            <w:r>
              <w:rPr>
                <w:rFonts w:ascii="Times New Roman" w:hAnsi="Times New Roman" w:eastAsia="宋体" w:cs="Times New Roman"/>
              </w:rPr>
              <w:t>等</w:t>
            </w:r>
            <w:r>
              <w:rPr>
                <w:rFonts w:hint="eastAsia" w:ascii="Times New Roman" w:hAnsi="Times New Roman" w:eastAsia="宋体" w:cs="Times New Roman"/>
                <w:lang w:eastAsia="zh-CN"/>
              </w:rPr>
              <w:t>。</w:t>
            </w:r>
          </w:p>
          <w:p>
            <w:pPr>
              <w:spacing w:line="320" w:lineRule="exact"/>
              <w:rPr>
                <w:rFonts w:ascii="Times New Roman" w:hAnsi="Times New Roman"/>
              </w:rPr>
            </w:pPr>
            <w:r>
              <w:rPr>
                <w:rFonts w:ascii="Times New Roman" w:hAnsi="Times New Roman"/>
              </w:rPr>
              <w:t>运行控制情况</w:t>
            </w:r>
            <w:r>
              <w:rPr>
                <w:rFonts w:hint="eastAsia"/>
                <w:lang w:eastAsia="zh-CN"/>
              </w:rPr>
              <w:t>（通过视频、照片、文件等方式查看控制情况）</w:t>
            </w:r>
            <w:r>
              <w:rPr>
                <w:rFonts w:ascii="Times New Roman" w:hAnsi="Times New Roman"/>
              </w:rPr>
              <w:t>：</w:t>
            </w:r>
          </w:p>
          <w:p>
            <w:pPr>
              <w:spacing w:line="320" w:lineRule="exact"/>
              <w:rPr>
                <w:rFonts w:ascii="Times New Roman" w:hAnsi="Times New Roman"/>
              </w:rPr>
            </w:pPr>
            <w:r>
              <w:rPr>
                <w:rFonts w:ascii="Times New Roman" w:hAnsi="Times New Roman"/>
              </w:rPr>
              <w:t>1、</w:t>
            </w:r>
            <w:r>
              <w:rPr>
                <w:rFonts w:hint="eastAsia" w:ascii="Times New Roman" w:hAnsi="Times New Roman"/>
              </w:rPr>
              <w:t>办公</w:t>
            </w:r>
            <w:r>
              <w:rPr>
                <w:rFonts w:ascii="Times New Roman" w:hAnsi="Times New Roman"/>
              </w:rPr>
              <w:t>区域：污水：不涉及污水，没有污水排放</w:t>
            </w:r>
            <w:r>
              <w:rPr>
                <w:rFonts w:hint="eastAsia"/>
                <w:lang w:eastAsia="zh-CN"/>
              </w:rPr>
              <w:t>，清洁废水排入市政管网</w:t>
            </w:r>
            <w:r>
              <w:rPr>
                <w:rFonts w:ascii="Times New Roman" w:hAnsi="Times New Roman"/>
              </w:rPr>
              <w:t>。噪声：办公现场不产生明显噪声。</w:t>
            </w:r>
          </w:p>
          <w:p>
            <w:pPr>
              <w:spacing w:line="320" w:lineRule="exact"/>
              <w:rPr>
                <w:rFonts w:ascii="Times New Roman" w:hAnsi="Times New Roman"/>
              </w:rPr>
            </w:pPr>
            <w:r>
              <w:rPr>
                <w:rFonts w:ascii="Times New Roman" w:hAnsi="Times New Roman"/>
              </w:rPr>
              <w:t>固废：固体废物主要是办公产生废纸张等，配置了纸篓；办公用纸由</w:t>
            </w:r>
            <w:r>
              <w:rPr>
                <w:rFonts w:hint="eastAsia"/>
                <w:lang w:eastAsia="zh-CN"/>
              </w:rPr>
              <w:t>总经办</w:t>
            </w:r>
            <w:r>
              <w:rPr>
                <w:rFonts w:ascii="Times New Roman" w:hAnsi="Times New Roman"/>
              </w:rPr>
              <w:t>负责，复印、打印耗材都有</w:t>
            </w:r>
            <w:r>
              <w:rPr>
                <w:rFonts w:hint="eastAsia"/>
                <w:lang w:eastAsia="zh-CN"/>
              </w:rPr>
              <w:t>总经办</w:t>
            </w:r>
            <w:r>
              <w:rPr>
                <w:rFonts w:ascii="Times New Roman" w:hAnsi="Times New Roman"/>
              </w:rPr>
              <w:t>统一负责，集中处置。</w:t>
            </w:r>
          </w:p>
          <w:p>
            <w:pPr>
              <w:spacing w:line="320" w:lineRule="exact"/>
              <w:rPr>
                <w:rFonts w:hint="eastAsia" w:ascii="Times New Roman" w:hAnsi="Times New Roman" w:eastAsia="宋体"/>
                <w:lang w:eastAsia="zh-CN"/>
              </w:rPr>
            </w:pPr>
            <w:r>
              <w:rPr>
                <w:rFonts w:ascii="Times New Roman" w:hAnsi="Times New Roman"/>
              </w:rPr>
              <w:t>2、办公过程注意节约用电，做到人走灯灭，电脑长时间不用时关机，下班前要关闭电源，防止触电。</w:t>
            </w:r>
            <w:r>
              <w:rPr>
                <w:rFonts w:hint="eastAsia"/>
                <w:lang w:eastAsia="zh-CN"/>
              </w:rPr>
              <w:t>执行公司《节能降耗管理规定》。</w:t>
            </w:r>
          </w:p>
          <w:p>
            <w:pPr>
              <w:spacing w:line="320" w:lineRule="exact"/>
              <w:rPr>
                <w:rFonts w:ascii="Times New Roman" w:hAnsi="Times New Roman"/>
              </w:rPr>
            </w:pPr>
            <w:r>
              <w:rPr>
                <w:rFonts w:ascii="Times New Roman" w:hAnsi="Times New Roman"/>
              </w:rPr>
              <w:t>3、办公区域禁止吸烟，</w:t>
            </w:r>
            <w:r>
              <w:rPr>
                <w:rFonts w:hint="eastAsia"/>
                <w:lang w:eastAsia="zh-CN"/>
              </w:rPr>
              <w:t>视频</w:t>
            </w:r>
            <w:r>
              <w:rPr>
                <w:rFonts w:ascii="Times New Roman" w:hAnsi="Times New Roman"/>
              </w:rPr>
              <w:t>查看办公区域环境整洁、宽敞、办公设备状态良好、无安全隐患。</w:t>
            </w:r>
          </w:p>
          <w:p>
            <w:pPr>
              <w:spacing w:line="320" w:lineRule="exact"/>
              <w:rPr>
                <w:rFonts w:hint="eastAsia" w:ascii="Times New Roman" w:hAnsi="Times New Roman" w:eastAsia="宋体"/>
                <w:lang w:eastAsia="zh-CN"/>
              </w:rPr>
            </w:pPr>
            <w:r>
              <w:rPr>
                <w:rFonts w:ascii="Times New Roman" w:hAnsi="Times New Roman"/>
              </w:rPr>
              <w:t>4、工作时间平均每天不超过8小时。</w:t>
            </w:r>
            <w:r>
              <w:rPr>
                <w:rFonts w:hint="eastAsia"/>
                <w:lang w:eastAsia="zh-CN"/>
              </w:rPr>
              <w:t>公司为人员缴纳了社保。总经办负责统一发放劳保用品。</w:t>
            </w:r>
          </w:p>
          <w:p>
            <w:pPr>
              <w:spacing w:line="320" w:lineRule="exact"/>
              <w:rPr>
                <w:rFonts w:ascii="Times New Roman" w:hAnsi="Times New Roman"/>
              </w:rPr>
            </w:pPr>
            <w:r>
              <w:rPr>
                <w:rFonts w:ascii="Times New Roman" w:hAnsi="Times New Roman"/>
              </w:rPr>
              <w:t>5、办公区域整洁、光线充足，办公条件较好，办公设备安全状态良好，教育员工正确使用办公设备，现场用电基本规范，无乱拉线现象，防止火灾发生。</w:t>
            </w:r>
          </w:p>
          <w:p>
            <w:pPr>
              <w:spacing w:line="320" w:lineRule="exact"/>
              <w:rPr>
                <w:rFonts w:ascii="Times New Roman" w:hAnsi="Times New Roman"/>
              </w:rPr>
            </w:pPr>
            <w:r>
              <w:rPr>
                <w:rFonts w:ascii="Times New Roman" w:hAnsi="Times New Roman"/>
              </w:rPr>
              <w:t>6、相关方施加影响：公司能够控制或能够施加影响的相关方有顾客</w:t>
            </w:r>
            <w:r>
              <w:rPr>
                <w:rFonts w:hint="eastAsia"/>
                <w:lang w:eastAsia="zh-CN"/>
              </w:rPr>
              <w:t>、甲方、监理方</w:t>
            </w:r>
            <w:r>
              <w:rPr>
                <w:rFonts w:ascii="Times New Roman" w:hAnsi="Times New Roman"/>
              </w:rPr>
              <w:t>等。提供了“相关方告知书”，将公司的环境/安全控制要求发放到了所有</w:t>
            </w:r>
            <w:r>
              <w:rPr>
                <w:rFonts w:hint="eastAsia" w:ascii="Times New Roman" w:hAnsi="Times New Roman"/>
                <w:lang w:val="en-US" w:eastAsia="zh-CN"/>
              </w:rPr>
              <w:t>客户</w:t>
            </w:r>
            <w:r>
              <w:rPr>
                <w:rFonts w:ascii="Times New Roman" w:hAnsi="Times New Roman"/>
              </w:rPr>
              <w:t>相关方，督促影响各相关方按照环境/安全管理体系要求对环境/安全施加影响。在与顾客沟通和招投标时，通过选择适当时机向顾客宣传本公司的管理方针理念以及本公司的具体做法、成绩等，向顾客施加环境、职业健康安全的影响，增强顾客对本公司的信任程度。在接单过程中充分考虑客户所涉及到的环境及安全相关要求。</w:t>
            </w:r>
          </w:p>
          <w:p>
            <w:pPr>
              <w:spacing w:line="320" w:lineRule="exact"/>
              <w:rPr>
                <w:rFonts w:ascii="Times New Roman" w:hAnsi="Times New Roman"/>
              </w:rPr>
            </w:pPr>
            <w:r>
              <w:rPr>
                <w:rFonts w:ascii="Times New Roman" w:hAnsi="Times New Roman"/>
              </w:rPr>
              <w:t>7、要求遵守道路交通法规，不违章驾车，驾驶证和车辆定期年审，确保行车安全。</w:t>
            </w:r>
          </w:p>
        </w:tc>
        <w:tc>
          <w:tcPr>
            <w:tcW w:w="959" w:type="dxa"/>
            <w:vAlign w:val="top"/>
          </w:tcPr>
          <w:p>
            <w:pPr>
              <w:spacing w:line="320" w:lineRule="exact"/>
              <w:rPr>
                <w:rFonts w:ascii="Times New Roman" w:hAnsi="Times New Roman"/>
              </w:rPr>
            </w:pPr>
          </w:p>
          <w:p>
            <w:pPr>
              <w:spacing w:line="320" w:lineRule="exact"/>
              <w:rPr>
                <w:rFonts w:hint="eastAsia" w:ascii="Times New Roman" w:hAnsi="Times New Roman" w:eastAsia="宋体"/>
                <w:lang w:val="en-US" w:eastAsia="zh-CN"/>
              </w:rPr>
            </w:pPr>
            <w:r>
              <w:rPr>
                <w:rFonts w:hint="eastAsia"/>
                <w:lang w:val="en-US" w:eastAsia="zh-CN"/>
              </w:rPr>
              <w:t>Y</w:t>
            </w: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trPr>
        <w:tc>
          <w:tcPr>
            <w:tcW w:w="1474" w:type="dxa"/>
            <w:vAlign w:val="center"/>
          </w:tcPr>
          <w:p>
            <w:pPr>
              <w:spacing w:line="320" w:lineRule="exact"/>
              <w:rPr>
                <w:rFonts w:ascii="Times New Roman" w:hAnsi="Times New Roman"/>
              </w:rPr>
            </w:pPr>
            <w:r>
              <w:rPr>
                <w:rFonts w:ascii="Times New Roman" w:hAnsi="Times New Roman"/>
              </w:rPr>
              <w:t>应急准备和响应</w:t>
            </w:r>
          </w:p>
        </w:tc>
        <w:tc>
          <w:tcPr>
            <w:tcW w:w="842" w:type="dxa"/>
            <w:vAlign w:val="center"/>
          </w:tcPr>
          <w:p>
            <w:pPr>
              <w:spacing w:line="320" w:lineRule="exact"/>
              <w:rPr>
                <w:rFonts w:ascii="Times New Roman" w:hAnsi="Times New Roman"/>
              </w:rPr>
            </w:pPr>
            <w:r>
              <w:rPr>
                <w:rFonts w:ascii="Times New Roman" w:hAnsi="Times New Roman"/>
              </w:rPr>
              <w:t>EO</w:t>
            </w:r>
          </w:p>
          <w:p>
            <w:pPr>
              <w:spacing w:line="320" w:lineRule="exact"/>
              <w:rPr>
                <w:rFonts w:ascii="Times New Roman" w:hAnsi="Times New Roman"/>
              </w:rPr>
            </w:pPr>
            <w:r>
              <w:rPr>
                <w:rFonts w:ascii="Times New Roman" w:hAnsi="Times New Roman"/>
              </w:rPr>
              <w:t>8.2</w:t>
            </w:r>
          </w:p>
        </w:tc>
        <w:tc>
          <w:tcPr>
            <w:tcW w:w="11607" w:type="dxa"/>
            <w:vAlign w:val="center"/>
          </w:tcPr>
          <w:p>
            <w:pPr>
              <w:spacing w:line="320" w:lineRule="exact"/>
              <w:rPr>
                <w:rFonts w:hint="eastAsia"/>
                <w:lang w:eastAsia="zh-CN"/>
              </w:rPr>
            </w:pPr>
            <w:r>
              <w:rPr>
                <w:rFonts w:hint="eastAsia"/>
                <w:lang w:eastAsia="zh-CN"/>
              </w:rPr>
              <w:t>执行公司《应急准备和响应控制程序》。</w:t>
            </w:r>
          </w:p>
          <w:p>
            <w:pPr>
              <w:spacing w:line="320" w:lineRule="exact"/>
              <w:rPr>
                <w:rFonts w:hint="eastAsia"/>
                <w:lang w:eastAsia="zh-CN"/>
              </w:rPr>
            </w:pPr>
            <w:r>
              <w:rPr>
                <w:rFonts w:hint="eastAsia"/>
                <w:lang w:eastAsia="zh-CN"/>
              </w:rPr>
              <w:t>财务部2022年</w:t>
            </w:r>
            <w:r>
              <w:rPr>
                <w:rFonts w:hint="eastAsia"/>
                <w:lang w:val="en-US" w:eastAsia="zh-CN"/>
              </w:rPr>
              <w:t>5</w:t>
            </w:r>
            <w:r>
              <w:rPr>
                <w:rFonts w:hint="eastAsia"/>
                <w:lang w:eastAsia="zh-CN"/>
              </w:rPr>
              <w:t>月20日参加了公司组织的触电事故应急；</w:t>
            </w:r>
          </w:p>
          <w:p>
            <w:pPr>
              <w:spacing w:line="320" w:lineRule="exact"/>
              <w:rPr>
                <w:rFonts w:hint="eastAsia"/>
                <w:lang w:eastAsia="zh-CN"/>
              </w:rPr>
            </w:pPr>
            <w:r>
              <w:rPr>
                <w:rFonts w:hint="eastAsia"/>
                <w:lang w:eastAsia="zh-CN"/>
              </w:rPr>
              <w:t>2022年</w:t>
            </w:r>
            <w:r>
              <w:rPr>
                <w:rFonts w:hint="eastAsia"/>
                <w:lang w:val="en-US" w:eastAsia="zh-CN"/>
              </w:rPr>
              <w:t>8月11</w:t>
            </w:r>
            <w:r>
              <w:rPr>
                <w:rFonts w:hint="eastAsia"/>
                <w:lang w:eastAsia="zh-CN"/>
              </w:rPr>
              <w:t>日参加了公司组织的火灾安全事故应急演练；</w:t>
            </w:r>
          </w:p>
          <w:p>
            <w:pPr>
              <w:spacing w:line="320" w:lineRule="exact"/>
              <w:rPr>
                <w:rFonts w:ascii="Times New Roman" w:hAnsi="Times New Roman"/>
              </w:rPr>
            </w:pPr>
            <w:r>
              <w:rPr>
                <w:rFonts w:hint="eastAsia"/>
                <w:lang w:val="en-US" w:eastAsia="zh-CN"/>
              </w:rPr>
              <w:t>具体演练记录见总经办。</w:t>
            </w:r>
          </w:p>
        </w:tc>
        <w:tc>
          <w:tcPr>
            <w:tcW w:w="959" w:type="dxa"/>
            <w:vAlign w:val="top"/>
          </w:tcPr>
          <w:p>
            <w:pPr>
              <w:spacing w:line="320" w:lineRule="exact"/>
              <w:rPr>
                <w:rFonts w:hint="eastAsia" w:ascii="Times New Roman" w:hAnsi="Times New Roman" w:eastAsia="宋体"/>
                <w:lang w:val="en-US" w:eastAsia="zh-CN"/>
              </w:rPr>
            </w:pPr>
            <w:r>
              <w:rPr>
                <w:rFonts w:hint="eastAsia"/>
                <w:lang w:val="en-US" w:eastAsia="zh-CN"/>
              </w:rPr>
              <w:t>Y</w:t>
            </w:r>
          </w:p>
        </w:tc>
      </w:tr>
    </w:tbl>
    <w:p>
      <w:pPr>
        <w:pStyle w:val="6"/>
        <w:rPr>
          <w:rFonts w:hint="eastAsia"/>
          <w:lang w:eastAsia="zh-CN"/>
        </w:rPr>
      </w:pPr>
    </w:p>
    <w:p>
      <w:pPr>
        <w:pStyle w:val="6"/>
        <w:rPr>
          <w:rFonts w:hint="eastAsia"/>
          <w:lang w:eastAsia="zh-CN"/>
        </w:rPr>
      </w:pPr>
    </w:p>
    <w:tbl>
      <w:tblPr>
        <w:tblStyle w:val="14"/>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810"/>
        <w:gridCol w:w="11490"/>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1535"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过程与活动、</w:t>
            </w:r>
          </w:p>
          <w:p>
            <w:pPr>
              <w:rPr>
                <w:rFonts w:hint="eastAsia" w:ascii="宋体" w:hAnsi="宋体" w:eastAsia="宋体" w:cs="宋体"/>
                <w:sz w:val="21"/>
                <w:szCs w:val="21"/>
              </w:rPr>
            </w:pPr>
            <w:r>
              <w:rPr>
                <w:rFonts w:hint="eastAsia" w:ascii="宋体" w:hAnsi="宋体" w:eastAsia="宋体" w:cs="宋体"/>
                <w:sz w:val="21"/>
                <w:szCs w:val="21"/>
              </w:rPr>
              <w:t>抽样计划</w:t>
            </w:r>
          </w:p>
        </w:tc>
        <w:tc>
          <w:tcPr>
            <w:tcW w:w="810"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涉及</w:t>
            </w:r>
          </w:p>
          <w:p>
            <w:pPr>
              <w:rPr>
                <w:rFonts w:hint="eastAsia" w:ascii="宋体" w:hAnsi="宋体" w:eastAsia="宋体" w:cs="宋体"/>
                <w:sz w:val="21"/>
                <w:szCs w:val="21"/>
              </w:rPr>
            </w:pPr>
            <w:r>
              <w:rPr>
                <w:rFonts w:hint="eastAsia" w:ascii="宋体" w:hAnsi="宋体" w:eastAsia="宋体" w:cs="宋体"/>
                <w:sz w:val="21"/>
                <w:szCs w:val="21"/>
              </w:rPr>
              <w:t>条款</w:t>
            </w:r>
          </w:p>
        </w:tc>
        <w:tc>
          <w:tcPr>
            <w:tcW w:w="11490" w:type="dxa"/>
            <w:vAlign w:val="center"/>
          </w:tcPr>
          <w:p>
            <w:pPr>
              <w:rPr>
                <w:rFonts w:hint="eastAsia" w:ascii="宋体" w:hAnsi="宋体" w:eastAsia="宋体" w:cs="宋体"/>
                <w:sz w:val="21"/>
                <w:szCs w:val="21"/>
              </w:rPr>
            </w:pPr>
            <w:r>
              <w:rPr>
                <w:rFonts w:hint="eastAsia" w:ascii="宋体" w:hAnsi="宋体" w:eastAsia="宋体" w:cs="宋体"/>
                <w:sz w:val="21"/>
                <w:szCs w:val="21"/>
              </w:rPr>
              <w:t>受审核部门：</w:t>
            </w:r>
            <w:r>
              <w:rPr>
                <w:rFonts w:hint="eastAsia" w:ascii="宋体" w:hAnsi="宋体" w:eastAsia="宋体" w:cs="宋体"/>
                <w:sz w:val="21"/>
                <w:szCs w:val="21"/>
                <w:lang w:eastAsia="zh-CN"/>
              </w:rPr>
              <w:t>总经办</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主管领导：</w:t>
            </w:r>
            <w:r>
              <w:rPr>
                <w:rFonts w:hint="eastAsia" w:ascii="宋体" w:hAnsi="宋体" w:cs="宋体"/>
                <w:sz w:val="21"/>
                <w:szCs w:val="21"/>
                <w:lang w:eastAsia="zh-CN"/>
              </w:rPr>
              <w:t>贾运腾</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eastAsia="zh-CN"/>
              </w:rPr>
              <w:t>陪同人员：</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段家亮</w:t>
            </w:r>
          </w:p>
        </w:tc>
        <w:tc>
          <w:tcPr>
            <w:tcW w:w="874"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535" w:type="dxa"/>
            <w:vMerge w:val="continue"/>
            <w:vAlign w:val="center"/>
          </w:tcPr>
          <w:p>
            <w:pPr>
              <w:rPr>
                <w:rFonts w:hint="eastAsia" w:ascii="宋体" w:hAnsi="宋体" w:eastAsia="宋体" w:cs="宋体"/>
                <w:sz w:val="21"/>
                <w:szCs w:val="21"/>
              </w:rPr>
            </w:pPr>
          </w:p>
        </w:tc>
        <w:tc>
          <w:tcPr>
            <w:tcW w:w="810" w:type="dxa"/>
            <w:vMerge w:val="continue"/>
            <w:vAlign w:val="center"/>
          </w:tcPr>
          <w:p>
            <w:pPr>
              <w:rPr>
                <w:rFonts w:hint="eastAsia" w:ascii="宋体" w:hAnsi="宋体" w:eastAsia="宋体" w:cs="宋体"/>
                <w:sz w:val="21"/>
                <w:szCs w:val="21"/>
              </w:rPr>
            </w:pPr>
          </w:p>
        </w:tc>
        <w:tc>
          <w:tcPr>
            <w:tcW w:w="11490" w:type="dxa"/>
            <w:vAlign w:val="center"/>
          </w:tcPr>
          <w:p>
            <w:pPr>
              <w:rPr>
                <w:rFonts w:hint="default" w:ascii="宋体" w:hAnsi="宋体" w:eastAsia="宋体" w:cs="宋体"/>
                <w:sz w:val="21"/>
                <w:szCs w:val="21"/>
                <w:lang w:val="en-US"/>
              </w:rPr>
            </w:pPr>
            <w:r>
              <w:rPr>
                <w:rFonts w:hint="eastAsia" w:ascii="宋体" w:hAnsi="宋体" w:eastAsia="宋体" w:cs="宋体"/>
                <w:sz w:val="21"/>
                <w:szCs w:val="21"/>
              </w:rPr>
              <w:t>审核员：</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吉洁（远程审核，视频、语音、文件传输）</w:t>
            </w:r>
            <w:r>
              <w:rPr>
                <w:rFonts w:hint="eastAsia" w:ascii="宋体" w:hAnsi="宋体" w:eastAsia="宋体" w:cs="宋体"/>
                <w:sz w:val="21"/>
                <w:szCs w:val="21"/>
              </w:rPr>
              <w:t xml:space="preserve">         审核时间：202</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年12月7--8日</w:t>
            </w:r>
          </w:p>
        </w:tc>
        <w:tc>
          <w:tcPr>
            <w:tcW w:w="874" w:type="dxa"/>
            <w:vMerge w:val="continue"/>
            <w:vAlign w:val="top"/>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535" w:type="dxa"/>
            <w:vMerge w:val="continue"/>
            <w:vAlign w:val="center"/>
          </w:tcPr>
          <w:p>
            <w:pPr>
              <w:rPr>
                <w:rFonts w:hint="eastAsia" w:ascii="宋体" w:hAnsi="宋体" w:eastAsia="宋体" w:cs="宋体"/>
                <w:sz w:val="21"/>
                <w:szCs w:val="21"/>
              </w:rPr>
            </w:pPr>
          </w:p>
        </w:tc>
        <w:tc>
          <w:tcPr>
            <w:tcW w:w="810" w:type="dxa"/>
            <w:vMerge w:val="continue"/>
            <w:vAlign w:val="center"/>
          </w:tcPr>
          <w:p>
            <w:pPr>
              <w:rPr>
                <w:rFonts w:hint="eastAsia" w:ascii="宋体" w:hAnsi="宋体" w:eastAsia="宋体" w:cs="宋体"/>
                <w:sz w:val="21"/>
                <w:szCs w:val="21"/>
              </w:rPr>
            </w:pPr>
          </w:p>
        </w:tc>
        <w:tc>
          <w:tcPr>
            <w:tcW w:w="11490" w:type="dxa"/>
            <w:vAlign w:val="center"/>
          </w:tcPr>
          <w:p>
            <w:pPr>
              <w:snapToGrid w:val="0"/>
              <w:spacing w:line="320" w:lineRule="exact"/>
              <w:rPr>
                <w:rFonts w:hint="eastAsia" w:ascii="宋体" w:hAnsi="宋体" w:eastAsia="宋体" w:cs="宋体"/>
                <w:sz w:val="21"/>
                <w:szCs w:val="21"/>
                <w:lang w:val="en-US" w:eastAsia="zh-CN"/>
              </w:rPr>
            </w:pPr>
            <w:r>
              <w:rPr>
                <w:rFonts w:hint="eastAsia" w:ascii="宋体" w:hAnsi="宋体" w:eastAsia="宋体" w:cs="宋体"/>
                <w:sz w:val="21"/>
                <w:szCs w:val="21"/>
              </w:rPr>
              <w:t>审核条款：</w:t>
            </w:r>
            <w:r>
              <w:rPr>
                <w:rFonts w:hint="eastAsia" w:ascii="宋体" w:hAnsi="宋体" w:eastAsia="宋体" w:cs="宋体"/>
                <w:color w:val="auto"/>
                <w:sz w:val="21"/>
                <w:szCs w:val="21"/>
                <w:highlight w:val="none"/>
                <w:lang w:val="en-US" w:eastAsia="zh-CN"/>
              </w:rPr>
              <w:t>EO</w:t>
            </w:r>
            <w:r>
              <w:rPr>
                <w:rFonts w:hint="eastAsia" w:ascii="宋体" w:hAnsi="宋体" w:eastAsia="宋体" w:cs="宋体"/>
                <w:color w:val="auto"/>
                <w:sz w:val="21"/>
                <w:szCs w:val="21"/>
                <w:highlight w:val="none"/>
              </w:rPr>
              <w:t>:5.3/6.2/</w:t>
            </w:r>
            <w:r>
              <w:rPr>
                <w:rFonts w:hint="eastAsia" w:ascii="宋体" w:hAnsi="宋体" w:eastAsia="宋体" w:cs="宋体"/>
                <w:color w:val="auto"/>
                <w:sz w:val="21"/>
                <w:szCs w:val="21"/>
                <w:highlight w:val="none"/>
                <w:lang w:val="en-US" w:eastAsia="zh-CN"/>
              </w:rPr>
              <w:t>6.1.2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6.1.3</w:t>
            </w:r>
            <w:r>
              <w:rPr>
                <w:rFonts w:hint="eastAsia" w:ascii="宋体" w:hAnsi="宋体" w:eastAsia="宋体" w:cs="宋体"/>
                <w:color w:val="auto"/>
                <w:sz w:val="21"/>
                <w:szCs w:val="21"/>
                <w:highlight w:val="none"/>
              </w:rPr>
              <w:t>/7.2/7.3/7.4/7.5/</w:t>
            </w:r>
            <w:r>
              <w:rPr>
                <w:rFonts w:hint="eastAsia" w:ascii="宋体" w:hAnsi="宋体" w:eastAsia="宋体" w:cs="宋体"/>
                <w:color w:val="auto"/>
                <w:sz w:val="21"/>
                <w:szCs w:val="21"/>
                <w:highlight w:val="none"/>
                <w:lang w:val="en-US" w:eastAsia="zh-CN"/>
              </w:rPr>
              <w:t>8.1/8.2/9.1.1/</w:t>
            </w:r>
            <w:r>
              <w:rPr>
                <w:rFonts w:hint="eastAsia" w:ascii="宋体" w:hAnsi="宋体" w:eastAsia="宋体" w:cs="宋体"/>
                <w:color w:val="auto"/>
                <w:sz w:val="21"/>
                <w:szCs w:val="21"/>
                <w:highlight w:val="none"/>
              </w:rPr>
              <w:t>9.1.2/9.2/10.2</w:t>
            </w:r>
            <w:r>
              <w:rPr>
                <w:rFonts w:hint="eastAsia" w:ascii="宋体" w:hAnsi="宋体" w:eastAsia="宋体" w:cs="宋体"/>
                <w:color w:val="auto"/>
                <w:sz w:val="21"/>
                <w:szCs w:val="21"/>
                <w:highlight w:val="none"/>
                <w:lang w:val="en-US" w:eastAsia="zh-CN"/>
              </w:rPr>
              <w:t xml:space="preserve">     O:5.4</w:t>
            </w:r>
          </w:p>
        </w:tc>
        <w:tc>
          <w:tcPr>
            <w:tcW w:w="874" w:type="dxa"/>
            <w:vMerge w:val="continue"/>
            <w:vAlign w:val="top"/>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1535" w:type="dxa"/>
            <w:vAlign w:val="top"/>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岗位、职责、权限</w:t>
            </w:r>
          </w:p>
        </w:tc>
        <w:tc>
          <w:tcPr>
            <w:tcW w:w="810" w:type="dxa"/>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EO 5.3</w:t>
            </w:r>
          </w:p>
        </w:tc>
        <w:tc>
          <w:tcPr>
            <w:tcW w:w="11490" w:type="dxa"/>
            <w:vAlign w:val="center"/>
          </w:tcPr>
          <w:p>
            <w:pPr>
              <w:rPr>
                <w:rFonts w:hint="eastAsia" w:ascii="宋体" w:hAnsi="宋体" w:eastAsia="宋体" w:cs="宋体"/>
                <w:sz w:val="21"/>
                <w:szCs w:val="21"/>
                <w:lang w:val="en-US" w:eastAsia="zh-CN"/>
              </w:rPr>
            </w:pPr>
            <w:r>
              <w:rPr>
                <w:rFonts w:hint="eastAsia" w:ascii="宋体" w:hAnsi="宋体" w:cs="宋体"/>
                <w:sz w:val="21"/>
                <w:szCs w:val="21"/>
                <w:lang w:eastAsia="zh-CN"/>
              </w:rPr>
              <w:t>总经办</w:t>
            </w:r>
            <w:r>
              <w:rPr>
                <w:rFonts w:hint="eastAsia" w:ascii="宋体" w:hAnsi="宋体" w:eastAsia="宋体" w:cs="宋体"/>
                <w:sz w:val="21"/>
                <w:szCs w:val="21"/>
                <w:lang w:eastAsia="zh-CN"/>
              </w:rPr>
              <w:t>负责人：</w:t>
            </w:r>
            <w:r>
              <w:rPr>
                <w:rFonts w:hint="eastAsia" w:ascii="宋体" w:hAnsi="宋体" w:eastAsia="宋体" w:cs="宋体"/>
                <w:sz w:val="21"/>
                <w:szCs w:val="21"/>
                <w:lang w:val="en-US" w:eastAsia="zh-CN"/>
              </w:rPr>
              <w:t xml:space="preserve"> </w:t>
            </w:r>
            <w:r>
              <w:rPr>
                <w:rFonts w:hint="eastAsia" w:ascii="宋体" w:hAnsi="宋体" w:cs="宋体"/>
                <w:sz w:val="21"/>
                <w:szCs w:val="21"/>
                <w:lang w:eastAsia="zh-CN"/>
              </w:rPr>
              <w:t>贾运腾</w:t>
            </w:r>
            <w:r>
              <w:rPr>
                <w:rFonts w:hint="eastAsia" w:ascii="宋体" w:hAnsi="宋体" w:eastAsia="宋体" w:cs="宋体"/>
                <w:sz w:val="21"/>
                <w:szCs w:val="21"/>
                <w:lang w:val="en-US" w:eastAsia="zh-CN"/>
              </w:rPr>
              <w:t xml:space="preserve"> </w:t>
            </w:r>
          </w:p>
          <w:p>
            <w:pPr>
              <w:rPr>
                <w:rFonts w:hint="eastAsia" w:ascii="宋体" w:hAnsi="宋体" w:eastAsia="宋体" w:cs="宋体"/>
                <w:sz w:val="21"/>
                <w:szCs w:val="21"/>
                <w:lang w:val="en-US" w:eastAsia="zh-CN"/>
              </w:rPr>
            </w:pPr>
            <w:r>
              <w:rPr>
                <w:rFonts w:hint="eastAsia" w:ascii="宋体" w:hAnsi="宋体" w:cs="宋体"/>
                <w:sz w:val="21"/>
                <w:szCs w:val="21"/>
                <w:lang w:val="en-US" w:eastAsia="zh-CN"/>
              </w:rPr>
              <w:t>总经办</w:t>
            </w:r>
            <w:r>
              <w:rPr>
                <w:rFonts w:hint="eastAsia" w:ascii="宋体" w:hAnsi="宋体" w:eastAsia="宋体" w:cs="宋体"/>
                <w:sz w:val="21"/>
                <w:szCs w:val="21"/>
                <w:lang w:val="en-US" w:eastAsia="zh-CN"/>
              </w:rPr>
              <w:t>主要负责：公司贯标工作，内审管理评审工作；文件管理，资料管理、归档工作；人力资源管理，培训工作；人员保险、工资统计等工作；法律法规的收集、跟踪整理工作；公司经营指标考核工作；领导交代的其他工作；</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与</w:t>
            </w:r>
            <w:r>
              <w:rPr>
                <w:rFonts w:hint="eastAsia" w:ascii="宋体" w:hAnsi="宋体" w:cs="宋体"/>
                <w:sz w:val="21"/>
                <w:szCs w:val="21"/>
                <w:lang w:val="en-US" w:eastAsia="zh-CN"/>
              </w:rPr>
              <w:t>总经办</w:t>
            </w:r>
            <w:r>
              <w:rPr>
                <w:rFonts w:hint="eastAsia" w:ascii="宋体" w:hAnsi="宋体" w:eastAsia="宋体" w:cs="宋体"/>
                <w:sz w:val="21"/>
                <w:szCs w:val="21"/>
                <w:lang w:val="en-US" w:eastAsia="zh-CN"/>
              </w:rPr>
              <w:t>负责人沟通，清楚其岗位职责权限。</w:t>
            </w:r>
          </w:p>
        </w:tc>
        <w:tc>
          <w:tcPr>
            <w:tcW w:w="874" w:type="dxa"/>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1535" w:type="dxa"/>
            <w:vAlign w:val="top"/>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目标</w:t>
            </w:r>
          </w:p>
        </w:tc>
        <w:tc>
          <w:tcPr>
            <w:tcW w:w="810" w:type="dxa"/>
            <w:vAlign w:val="top"/>
          </w:tcPr>
          <w:p>
            <w:pPr>
              <w:pStyle w:val="2"/>
              <w:rPr>
                <w:rFonts w:hint="eastAsia" w:ascii="宋体" w:hAnsi="宋体" w:eastAsia="宋体" w:cs="宋体"/>
                <w:lang w:val="en-US" w:eastAsia="zh-CN"/>
              </w:rPr>
            </w:pPr>
            <w:r>
              <w:rPr>
                <w:rFonts w:hint="eastAsia" w:ascii="宋体" w:hAnsi="宋体" w:eastAsia="宋体" w:cs="宋体"/>
                <w:sz w:val="21"/>
                <w:szCs w:val="21"/>
                <w:lang w:val="en-US" w:eastAsia="zh-CN"/>
              </w:rPr>
              <w:t>EO6.2</w:t>
            </w:r>
          </w:p>
        </w:tc>
        <w:tc>
          <w:tcPr>
            <w:tcW w:w="11490" w:type="dxa"/>
            <w:vAlign w:val="top"/>
          </w:tcPr>
          <w:p>
            <w:pPr>
              <w:rPr>
                <w:rFonts w:hint="eastAsia"/>
                <w:lang w:val="en-US" w:eastAsia="zh-CN"/>
              </w:rPr>
            </w:pPr>
            <w:r>
              <w:rPr>
                <w:rFonts w:hint="eastAsia"/>
                <w:lang w:val="en-US" w:eastAsia="zh-CN"/>
              </w:rPr>
              <w:t>查看管理手册制定了公司总的管理目标，编制了《管理目标/指标分解落实计划》，将目标分解至各部门，并制定了考核办法和考核频率。由总经办负责目标考核工作。</w:t>
            </w:r>
          </w:p>
          <w:p>
            <w:pPr>
              <w:rPr>
                <w:rFonts w:hint="eastAsia"/>
                <w:lang w:val="en-US" w:eastAsia="zh-CN"/>
              </w:rPr>
            </w:pPr>
            <w:r>
              <w:rPr>
                <w:rFonts w:hint="eastAsia"/>
                <w:lang w:val="en-US" w:eastAsia="zh-CN"/>
              </w:rPr>
              <w:t>提供了《2022年度 目标、指标完成情况监控记录》</w:t>
            </w:r>
          </w:p>
          <w:p>
            <w:pPr>
              <w:rPr>
                <w:rFonts w:hint="eastAsia"/>
                <w:lang w:val="en-US" w:eastAsia="zh-CN"/>
              </w:rPr>
            </w:pPr>
            <w:r>
              <w:rPr>
                <w:rFonts w:hint="eastAsia"/>
                <w:lang w:val="en-US" w:eastAsia="zh-CN"/>
              </w:rPr>
              <w:t>查总经办部门目标及实现情况：</w:t>
            </w:r>
          </w:p>
          <w:tbl>
            <w:tblPr>
              <w:tblStyle w:val="14"/>
              <w:tblpPr w:leftFromText="180" w:rightFromText="180" w:vertAnchor="text" w:horzAnchor="page" w:tblpX="178" w:tblpY="212"/>
              <w:tblOverlap w:val="never"/>
              <w:tblW w:w="9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3184"/>
              <w:gridCol w:w="3040"/>
              <w:gridCol w:w="1150"/>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776" w:type="dxa"/>
                  <w:vAlign w:val="center"/>
                </w:tcPr>
                <w:p>
                  <w:pPr>
                    <w:rPr>
                      <w:rFonts w:hint="eastAsia"/>
                      <w:lang w:val="en-US" w:eastAsia="zh-CN"/>
                    </w:rPr>
                  </w:pPr>
                </w:p>
              </w:tc>
              <w:tc>
                <w:tcPr>
                  <w:tcW w:w="3184" w:type="dxa"/>
                  <w:vAlign w:val="center"/>
                </w:tcPr>
                <w:p>
                  <w:pPr>
                    <w:rPr>
                      <w:rFonts w:hint="eastAsia"/>
                      <w:lang w:val="en-US" w:eastAsia="zh-CN"/>
                    </w:rPr>
                  </w:pPr>
                  <w:r>
                    <w:rPr>
                      <w:rFonts w:hint="eastAsia"/>
                      <w:lang w:val="en-US" w:eastAsia="zh-CN"/>
                    </w:rPr>
                    <w:t>目标</w:t>
                  </w:r>
                </w:p>
              </w:tc>
              <w:tc>
                <w:tcPr>
                  <w:tcW w:w="3040" w:type="dxa"/>
                  <w:vAlign w:val="center"/>
                </w:tcPr>
                <w:p>
                  <w:pPr>
                    <w:rPr>
                      <w:rFonts w:hint="eastAsia"/>
                      <w:lang w:val="en-US" w:eastAsia="zh-CN"/>
                    </w:rPr>
                  </w:pPr>
                  <w:r>
                    <w:rPr>
                      <w:rFonts w:hint="eastAsia"/>
                      <w:lang w:val="en-US" w:eastAsia="zh-CN"/>
                    </w:rPr>
                    <w:t>指标</w:t>
                  </w:r>
                </w:p>
              </w:tc>
              <w:tc>
                <w:tcPr>
                  <w:tcW w:w="1150" w:type="dxa"/>
                  <w:vAlign w:val="center"/>
                </w:tcPr>
                <w:p>
                  <w:pPr>
                    <w:rPr>
                      <w:rFonts w:hint="eastAsia"/>
                      <w:lang w:val="en-US" w:eastAsia="zh-CN"/>
                    </w:rPr>
                  </w:pPr>
                  <w:r>
                    <w:rPr>
                      <w:rFonts w:hint="eastAsia"/>
                      <w:lang w:val="en-US" w:eastAsia="zh-CN"/>
                    </w:rPr>
                    <w:t>2季度</w:t>
                  </w:r>
                </w:p>
              </w:tc>
              <w:tc>
                <w:tcPr>
                  <w:tcW w:w="1226" w:type="dxa"/>
                  <w:vAlign w:val="center"/>
                </w:tcPr>
                <w:p>
                  <w:pPr>
                    <w:rPr>
                      <w:rFonts w:hint="eastAsia"/>
                      <w:lang w:val="en-US" w:eastAsia="zh-CN"/>
                    </w:rPr>
                  </w:pPr>
                  <w:r>
                    <w:rPr>
                      <w:rFonts w:hint="eastAsia"/>
                      <w:lang w:val="en-US" w:eastAsia="zh-CN"/>
                    </w:rPr>
                    <w:t>3季度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776" w:type="dxa"/>
                  <w:vMerge w:val="restart"/>
                  <w:vAlign w:val="center"/>
                </w:tcPr>
                <w:p>
                  <w:pPr>
                    <w:rPr>
                      <w:rFonts w:hint="eastAsia"/>
                      <w:lang w:val="en-US" w:eastAsia="zh-CN"/>
                    </w:rPr>
                  </w:pPr>
                  <w:r>
                    <w:rPr>
                      <w:rFonts w:hint="eastAsia"/>
                      <w:lang w:val="en-US" w:eastAsia="zh-CN"/>
                    </w:rPr>
                    <w:t>环境</w:t>
                  </w:r>
                </w:p>
                <w:p>
                  <w:pPr>
                    <w:rPr>
                      <w:rFonts w:hint="eastAsia"/>
                      <w:lang w:val="en-US" w:eastAsia="zh-CN"/>
                    </w:rPr>
                  </w:pPr>
                </w:p>
              </w:tc>
              <w:tc>
                <w:tcPr>
                  <w:tcW w:w="3184" w:type="dxa"/>
                  <w:vAlign w:val="top"/>
                </w:tcPr>
                <w:p>
                  <w:pPr>
                    <w:jc w:val="both"/>
                    <w:rPr>
                      <w:rFonts w:hint="eastAsia"/>
                      <w:lang w:val="en-US" w:eastAsia="zh-CN"/>
                    </w:rPr>
                  </w:pPr>
                  <w:r>
                    <w:rPr>
                      <w:rFonts w:hint="eastAsia"/>
                      <w:lang w:val="en-US" w:eastAsia="zh-CN"/>
                    </w:rPr>
                    <w:t>1.</w:t>
                  </w:r>
                  <w:r>
                    <w:rPr>
                      <w:rFonts w:hint="eastAsia"/>
                    </w:rPr>
                    <w:t>固体废弃物统一收集，</w:t>
                  </w:r>
                  <w:r>
                    <w:rPr>
                      <w:rFonts w:hint="eastAsia"/>
                      <w:lang w:val="en-US" w:eastAsia="zh-CN"/>
                    </w:rPr>
                    <w:t>处理达标</w:t>
                  </w:r>
                </w:p>
              </w:tc>
              <w:tc>
                <w:tcPr>
                  <w:tcW w:w="3040" w:type="dxa"/>
                  <w:vAlign w:val="top"/>
                </w:tcPr>
                <w:p>
                  <w:pPr>
                    <w:jc w:val="both"/>
                    <w:rPr>
                      <w:rFonts w:hint="eastAsia"/>
                      <w:lang w:val="en-US" w:eastAsia="zh-CN"/>
                    </w:rPr>
                  </w:pPr>
                  <w:r>
                    <w:rPr>
                      <w:rFonts w:hint="eastAsia"/>
                    </w:rPr>
                    <w:t>固体废弃物</w:t>
                  </w:r>
                  <w:r>
                    <w:rPr>
                      <w:rFonts w:hint="eastAsia"/>
                      <w:lang w:val="en-US" w:eastAsia="zh-CN"/>
                    </w:rPr>
                    <w:t>统一处理率</w:t>
                  </w:r>
                  <w:r>
                    <w:rPr>
                      <w:rFonts w:hint="eastAsia"/>
                    </w:rPr>
                    <w:t>100%</w:t>
                  </w:r>
                </w:p>
              </w:tc>
              <w:tc>
                <w:tcPr>
                  <w:tcW w:w="1150" w:type="dxa"/>
                  <w:vAlign w:val="center"/>
                </w:tcPr>
                <w:p>
                  <w:pPr>
                    <w:jc w:val="both"/>
                    <w:rPr>
                      <w:rFonts w:hint="eastAsia"/>
                      <w:lang w:val="en-US" w:eastAsia="zh-CN"/>
                    </w:rPr>
                  </w:pPr>
                  <w:r>
                    <w:rPr>
                      <w:rFonts w:hint="eastAsia"/>
                      <w:lang w:val="en-US" w:eastAsia="zh-CN"/>
                    </w:rPr>
                    <w:t>100%</w:t>
                  </w:r>
                </w:p>
              </w:tc>
              <w:tc>
                <w:tcPr>
                  <w:tcW w:w="1226" w:type="dxa"/>
                  <w:vAlign w:val="center"/>
                </w:tcPr>
                <w:p>
                  <w:pPr>
                    <w:jc w:val="both"/>
                    <w:rPr>
                      <w:rFonts w:hint="eastAsia"/>
                      <w:lang w:val="en-US" w:eastAsia="zh-CN"/>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76" w:type="dxa"/>
                  <w:vMerge w:val="continue"/>
                  <w:vAlign w:val="center"/>
                </w:tcPr>
                <w:p>
                  <w:pPr>
                    <w:rPr>
                      <w:rFonts w:hint="eastAsia"/>
                      <w:lang w:val="en-US" w:eastAsia="zh-CN"/>
                    </w:rPr>
                  </w:pPr>
                </w:p>
              </w:tc>
              <w:tc>
                <w:tcPr>
                  <w:tcW w:w="3184" w:type="dxa"/>
                  <w:vAlign w:val="center"/>
                </w:tcPr>
                <w:p>
                  <w:pPr>
                    <w:jc w:val="both"/>
                    <w:rPr>
                      <w:rFonts w:hint="eastAsia"/>
                      <w:lang w:val="en-US" w:eastAsia="zh-CN"/>
                    </w:rPr>
                  </w:pPr>
                  <w:r>
                    <w:rPr>
                      <w:rFonts w:hint="eastAsia"/>
                      <w:lang w:val="en-US" w:eastAsia="zh-CN"/>
                    </w:rPr>
                    <w:t>2</w:t>
                  </w:r>
                  <w:r>
                    <w:rPr>
                      <w:rFonts w:hint="eastAsia"/>
                    </w:rPr>
                    <w:t>.</w:t>
                  </w:r>
                  <w:r>
                    <w:rPr>
                      <w:rFonts w:hint="eastAsia"/>
                      <w:lang w:val="en-US" w:eastAsia="zh-CN"/>
                    </w:rPr>
                    <w:t>确保</w:t>
                  </w:r>
                  <w:r>
                    <w:rPr>
                      <w:rFonts w:hint="eastAsia"/>
                    </w:rPr>
                    <w:t>环保法律法规</w:t>
                  </w:r>
                  <w:r>
                    <w:rPr>
                      <w:rFonts w:hint="eastAsia"/>
                      <w:lang w:val="en-US" w:eastAsia="zh-CN"/>
                    </w:rPr>
                    <w:t>的适用性</w:t>
                  </w:r>
                </w:p>
              </w:tc>
              <w:tc>
                <w:tcPr>
                  <w:tcW w:w="3040" w:type="dxa"/>
                  <w:vAlign w:val="center"/>
                </w:tcPr>
                <w:p>
                  <w:pPr>
                    <w:jc w:val="both"/>
                    <w:rPr>
                      <w:rFonts w:hint="eastAsia"/>
                      <w:lang w:val="en-US" w:eastAsia="zh-CN"/>
                    </w:rPr>
                  </w:pPr>
                  <w:r>
                    <w:rPr>
                      <w:rFonts w:hint="eastAsia"/>
                    </w:rPr>
                    <w:t>环保法律法规</w:t>
                  </w:r>
                  <w:r>
                    <w:rPr>
                      <w:rFonts w:hint="eastAsia"/>
                      <w:lang w:val="en-US" w:eastAsia="zh-CN"/>
                    </w:rPr>
                    <w:t>有效性100</w:t>
                  </w:r>
                  <w:r>
                    <w:rPr>
                      <w:rFonts w:hint="eastAsia"/>
                    </w:rPr>
                    <w:t>%</w:t>
                  </w:r>
                </w:p>
              </w:tc>
              <w:tc>
                <w:tcPr>
                  <w:tcW w:w="1150" w:type="dxa"/>
                  <w:vAlign w:val="center"/>
                </w:tcPr>
                <w:p>
                  <w:pPr>
                    <w:jc w:val="both"/>
                    <w:rPr>
                      <w:rFonts w:hint="eastAsia"/>
                      <w:lang w:val="en-US" w:eastAsia="zh-CN"/>
                    </w:rPr>
                  </w:pPr>
                  <w:r>
                    <w:rPr>
                      <w:rFonts w:hint="eastAsia"/>
                      <w:lang w:val="en-US" w:eastAsia="zh-CN"/>
                    </w:rPr>
                    <w:t>100%</w:t>
                  </w:r>
                </w:p>
              </w:tc>
              <w:tc>
                <w:tcPr>
                  <w:tcW w:w="1226" w:type="dxa"/>
                  <w:vAlign w:val="center"/>
                </w:tcPr>
                <w:p>
                  <w:pPr>
                    <w:jc w:val="both"/>
                    <w:rPr>
                      <w:rFonts w:hint="eastAsia"/>
                      <w:lang w:val="en-US" w:eastAsia="zh-CN"/>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76" w:type="dxa"/>
                  <w:vMerge w:val="continue"/>
                  <w:vAlign w:val="center"/>
                </w:tcPr>
                <w:p>
                  <w:pPr>
                    <w:rPr>
                      <w:rFonts w:hint="eastAsia"/>
                      <w:lang w:val="en-US" w:eastAsia="zh-CN"/>
                    </w:rPr>
                  </w:pPr>
                </w:p>
              </w:tc>
              <w:tc>
                <w:tcPr>
                  <w:tcW w:w="3184" w:type="dxa"/>
                  <w:vAlign w:val="center"/>
                </w:tcPr>
                <w:p>
                  <w:pPr>
                    <w:jc w:val="both"/>
                    <w:rPr>
                      <w:rFonts w:hint="eastAsia"/>
                      <w:lang w:val="en-US" w:eastAsia="zh-CN"/>
                    </w:rPr>
                  </w:pPr>
                  <w:r>
                    <w:rPr>
                      <w:rFonts w:hint="eastAsia"/>
                      <w:lang w:val="en-US" w:eastAsia="zh-CN"/>
                    </w:rPr>
                    <w:t>3.建立供方档案，对影响环境的供方施加影响</w:t>
                  </w:r>
                </w:p>
              </w:tc>
              <w:tc>
                <w:tcPr>
                  <w:tcW w:w="3040" w:type="dxa"/>
                  <w:vAlign w:val="center"/>
                </w:tcPr>
                <w:p>
                  <w:pPr>
                    <w:jc w:val="both"/>
                    <w:rPr>
                      <w:rFonts w:hint="eastAsia"/>
                      <w:lang w:val="en-US" w:eastAsia="zh-CN"/>
                    </w:rPr>
                  </w:pPr>
                  <w:r>
                    <w:rPr>
                      <w:rFonts w:hint="eastAsia"/>
                      <w:lang w:val="en-US" w:eastAsia="zh-CN"/>
                    </w:rPr>
                    <w:t>建立供方档案，对供方环保宣传率≥99%</w:t>
                  </w:r>
                </w:p>
              </w:tc>
              <w:tc>
                <w:tcPr>
                  <w:tcW w:w="1150" w:type="dxa"/>
                  <w:vAlign w:val="center"/>
                </w:tcPr>
                <w:p>
                  <w:pPr>
                    <w:jc w:val="both"/>
                    <w:rPr>
                      <w:rFonts w:hint="eastAsia"/>
                      <w:lang w:val="en-US" w:eastAsia="zh-CN"/>
                    </w:rPr>
                  </w:pPr>
                  <w:r>
                    <w:rPr>
                      <w:rFonts w:hint="eastAsia"/>
                      <w:lang w:val="en-US" w:eastAsia="zh-CN"/>
                    </w:rPr>
                    <w:t>100%</w:t>
                  </w:r>
                </w:p>
              </w:tc>
              <w:tc>
                <w:tcPr>
                  <w:tcW w:w="1226" w:type="dxa"/>
                  <w:vAlign w:val="center"/>
                </w:tcPr>
                <w:p>
                  <w:pPr>
                    <w:jc w:val="both"/>
                    <w:rPr>
                      <w:rFonts w:hint="eastAsia"/>
                      <w:lang w:val="en-US" w:eastAsia="zh-CN"/>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76" w:type="dxa"/>
                  <w:vMerge w:val="continue"/>
                  <w:vAlign w:val="center"/>
                </w:tcPr>
                <w:p>
                  <w:pPr>
                    <w:rPr>
                      <w:rFonts w:hint="eastAsia"/>
                      <w:lang w:val="en-US" w:eastAsia="zh-CN"/>
                    </w:rPr>
                  </w:pPr>
                </w:p>
              </w:tc>
              <w:tc>
                <w:tcPr>
                  <w:tcW w:w="3184" w:type="dxa"/>
                  <w:vAlign w:val="center"/>
                </w:tcPr>
                <w:p>
                  <w:pPr>
                    <w:jc w:val="both"/>
                    <w:rPr>
                      <w:rFonts w:hint="eastAsia"/>
                      <w:lang w:val="en-US" w:eastAsia="zh-CN"/>
                    </w:rPr>
                  </w:pPr>
                  <w:r>
                    <w:rPr>
                      <w:rFonts w:hint="eastAsia"/>
                      <w:lang w:val="en-US" w:eastAsia="zh-CN"/>
                    </w:rPr>
                    <w:t>4.火灾发生率为零。</w:t>
                  </w:r>
                </w:p>
              </w:tc>
              <w:tc>
                <w:tcPr>
                  <w:tcW w:w="3040" w:type="dxa"/>
                  <w:vAlign w:val="center"/>
                </w:tcPr>
                <w:p>
                  <w:pPr>
                    <w:jc w:val="both"/>
                    <w:rPr>
                      <w:rFonts w:hint="eastAsia"/>
                      <w:lang w:val="en-US" w:eastAsia="zh-CN"/>
                    </w:rPr>
                  </w:pPr>
                  <w:r>
                    <w:rPr>
                      <w:rFonts w:hint="eastAsia"/>
                      <w:lang w:val="en-US" w:eastAsia="zh-CN"/>
                    </w:rPr>
                    <w:t>火灾事故为0。</w:t>
                  </w:r>
                </w:p>
              </w:tc>
              <w:tc>
                <w:tcPr>
                  <w:tcW w:w="1150" w:type="dxa"/>
                  <w:vAlign w:val="center"/>
                </w:tcPr>
                <w:p>
                  <w:pPr>
                    <w:jc w:val="both"/>
                    <w:rPr>
                      <w:rFonts w:hint="eastAsia"/>
                      <w:lang w:val="en-US" w:eastAsia="zh-CN"/>
                    </w:rPr>
                  </w:pPr>
                  <w:r>
                    <w:rPr>
                      <w:rFonts w:hint="eastAsia"/>
                      <w:lang w:val="en-US" w:eastAsia="zh-CN"/>
                    </w:rPr>
                    <w:t>未发生</w:t>
                  </w:r>
                </w:p>
              </w:tc>
              <w:tc>
                <w:tcPr>
                  <w:tcW w:w="1226" w:type="dxa"/>
                  <w:vAlign w:val="center"/>
                </w:tcPr>
                <w:p>
                  <w:pPr>
                    <w:jc w:val="both"/>
                    <w:rPr>
                      <w:rFonts w:hint="eastAsia"/>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76" w:type="dxa"/>
                  <w:vMerge w:val="continue"/>
                  <w:vAlign w:val="center"/>
                </w:tcPr>
                <w:p>
                  <w:pPr>
                    <w:rPr>
                      <w:rFonts w:hint="eastAsia"/>
                      <w:lang w:val="en-US" w:eastAsia="zh-CN"/>
                    </w:rPr>
                  </w:pPr>
                </w:p>
              </w:tc>
              <w:tc>
                <w:tcPr>
                  <w:tcW w:w="3184" w:type="dxa"/>
                  <w:vAlign w:val="center"/>
                </w:tcPr>
                <w:p>
                  <w:pPr>
                    <w:jc w:val="both"/>
                    <w:rPr>
                      <w:rFonts w:hint="eastAsia"/>
                      <w:lang w:val="en-US" w:eastAsia="zh-CN"/>
                    </w:rPr>
                  </w:pPr>
                  <w:r>
                    <w:rPr>
                      <w:rFonts w:hint="eastAsia"/>
                      <w:lang w:val="en-US" w:eastAsia="zh-CN"/>
                    </w:rPr>
                    <w:t>5.组织全员按计划进行环保培训，提高员工的环保意识</w:t>
                  </w:r>
                </w:p>
              </w:tc>
              <w:tc>
                <w:tcPr>
                  <w:tcW w:w="3040" w:type="dxa"/>
                  <w:vAlign w:val="center"/>
                </w:tcPr>
                <w:p>
                  <w:pPr>
                    <w:jc w:val="both"/>
                    <w:rPr>
                      <w:rFonts w:hint="eastAsia"/>
                      <w:lang w:val="en-US" w:eastAsia="zh-CN"/>
                    </w:rPr>
                  </w:pPr>
                  <w:r>
                    <w:rPr>
                      <w:rFonts w:hint="eastAsia"/>
                      <w:lang w:val="en-US" w:eastAsia="zh-CN"/>
                    </w:rPr>
                    <w:t>公司级环保培训计划执行率≥98%</w:t>
                  </w:r>
                </w:p>
              </w:tc>
              <w:tc>
                <w:tcPr>
                  <w:tcW w:w="1150" w:type="dxa"/>
                  <w:vAlign w:val="center"/>
                </w:tcPr>
                <w:p>
                  <w:pPr>
                    <w:jc w:val="both"/>
                    <w:rPr>
                      <w:rFonts w:hint="eastAsia"/>
                      <w:lang w:val="en-US" w:eastAsia="zh-CN"/>
                    </w:rPr>
                  </w:pPr>
                  <w:r>
                    <w:rPr>
                      <w:rFonts w:hint="eastAsia"/>
                      <w:lang w:val="en-US" w:eastAsia="zh-CN"/>
                    </w:rPr>
                    <w:t>100%</w:t>
                  </w:r>
                </w:p>
              </w:tc>
              <w:tc>
                <w:tcPr>
                  <w:tcW w:w="1226" w:type="dxa"/>
                  <w:vAlign w:val="center"/>
                </w:tcPr>
                <w:p>
                  <w:pPr>
                    <w:jc w:val="both"/>
                    <w:rPr>
                      <w:rFonts w:hint="eastAsia"/>
                      <w:lang w:val="en-US" w:eastAsia="zh-CN"/>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776" w:type="dxa"/>
                  <w:vMerge w:val="restart"/>
                  <w:vAlign w:val="center"/>
                </w:tcPr>
                <w:p>
                  <w:pPr>
                    <w:rPr>
                      <w:rFonts w:hint="eastAsia"/>
                      <w:lang w:val="en-US" w:eastAsia="zh-CN"/>
                    </w:rPr>
                  </w:pPr>
                  <w:r>
                    <w:rPr>
                      <w:rFonts w:hint="eastAsia"/>
                      <w:lang w:val="en-US" w:eastAsia="zh-CN"/>
                    </w:rPr>
                    <w:t>职业健康安全</w:t>
                  </w:r>
                </w:p>
                <w:p>
                  <w:pPr>
                    <w:rPr>
                      <w:rFonts w:hint="eastAsia"/>
                      <w:lang w:val="en-US" w:eastAsia="zh-CN"/>
                    </w:rPr>
                  </w:pPr>
                </w:p>
              </w:tc>
              <w:tc>
                <w:tcPr>
                  <w:tcW w:w="3184" w:type="dxa"/>
                  <w:vAlign w:val="center"/>
                </w:tcPr>
                <w:p>
                  <w:pPr>
                    <w:jc w:val="both"/>
                    <w:rPr>
                      <w:rFonts w:hint="eastAsia"/>
                      <w:lang w:val="en-US" w:eastAsia="zh-CN"/>
                    </w:rPr>
                  </w:pPr>
                  <w:r>
                    <w:rPr>
                      <w:rFonts w:hint="eastAsia"/>
                      <w:lang w:val="en-US" w:eastAsia="zh-CN"/>
                    </w:rPr>
                    <w:t>1.确保职业健康安全法律法规</w:t>
                  </w:r>
                </w:p>
              </w:tc>
              <w:tc>
                <w:tcPr>
                  <w:tcW w:w="3040" w:type="dxa"/>
                  <w:vAlign w:val="center"/>
                </w:tcPr>
                <w:p>
                  <w:pPr>
                    <w:jc w:val="both"/>
                    <w:rPr>
                      <w:rFonts w:hint="eastAsia"/>
                      <w:lang w:val="en-US" w:eastAsia="zh-CN"/>
                    </w:rPr>
                  </w:pPr>
                  <w:r>
                    <w:rPr>
                      <w:rFonts w:hint="eastAsia"/>
                      <w:lang w:val="en-US" w:eastAsia="zh-CN"/>
                    </w:rPr>
                    <w:t>职业健康安全法律法规有效性100%</w:t>
                  </w:r>
                </w:p>
              </w:tc>
              <w:tc>
                <w:tcPr>
                  <w:tcW w:w="1150" w:type="dxa"/>
                  <w:vAlign w:val="center"/>
                </w:tcPr>
                <w:p>
                  <w:pPr>
                    <w:jc w:val="both"/>
                    <w:rPr>
                      <w:rFonts w:hint="eastAsia"/>
                      <w:lang w:val="en-US" w:eastAsia="zh-CN"/>
                    </w:rPr>
                  </w:pPr>
                  <w:r>
                    <w:rPr>
                      <w:rFonts w:hint="eastAsia"/>
                      <w:lang w:val="en-US" w:eastAsia="zh-CN"/>
                    </w:rPr>
                    <w:t>100%</w:t>
                  </w:r>
                </w:p>
              </w:tc>
              <w:tc>
                <w:tcPr>
                  <w:tcW w:w="1226" w:type="dxa"/>
                  <w:vAlign w:val="center"/>
                </w:tcPr>
                <w:p>
                  <w:pPr>
                    <w:jc w:val="both"/>
                    <w:rPr>
                      <w:rFonts w:hint="eastAsia"/>
                      <w:lang w:val="en-US" w:eastAsia="zh-CN"/>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776" w:type="dxa"/>
                  <w:vMerge w:val="continue"/>
                  <w:vAlign w:val="center"/>
                </w:tcPr>
                <w:p>
                  <w:pPr>
                    <w:rPr>
                      <w:rFonts w:hint="eastAsia"/>
                      <w:lang w:val="en-US" w:eastAsia="zh-CN"/>
                    </w:rPr>
                  </w:pPr>
                </w:p>
              </w:tc>
              <w:tc>
                <w:tcPr>
                  <w:tcW w:w="3184" w:type="dxa"/>
                  <w:vAlign w:val="center"/>
                </w:tcPr>
                <w:p>
                  <w:pPr>
                    <w:jc w:val="both"/>
                    <w:rPr>
                      <w:rFonts w:hint="eastAsia"/>
                      <w:lang w:val="en-US" w:eastAsia="zh-CN"/>
                    </w:rPr>
                  </w:pPr>
                  <w:r>
                    <w:rPr>
                      <w:rFonts w:hint="eastAsia"/>
                      <w:lang w:val="en-US" w:eastAsia="zh-CN"/>
                    </w:rPr>
                    <w:t>2.消防器材合格率≥100%</w:t>
                  </w:r>
                </w:p>
                <w:p>
                  <w:pPr>
                    <w:jc w:val="both"/>
                    <w:rPr>
                      <w:rFonts w:hint="eastAsia"/>
                      <w:lang w:val="en-US" w:eastAsia="zh-CN"/>
                    </w:rPr>
                  </w:pPr>
                  <w:r>
                    <w:rPr>
                      <w:rFonts w:hint="eastAsia"/>
                      <w:lang w:val="en-US" w:eastAsia="zh-CN"/>
                    </w:rPr>
                    <w:t>火灾的隐患下降，无火灾事故发生</w:t>
                  </w:r>
                </w:p>
              </w:tc>
              <w:tc>
                <w:tcPr>
                  <w:tcW w:w="3040" w:type="dxa"/>
                  <w:vAlign w:val="center"/>
                </w:tcPr>
                <w:p>
                  <w:pPr>
                    <w:jc w:val="both"/>
                    <w:rPr>
                      <w:rFonts w:hint="eastAsia"/>
                      <w:lang w:val="en-US" w:eastAsia="zh-CN"/>
                    </w:rPr>
                  </w:pPr>
                  <w:r>
                    <w:rPr>
                      <w:rFonts w:hint="eastAsia"/>
                      <w:lang w:val="en-US" w:eastAsia="zh-CN"/>
                    </w:rPr>
                    <w:t>消防器材合格率≥100%，</w:t>
                  </w:r>
                </w:p>
                <w:p>
                  <w:pPr>
                    <w:jc w:val="both"/>
                    <w:rPr>
                      <w:rFonts w:hint="eastAsia"/>
                      <w:lang w:val="en-US" w:eastAsia="zh-CN"/>
                    </w:rPr>
                  </w:pPr>
                  <w:r>
                    <w:rPr>
                      <w:rFonts w:hint="eastAsia"/>
                      <w:lang w:val="en-US" w:eastAsia="zh-CN"/>
                    </w:rPr>
                    <w:t>火灾事故发生率为0</w:t>
                  </w:r>
                </w:p>
              </w:tc>
              <w:tc>
                <w:tcPr>
                  <w:tcW w:w="1150" w:type="dxa"/>
                  <w:vAlign w:val="center"/>
                </w:tcPr>
                <w:p>
                  <w:pPr>
                    <w:jc w:val="both"/>
                    <w:rPr>
                      <w:rFonts w:hint="eastAsia"/>
                      <w:lang w:val="en-US" w:eastAsia="zh-CN"/>
                    </w:rPr>
                  </w:pPr>
                  <w:r>
                    <w:rPr>
                      <w:rFonts w:hint="eastAsia"/>
                      <w:lang w:val="en-US" w:eastAsia="zh-CN"/>
                    </w:rPr>
                    <w:t>100%</w:t>
                  </w:r>
                </w:p>
                <w:p>
                  <w:pPr>
                    <w:jc w:val="both"/>
                    <w:rPr>
                      <w:rFonts w:hint="eastAsia"/>
                      <w:lang w:val="en-US" w:eastAsia="zh-CN"/>
                    </w:rPr>
                  </w:pPr>
                  <w:r>
                    <w:rPr>
                      <w:rFonts w:hint="eastAsia"/>
                      <w:lang w:val="en-US" w:eastAsia="zh-CN"/>
                    </w:rPr>
                    <w:t>未发生</w:t>
                  </w:r>
                </w:p>
              </w:tc>
              <w:tc>
                <w:tcPr>
                  <w:tcW w:w="1226" w:type="dxa"/>
                  <w:vAlign w:val="center"/>
                </w:tcPr>
                <w:p>
                  <w:pPr>
                    <w:jc w:val="both"/>
                    <w:rPr>
                      <w:rFonts w:hint="eastAsia"/>
                      <w:lang w:val="en-US" w:eastAsia="zh-CN"/>
                    </w:rPr>
                  </w:pPr>
                  <w:r>
                    <w:rPr>
                      <w:rFonts w:hint="eastAsia"/>
                      <w:lang w:val="en-US" w:eastAsia="zh-CN"/>
                    </w:rPr>
                    <w:t>100%</w:t>
                  </w:r>
                </w:p>
                <w:p>
                  <w:pPr>
                    <w:jc w:val="both"/>
                    <w:rPr>
                      <w:rFonts w:hint="eastAsia"/>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776" w:type="dxa"/>
                  <w:vMerge w:val="continue"/>
                  <w:vAlign w:val="center"/>
                </w:tcPr>
                <w:p>
                  <w:pPr>
                    <w:jc w:val="left"/>
                    <w:rPr>
                      <w:rFonts w:hint="eastAsia"/>
                      <w:lang w:val="en-US" w:eastAsia="zh-CN"/>
                    </w:rPr>
                  </w:pPr>
                </w:p>
              </w:tc>
              <w:tc>
                <w:tcPr>
                  <w:tcW w:w="3184" w:type="dxa"/>
                  <w:vAlign w:val="center"/>
                </w:tcPr>
                <w:p>
                  <w:pPr>
                    <w:jc w:val="both"/>
                    <w:rPr>
                      <w:rFonts w:hint="eastAsia"/>
                      <w:lang w:val="en-US" w:eastAsia="zh-CN"/>
                    </w:rPr>
                  </w:pPr>
                  <w:r>
                    <w:rPr>
                      <w:rFonts w:hint="eastAsia"/>
                      <w:lang w:val="en-US" w:eastAsia="zh-CN"/>
                    </w:rPr>
                    <w:t>3.无重大交通事故发生</w:t>
                  </w:r>
                </w:p>
              </w:tc>
              <w:tc>
                <w:tcPr>
                  <w:tcW w:w="3040" w:type="dxa"/>
                  <w:vAlign w:val="center"/>
                </w:tcPr>
                <w:p>
                  <w:pPr>
                    <w:jc w:val="both"/>
                    <w:rPr>
                      <w:rFonts w:hint="eastAsia"/>
                      <w:lang w:val="en-US" w:eastAsia="zh-CN"/>
                    </w:rPr>
                  </w:pPr>
                  <w:r>
                    <w:rPr>
                      <w:rFonts w:hint="eastAsia"/>
                      <w:lang w:val="en-US" w:eastAsia="zh-CN"/>
                    </w:rPr>
                    <w:t>重大交通事故发生率为0</w:t>
                  </w:r>
                </w:p>
              </w:tc>
              <w:tc>
                <w:tcPr>
                  <w:tcW w:w="1150" w:type="dxa"/>
                  <w:vAlign w:val="center"/>
                </w:tcPr>
                <w:p>
                  <w:pPr>
                    <w:jc w:val="both"/>
                    <w:rPr>
                      <w:rFonts w:hint="eastAsia"/>
                      <w:lang w:val="en-US" w:eastAsia="zh-CN"/>
                    </w:rPr>
                  </w:pPr>
                  <w:r>
                    <w:rPr>
                      <w:rFonts w:hint="eastAsia"/>
                      <w:lang w:val="en-US" w:eastAsia="zh-CN"/>
                    </w:rPr>
                    <w:t>未发生</w:t>
                  </w:r>
                </w:p>
              </w:tc>
              <w:tc>
                <w:tcPr>
                  <w:tcW w:w="1226" w:type="dxa"/>
                  <w:vAlign w:val="center"/>
                </w:tcPr>
                <w:p>
                  <w:pPr>
                    <w:jc w:val="both"/>
                    <w:rPr>
                      <w:rFonts w:hint="eastAsia"/>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776" w:type="dxa"/>
                  <w:vMerge w:val="continue"/>
                  <w:vAlign w:val="center"/>
                </w:tcPr>
                <w:p>
                  <w:pPr>
                    <w:rPr>
                      <w:rFonts w:hint="eastAsia"/>
                      <w:lang w:val="en-US" w:eastAsia="zh-CN"/>
                    </w:rPr>
                  </w:pPr>
                </w:p>
              </w:tc>
              <w:tc>
                <w:tcPr>
                  <w:tcW w:w="3184" w:type="dxa"/>
                  <w:vAlign w:val="center"/>
                </w:tcPr>
                <w:p>
                  <w:pPr>
                    <w:jc w:val="both"/>
                    <w:rPr>
                      <w:rFonts w:hint="eastAsia"/>
                      <w:lang w:val="en-US" w:eastAsia="zh-CN"/>
                    </w:rPr>
                  </w:pPr>
                  <w:r>
                    <w:rPr>
                      <w:rFonts w:hint="eastAsia"/>
                      <w:lang w:val="en-US" w:eastAsia="zh-CN"/>
                    </w:rPr>
                    <w:t>4.公司级职业健康安全培训计划执行率≥98%</w:t>
                  </w:r>
                </w:p>
              </w:tc>
              <w:tc>
                <w:tcPr>
                  <w:tcW w:w="3040" w:type="dxa"/>
                  <w:vAlign w:val="center"/>
                </w:tcPr>
                <w:p>
                  <w:pPr>
                    <w:jc w:val="both"/>
                    <w:rPr>
                      <w:rFonts w:hint="eastAsia"/>
                      <w:lang w:val="en-US" w:eastAsia="zh-CN"/>
                    </w:rPr>
                  </w:pPr>
                  <w:r>
                    <w:rPr>
                      <w:rFonts w:hint="eastAsia"/>
                      <w:lang w:val="en-US" w:eastAsia="zh-CN"/>
                    </w:rPr>
                    <w:t>公司级职业健康安全培训计划执行率≥98%</w:t>
                  </w:r>
                </w:p>
              </w:tc>
              <w:tc>
                <w:tcPr>
                  <w:tcW w:w="1150" w:type="dxa"/>
                  <w:vAlign w:val="center"/>
                </w:tcPr>
                <w:p>
                  <w:pPr>
                    <w:jc w:val="both"/>
                    <w:rPr>
                      <w:rFonts w:hint="eastAsia"/>
                      <w:lang w:val="en-US" w:eastAsia="zh-CN"/>
                    </w:rPr>
                  </w:pPr>
                  <w:r>
                    <w:rPr>
                      <w:rFonts w:hint="eastAsia"/>
                      <w:lang w:val="en-US" w:eastAsia="zh-CN"/>
                    </w:rPr>
                    <w:t>100%</w:t>
                  </w:r>
                </w:p>
              </w:tc>
              <w:tc>
                <w:tcPr>
                  <w:tcW w:w="1226" w:type="dxa"/>
                  <w:vAlign w:val="center"/>
                </w:tcPr>
                <w:p>
                  <w:pPr>
                    <w:jc w:val="both"/>
                    <w:rPr>
                      <w:rFonts w:hint="eastAsia"/>
                      <w:lang w:val="en-US" w:eastAsia="zh-CN"/>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776" w:type="dxa"/>
                  <w:vMerge w:val="continue"/>
                  <w:vAlign w:val="center"/>
                </w:tcPr>
                <w:p>
                  <w:pPr>
                    <w:rPr>
                      <w:rFonts w:hint="eastAsia"/>
                      <w:lang w:val="en-US" w:eastAsia="zh-CN"/>
                    </w:rPr>
                  </w:pPr>
                </w:p>
              </w:tc>
              <w:tc>
                <w:tcPr>
                  <w:tcW w:w="3184" w:type="dxa"/>
                  <w:vAlign w:val="center"/>
                </w:tcPr>
                <w:p>
                  <w:pPr>
                    <w:jc w:val="both"/>
                    <w:rPr>
                      <w:rFonts w:hint="eastAsia"/>
                      <w:lang w:val="en-US" w:eastAsia="zh-CN"/>
                    </w:rPr>
                  </w:pPr>
                  <w:r>
                    <w:rPr>
                      <w:rFonts w:hint="eastAsia"/>
                      <w:lang w:val="en-US" w:eastAsia="zh-CN"/>
                    </w:rPr>
                    <w:t>5.建立供方档案，对供方职业健康安全宣传率≥100%</w:t>
                  </w:r>
                </w:p>
              </w:tc>
              <w:tc>
                <w:tcPr>
                  <w:tcW w:w="3040" w:type="dxa"/>
                  <w:vAlign w:val="center"/>
                </w:tcPr>
                <w:p>
                  <w:pPr>
                    <w:jc w:val="both"/>
                    <w:rPr>
                      <w:rFonts w:hint="eastAsia"/>
                      <w:lang w:val="en-US" w:eastAsia="zh-CN"/>
                    </w:rPr>
                  </w:pPr>
                  <w:r>
                    <w:rPr>
                      <w:rFonts w:hint="eastAsia"/>
                      <w:lang w:val="en-US" w:eastAsia="zh-CN"/>
                    </w:rPr>
                    <w:t>相关方职业健康安全宣传率100%</w:t>
                  </w:r>
                </w:p>
              </w:tc>
              <w:tc>
                <w:tcPr>
                  <w:tcW w:w="1150" w:type="dxa"/>
                  <w:vAlign w:val="center"/>
                </w:tcPr>
                <w:p>
                  <w:pPr>
                    <w:jc w:val="both"/>
                    <w:rPr>
                      <w:rFonts w:hint="eastAsia"/>
                      <w:lang w:val="en-US" w:eastAsia="zh-CN"/>
                    </w:rPr>
                  </w:pPr>
                  <w:r>
                    <w:rPr>
                      <w:rFonts w:hint="eastAsia"/>
                      <w:lang w:val="en-US" w:eastAsia="zh-CN"/>
                    </w:rPr>
                    <w:t>100%</w:t>
                  </w:r>
                </w:p>
              </w:tc>
              <w:tc>
                <w:tcPr>
                  <w:tcW w:w="1226" w:type="dxa"/>
                  <w:vAlign w:val="center"/>
                </w:tcPr>
                <w:p>
                  <w:pPr>
                    <w:jc w:val="both"/>
                    <w:rPr>
                      <w:rFonts w:hint="eastAsia"/>
                      <w:lang w:val="en-US" w:eastAsia="zh-CN"/>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776" w:type="dxa"/>
                  <w:vMerge w:val="continue"/>
                  <w:vAlign w:val="center"/>
                </w:tcPr>
                <w:p>
                  <w:pPr>
                    <w:rPr>
                      <w:rFonts w:hint="eastAsia"/>
                      <w:lang w:val="en-US" w:eastAsia="zh-CN"/>
                    </w:rPr>
                  </w:pPr>
                </w:p>
              </w:tc>
              <w:tc>
                <w:tcPr>
                  <w:tcW w:w="3184" w:type="dxa"/>
                  <w:vAlign w:val="center"/>
                </w:tcPr>
                <w:p>
                  <w:pPr>
                    <w:jc w:val="both"/>
                    <w:rPr>
                      <w:rFonts w:hint="eastAsia"/>
                      <w:lang w:val="en-US" w:eastAsia="zh-CN"/>
                    </w:rPr>
                  </w:pPr>
                  <w:r>
                    <w:rPr>
                      <w:rFonts w:hint="eastAsia"/>
                      <w:lang w:val="en-US" w:eastAsia="zh-CN"/>
                    </w:rPr>
                    <w:t>6.及时处理并反馈员工反映的职业健康安全相关意见。</w:t>
                  </w:r>
                </w:p>
              </w:tc>
              <w:tc>
                <w:tcPr>
                  <w:tcW w:w="3040" w:type="dxa"/>
                  <w:vAlign w:val="center"/>
                </w:tcPr>
                <w:p>
                  <w:pPr>
                    <w:jc w:val="both"/>
                    <w:rPr>
                      <w:rFonts w:hint="eastAsia"/>
                      <w:lang w:val="en-US" w:eastAsia="zh-CN"/>
                    </w:rPr>
                  </w:pPr>
                  <w:r>
                    <w:rPr>
                      <w:rFonts w:hint="eastAsia"/>
                      <w:lang w:val="en-US" w:eastAsia="zh-CN"/>
                    </w:rPr>
                    <w:t>员工反馈意见处理率100%</w:t>
                  </w:r>
                </w:p>
              </w:tc>
              <w:tc>
                <w:tcPr>
                  <w:tcW w:w="1150" w:type="dxa"/>
                  <w:vAlign w:val="center"/>
                </w:tcPr>
                <w:p>
                  <w:pPr>
                    <w:jc w:val="both"/>
                    <w:rPr>
                      <w:rFonts w:hint="eastAsia"/>
                      <w:lang w:val="en-US" w:eastAsia="zh-CN"/>
                    </w:rPr>
                  </w:pPr>
                  <w:r>
                    <w:rPr>
                      <w:rFonts w:hint="eastAsia"/>
                      <w:lang w:val="en-US" w:eastAsia="zh-CN"/>
                    </w:rPr>
                    <w:t>100%</w:t>
                  </w:r>
                </w:p>
              </w:tc>
              <w:tc>
                <w:tcPr>
                  <w:tcW w:w="1226" w:type="dxa"/>
                  <w:vAlign w:val="center"/>
                </w:tcPr>
                <w:p>
                  <w:pPr>
                    <w:jc w:val="both"/>
                    <w:rPr>
                      <w:rFonts w:hint="eastAsia"/>
                      <w:lang w:val="en-US" w:eastAsia="zh-CN"/>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776" w:type="dxa"/>
                  <w:vAlign w:val="center"/>
                </w:tcPr>
                <w:p>
                  <w:pPr>
                    <w:rPr>
                      <w:rFonts w:hint="eastAsia"/>
                      <w:lang w:val="en-US" w:eastAsia="zh-CN"/>
                    </w:rPr>
                  </w:pPr>
                </w:p>
              </w:tc>
              <w:tc>
                <w:tcPr>
                  <w:tcW w:w="3184" w:type="dxa"/>
                  <w:vAlign w:val="center"/>
                </w:tcPr>
                <w:p>
                  <w:pPr>
                    <w:rPr>
                      <w:rFonts w:hint="eastAsia"/>
                      <w:lang w:val="en-US" w:eastAsia="zh-CN"/>
                    </w:rPr>
                  </w:pPr>
                </w:p>
              </w:tc>
              <w:tc>
                <w:tcPr>
                  <w:tcW w:w="3040" w:type="dxa"/>
                  <w:vAlign w:val="center"/>
                </w:tcPr>
                <w:p>
                  <w:pPr>
                    <w:rPr>
                      <w:rFonts w:hint="eastAsia"/>
                      <w:lang w:val="en-US" w:eastAsia="zh-CN"/>
                    </w:rPr>
                  </w:pPr>
                </w:p>
              </w:tc>
              <w:tc>
                <w:tcPr>
                  <w:tcW w:w="1150" w:type="dxa"/>
                  <w:vAlign w:val="center"/>
                </w:tcPr>
                <w:p>
                  <w:pPr>
                    <w:jc w:val="left"/>
                    <w:rPr>
                      <w:rFonts w:hint="eastAsia"/>
                      <w:lang w:val="en-US" w:eastAsia="zh-CN"/>
                    </w:rPr>
                  </w:pPr>
                  <w:r>
                    <w:rPr>
                      <w:rFonts w:hint="eastAsia"/>
                      <w:lang w:val="en-US" w:eastAsia="zh-CN"/>
                    </w:rPr>
                    <w:t>张鹏2022.7.5</w:t>
                  </w:r>
                </w:p>
              </w:tc>
              <w:tc>
                <w:tcPr>
                  <w:tcW w:w="1226" w:type="dxa"/>
                  <w:vAlign w:val="center"/>
                </w:tcPr>
                <w:p>
                  <w:pPr>
                    <w:jc w:val="left"/>
                    <w:rPr>
                      <w:rFonts w:hint="eastAsia"/>
                      <w:lang w:val="en-US" w:eastAsia="zh-CN"/>
                    </w:rPr>
                  </w:pPr>
                  <w:r>
                    <w:rPr>
                      <w:rFonts w:hint="eastAsia"/>
                      <w:lang w:val="en-US" w:eastAsia="zh-CN"/>
                    </w:rPr>
                    <w:t>张鹏2022.10.6</w:t>
                  </w:r>
                </w:p>
              </w:tc>
            </w:tr>
          </w:tbl>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查管理方案落实情况：</w:t>
            </w:r>
          </w:p>
          <w:p>
            <w:pPr>
              <w:rPr>
                <w:rFonts w:hint="eastAsia"/>
                <w:lang w:val="en-US" w:eastAsia="zh-CN"/>
              </w:rPr>
            </w:pPr>
            <w:r>
              <w:rPr>
                <w:rFonts w:hint="eastAsia"/>
                <w:lang w:val="en-US" w:eastAsia="zh-CN"/>
              </w:rPr>
              <w:t>企业编制了环境/职业健康安全目标指标管理方案；</w:t>
            </w:r>
          </w:p>
          <w:p>
            <w:pPr>
              <w:spacing w:line="320" w:lineRule="exact"/>
              <w:rPr>
                <w:rFonts w:hint="eastAsia"/>
                <w:lang w:val="en-US" w:eastAsia="zh-CN"/>
              </w:rPr>
            </w:pPr>
            <w:r>
              <w:rPr>
                <w:rFonts w:hint="eastAsia"/>
                <w:lang w:val="en-US" w:eastAsia="zh-CN"/>
              </w:rPr>
              <w:t>————抽目标指标:固体废弃物统一处理率100%；</w:t>
            </w:r>
          </w:p>
          <w:p>
            <w:pPr>
              <w:numPr>
                <w:ilvl w:val="0"/>
                <w:numId w:val="0"/>
              </w:numPr>
              <w:ind w:leftChars="0"/>
              <w:rPr>
                <w:rFonts w:hint="eastAsia"/>
              </w:rPr>
            </w:pPr>
            <w:r>
              <w:rPr>
                <w:rFonts w:hint="eastAsia"/>
                <w:lang w:val="en-US" w:eastAsia="zh-CN"/>
              </w:rPr>
              <w:t>管理方案：1.施工场所</w:t>
            </w:r>
            <w:r>
              <w:rPr>
                <w:rFonts w:hint="eastAsia"/>
              </w:rPr>
              <w:t>设置垃圾池堆放固体废弃物，可回收和不可回收的固体废弃物分池堆放，按分类标准加以划分。</w:t>
            </w:r>
          </w:p>
          <w:p>
            <w:pPr>
              <w:numPr>
                <w:ilvl w:val="0"/>
                <w:numId w:val="0"/>
              </w:numPr>
              <w:ind w:leftChars="0"/>
              <w:rPr>
                <w:rFonts w:hint="eastAsia"/>
              </w:rPr>
            </w:pPr>
            <w:r>
              <w:rPr>
                <w:rFonts w:hint="eastAsia"/>
                <w:lang w:val="en-US" w:eastAsia="zh-CN"/>
              </w:rPr>
              <w:t>2.</w:t>
            </w:r>
            <w:r>
              <w:rPr>
                <w:rFonts w:hint="eastAsia"/>
              </w:rPr>
              <w:t>委托有资质的单位对废弃物进行处理，有害固体废弃物要交持有“有害废弃物经营许可证” 的单位处理。</w:t>
            </w:r>
          </w:p>
          <w:p>
            <w:pPr>
              <w:spacing w:line="320" w:lineRule="exact"/>
              <w:rPr>
                <w:rFonts w:hint="eastAsia"/>
                <w:lang w:val="en-US" w:eastAsia="zh-CN"/>
              </w:rPr>
            </w:pPr>
            <w:r>
              <w:rPr>
                <w:rFonts w:hint="eastAsia"/>
                <w:lang w:val="en-US" w:eastAsia="zh-CN"/>
              </w:rPr>
              <w:t>3.</w:t>
            </w:r>
            <w:r>
              <w:rPr>
                <w:rFonts w:hint="eastAsia"/>
              </w:rPr>
              <w:t>施工过程中产生的固体废弃物要及时清运处理。</w:t>
            </w:r>
          </w:p>
          <w:p>
            <w:pPr>
              <w:spacing w:line="320" w:lineRule="exact"/>
              <w:rPr>
                <w:rFonts w:hint="eastAsia"/>
                <w:lang w:val="en-US" w:eastAsia="zh-CN"/>
              </w:rPr>
            </w:pPr>
            <w:r>
              <w:rPr>
                <w:rFonts w:hint="eastAsia"/>
                <w:lang w:val="en-US" w:eastAsia="zh-CN"/>
              </w:rPr>
              <w:t>责任部门：各部门，费用投入：20000元；</w:t>
            </w:r>
          </w:p>
          <w:p>
            <w:pPr>
              <w:rPr>
                <w:rFonts w:hint="eastAsia"/>
                <w:lang w:val="en-US" w:eastAsia="zh-CN"/>
              </w:rPr>
            </w:pPr>
            <w:r>
              <w:rPr>
                <w:rFonts w:hint="eastAsia"/>
                <w:lang w:val="en-US" w:eastAsia="zh-CN"/>
              </w:rPr>
              <w:t>——抽目标指标：在施工过程中用电亡人率为0；</w:t>
            </w:r>
          </w:p>
          <w:p>
            <w:pPr>
              <w:rPr>
                <w:rFonts w:hint="eastAsia"/>
                <w:lang w:val="en-US" w:eastAsia="zh-CN"/>
              </w:rPr>
            </w:pPr>
            <w:r>
              <w:rPr>
                <w:rFonts w:hint="eastAsia"/>
                <w:lang w:val="en-US" w:eastAsia="zh-CN"/>
              </w:rPr>
              <w:t>管理方案：1、对操作人员进行培训，熟悉各种设备的操作规范。</w:t>
            </w:r>
          </w:p>
          <w:p>
            <w:pPr>
              <w:rPr>
                <w:rFonts w:hint="eastAsia"/>
                <w:lang w:val="en-US" w:eastAsia="zh-CN"/>
              </w:rPr>
            </w:pPr>
            <w:r>
              <w:rPr>
                <w:rFonts w:hint="eastAsia"/>
                <w:lang w:val="en-US" w:eastAsia="zh-CN"/>
              </w:rPr>
              <w:t>2、作业前对电器设备进行检查，确定符合规定后，方可进行作业。</w:t>
            </w:r>
          </w:p>
          <w:p>
            <w:pPr>
              <w:rPr>
                <w:rFonts w:hint="eastAsia"/>
                <w:lang w:val="en-US" w:eastAsia="zh-CN"/>
              </w:rPr>
            </w:pPr>
            <w:r>
              <w:rPr>
                <w:rFonts w:hint="eastAsia"/>
                <w:lang w:val="en-US" w:eastAsia="zh-CN"/>
              </w:rPr>
              <w:t>3、在设备负荷线首端设置安全有效的漏电保护器。</w:t>
            </w:r>
          </w:p>
          <w:p>
            <w:pPr>
              <w:rPr>
                <w:rFonts w:hint="eastAsia"/>
                <w:lang w:val="en-US" w:eastAsia="zh-CN"/>
              </w:rPr>
            </w:pPr>
            <w:r>
              <w:rPr>
                <w:rFonts w:hint="eastAsia"/>
                <w:lang w:val="en-US" w:eastAsia="zh-CN"/>
              </w:rPr>
              <w:t>4、定期对设备及线路进行检查，破损、老化、裸露的设备、线路及时更换。尤其强调对漏电保护装置的检测，一旦发现失灵，及时维修或更换。非电工不许触动、装拆、修理电器设备。</w:t>
            </w:r>
          </w:p>
          <w:p>
            <w:pPr>
              <w:rPr>
                <w:rFonts w:hint="eastAsia"/>
                <w:lang w:val="en-US" w:eastAsia="zh-CN"/>
              </w:rPr>
            </w:pPr>
            <w:r>
              <w:rPr>
                <w:rFonts w:hint="eastAsia"/>
                <w:lang w:val="en-US" w:eastAsia="zh-CN"/>
              </w:rPr>
              <w:t>5、电气设备安装、调试符合规范或技术要求。</w:t>
            </w:r>
          </w:p>
          <w:p>
            <w:pPr>
              <w:rPr>
                <w:rFonts w:hint="eastAsia"/>
                <w:lang w:val="en-US" w:eastAsia="zh-CN"/>
              </w:rPr>
            </w:pPr>
            <w:r>
              <w:rPr>
                <w:rFonts w:hint="eastAsia"/>
                <w:lang w:val="en-US" w:eastAsia="zh-CN"/>
              </w:rPr>
              <w:t>6、电器线路安装由专业人员操作，不得私拉乱接。</w:t>
            </w:r>
          </w:p>
          <w:p>
            <w:pPr>
              <w:rPr>
                <w:rFonts w:hint="eastAsia"/>
                <w:lang w:val="en-US" w:eastAsia="zh-CN"/>
              </w:rPr>
            </w:pPr>
            <w:r>
              <w:rPr>
                <w:rFonts w:hint="eastAsia"/>
                <w:lang w:val="en-US" w:eastAsia="zh-CN"/>
              </w:rPr>
              <w:t>7、施工电缆必须架空或埋于地下，不能平地而放。施工作业电线应架空，不能随地拖线及导线浸水或被土石掩埋，严禁导线随意绑在钢筋笼或其他铁支架上。</w:t>
            </w:r>
          </w:p>
          <w:p>
            <w:pPr>
              <w:rPr>
                <w:rFonts w:hint="eastAsia"/>
                <w:lang w:val="en-US" w:eastAsia="zh-CN"/>
              </w:rPr>
            </w:pPr>
            <w:r>
              <w:rPr>
                <w:rFonts w:hint="eastAsia"/>
                <w:lang w:val="en-US" w:eastAsia="zh-CN"/>
              </w:rPr>
              <w:t>8、为防止潜水泵、振动棒等电伤人，应采用三相五线制，“三级配电”，“两级保护”，实行一机一闸一保险。</w:t>
            </w:r>
          </w:p>
          <w:p>
            <w:pPr>
              <w:rPr>
                <w:rFonts w:hint="eastAsia"/>
                <w:lang w:val="en-US" w:eastAsia="zh-CN"/>
              </w:rPr>
            </w:pPr>
            <w:r>
              <w:rPr>
                <w:rFonts w:hint="eastAsia"/>
                <w:lang w:val="en-US" w:eastAsia="zh-CN"/>
              </w:rPr>
              <w:t>9、必须设两级保护配电箱，配电箱应安门、上锁，及防雨、防潮设施，并指令专人负责。按用电量安装保险丝，不得用钢、铝、锌代替保险丝。</w:t>
            </w:r>
          </w:p>
          <w:p>
            <w:pPr>
              <w:rPr>
                <w:rFonts w:hint="eastAsia"/>
                <w:lang w:val="en-US" w:eastAsia="zh-CN"/>
              </w:rPr>
            </w:pPr>
            <w:r>
              <w:rPr>
                <w:rFonts w:hint="eastAsia"/>
                <w:lang w:val="en-US" w:eastAsia="zh-CN"/>
              </w:rPr>
              <w:t>10、操作手持电动工具的人员，作业前必须认真检查设备绝缘情况，穿戴好工作服和绝缘手套及绝缘鞋。</w:t>
            </w:r>
          </w:p>
          <w:p>
            <w:pPr>
              <w:rPr>
                <w:rFonts w:hint="eastAsia"/>
                <w:lang w:val="en-US" w:eastAsia="zh-CN"/>
              </w:rPr>
            </w:pPr>
            <w:r>
              <w:rPr>
                <w:rFonts w:hint="eastAsia"/>
                <w:lang w:val="en-US" w:eastAsia="zh-CN"/>
              </w:rPr>
              <w:t>责任部门：各部门，费用投入：5000元；</w:t>
            </w:r>
          </w:p>
          <w:p>
            <w:pPr>
              <w:pStyle w:val="2"/>
              <w:rPr>
                <w:rFonts w:hint="eastAsia"/>
                <w:lang w:val="en-US" w:eastAsia="zh-CN"/>
              </w:rPr>
            </w:pPr>
            <w:r>
              <w:rPr>
                <w:rFonts w:hint="eastAsia"/>
                <w:lang w:val="en-US" w:eastAsia="zh-CN"/>
              </w:rPr>
              <w:t>另查其他目标指标均制定了管理方案，落实了责任部门和检查人员。</w:t>
            </w:r>
          </w:p>
          <w:p>
            <w:pPr>
              <w:rPr>
                <w:rFonts w:hint="eastAsia"/>
                <w:lang w:val="en-US" w:eastAsia="zh-CN"/>
              </w:rPr>
            </w:pPr>
            <w:r>
              <w:rPr>
                <w:rFonts w:hint="eastAsia"/>
                <w:lang w:val="en-US" w:eastAsia="zh-CN"/>
              </w:rPr>
              <w:t>提供了《管理方案完成情况监控记录》，每季度对目标指标落实情况进行检查，完成了各项目标指标，检查人：张鹏。</w:t>
            </w:r>
          </w:p>
          <w:p>
            <w:pPr>
              <w:pStyle w:val="2"/>
              <w:rPr>
                <w:rFonts w:hint="eastAsia"/>
                <w:lang w:val="en-US" w:eastAsia="zh-CN"/>
              </w:rPr>
            </w:pPr>
            <w:r>
              <w:rPr>
                <w:rFonts w:hint="eastAsia" w:ascii="宋体" w:hAnsi="宋体" w:cs="宋体"/>
                <w:kern w:val="2"/>
                <w:sz w:val="21"/>
                <w:szCs w:val="21"/>
                <w:lang w:val="en-US" w:eastAsia="zh-CN" w:bidi="ar-SA"/>
              </w:rPr>
              <w:t>符合要求。</w:t>
            </w:r>
          </w:p>
        </w:tc>
        <w:tc>
          <w:tcPr>
            <w:tcW w:w="874" w:type="dxa"/>
            <w:vAlign w:val="top"/>
          </w:tcPr>
          <w:p>
            <w:pPr>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1535" w:type="dxa"/>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环境因素、危险源</w:t>
            </w:r>
          </w:p>
        </w:tc>
        <w:tc>
          <w:tcPr>
            <w:tcW w:w="810" w:type="dxa"/>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EO</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6.1.2</w:t>
            </w:r>
          </w:p>
        </w:tc>
        <w:tc>
          <w:tcPr>
            <w:tcW w:w="11490" w:type="dxa"/>
            <w:vAlign w:val="top"/>
          </w:tcPr>
          <w:p>
            <w:pPr>
              <w:rPr>
                <w:rFonts w:hint="eastAsia" w:ascii="宋体" w:hAnsi="宋体" w:eastAsia="宋体" w:cs="宋体"/>
                <w:sz w:val="21"/>
                <w:szCs w:val="21"/>
                <w:lang w:eastAsia="zh-CN"/>
              </w:rPr>
            </w:pPr>
            <w:r>
              <w:rPr>
                <w:rFonts w:hint="eastAsia" w:ascii="宋体" w:hAnsi="宋体" w:eastAsia="宋体" w:cs="宋体"/>
                <w:sz w:val="21"/>
                <w:szCs w:val="21"/>
              </w:rPr>
              <w:sym w:font="Wingdings 2" w:char="F098"/>
            </w:r>
            <w:r>
              <w:rPr>
                <w:rFonts w:hint="eastAsia" w:ascii="宋体" w:hAnsi="宋体" w:eastAsia="宋体" w:cs="宋体"/>
                <w:sz w:val="21"/>
                <w:szCs w:val="21"/>
                <w:lang w:eastAsia="zh-CN"/>
              </w:rPr>
              <w:t>编制了《环境因素识别与评价控制程序》《危险源识别及风险评价控制程序》，用于识别和控制与各过程相关的环境因素和危险源，</w:t>
            </w:r>
            <w:r>
              <w:rPr>
                <w:rFonts w:hint="eastAsia" w:ascii="宋体" w:hAnsi="宋体" w:cs="宋体"/>
                <w:sz w:val="21"/>
                <w:szCs w:val="21"/>
                <w:lang w:eastAsia="zh-CN"/>
              </w:rPr>
              <w:t>总经办</w:t>
            </w:r>
            <w:r>
              <w:rPr>
                <w:rFonts w:hint="eastAsia" w:ascii="宋体" w:hAnsi="宋体" w:eastAsia="宋体" w:cs="宋体"/>
                <w:sz w:val="21"/>
                <w:szCs w:val="21"/>
                <w:lang w:eastAsia="zh-CN"/>
              </w:rPr>
              <w:t>为归口部门，程序规定了环境因素和危险源识别的要求和方法，时机与频次（一般每年一次）。</w:t>
            </w:r>
          </w:p>
          <w:p>
            <w:pPr>
              <w:rPr>
                <w:rFonts w:hint="eastAsia" w:ascii="宋体" w:hAnsi="宋体" w:eastAsia="宋体" w:cs="宋体"/>
                <w:sz w:val="21"/>
                <w:szCs w:val="21"/>
                <w:lang w:val="en-US" w:eastAsia="zh-CN"/>
              </w:rPr>
            </w:pPr>
            <w:r>
              <w:rPr>
                <w:rFonts w:hint="eastAsia" w:ascii="宋体" w:hAnsi="宋体" w:eastAsia="宋体" w:cs="宋体"/>
                <w:sz w:val="21"/>
                <w:szCs w:val="21"/>
              </w:rPr>
              <w:sym w:font="Wingdings 2" w:char="F098"/>
            </w:r>
            <w:r>
              <w:rPr>
                <w:rFonts w:hint="eastAsia" w:ascii="宋体" w:hAnsi="宋体" w:eastAsia="宋体" w:cs="宋体"/>
                <w:sz w:val="21"/>
                <w:szCs w:val="21"/>
                <w:lang w:eastAsia="zh-CN"/>
              </w:rPr>
              <w:t>提供了</w:t>
            </w:r>
            <w:r>
              <w:rPr>
                <w:rFonts w:hint="eastAsia" w:ascii="宋体" w:hAnsi="宋体" w:cs="宋体"/>
                <w:sz w:val="21"/>
                <w:szCs w:val="21"/>
                <w:lang w:eastAsia="zh-CN"/>
              </w:rPr>
              <w:t>各部门</w:t>
            </w:r>
            <w:r>
              <w:rPr>
                <w:rFonts w:hint="eastAsia" w:ascii="Times New Roman" w:hAnsi="Times New Roman" w:eastAsia="宋体" w:cs="Times New Roman"/>
                <w:lang w:eastAsia="zh-CN"/>
              </w:rPr>
              <w:t>《环境因素清单及识别、评价表》，各部门进行了本部门环境因素的识别，其中</w:t>
            </w:r>
            <w:r>
              <w:rPr>
                <w:rFonts w:hint="eastAsia" w:ascii="宋体" w:hAnsi="宋体" w:cs="宋体"/>
                <w:sz w:val="21"/>
                <w:szCs w:val="21"/>
                <w:lang w:eastAsia="zh-CN"/>
              </w:rPr>
              <w:t>总经办</w:t>
            </w:r>
            <w:r>
              <w:rPr>
                <w:rFonts w:hint="eastAsia" w:ascii="宋体" w:hAnsi="宋体" w:eastAsia="宋体" w:cs="宋体"/>
                <w:sz w:val="21"/>
                <w:szCs w:val="21"/>
                <w:lang w:eastAsia="zh-CN"/>
              </w:rPr>
              <w:t>识别出</w:t>
            </w:r>
            <w:r>
              <w:rPr>
                <w:rFonts w:hint="eastAsia" w:ascii="宋体" w:hAnsi="宋体" w:eastAsia="宋体" w:cs="宋体"/>
                <w:sz w:val="21"/>
                <w:szCs w:val="21"/>
                <w:lang w:val="en-US" w:eastAsia="zh-CN"/>
              </w:rPr>
              <w:t>环境因素主要包括：日常办公过程的电脑使用、空调室的能源消耗，办公纸张的浪费、生活用水的消耗、电源线路老化、漏电或其他原因导致火灾的发生、生活废水、生活垃圾的产生等；卫生清洁产生废水等；评价表对活动、过程中产生的环境因素的状态、时态、可能造成的污染进行了分类，并制定了对应的控制措施如制定程序控制，运行检查等。</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采用是否法评价出了重要环境因素，编制了《重要环境因素清单》，重要环境因素为固体废弃物排放、</w:t>
            </w:r>
            <w:r>
              <w:rPr>
                <w:rFonts w:hint="eastAsia" w:ascii="宋体" w:hAnsi="宋体" w:cs="宋体"/>
                <w:sz w:val="21"/>
                <w:szCs w:val="21"/>
                <w:lang w:val="en-US" w:eastAsia="zh-CN"/>
              </w:rPr>
              <w:t>噪声排放、扬尘排放</w:t>
            </w:r>
            <w:r>
              <w:rPr>
                <w:rFonts w:hint="eastAsia" w:ascii="宋体" w:hAnsi="宋体" w:eastAsia="宋体" w:cs="宋体"/>
                <w:sz w:val="21"/>
                <w:szCs w:val="21"/>
                <w:lang w:val="en-US" w:eastAsia="zh-CN"/>
              </w:rPr>
              <w:t>。</w:t>
            </w:r>
          </w:p>
          <w:p>
            <w:pPr>
              <w:rPr>
                <w:rFonts w:hint="eastAsia" w:ascii="宋体" w:hAnsi="宋体" w:eastAsia="宋体" w:cs="宋体"/>
                <w:sz w:val="21"/>
                <w:szCs w:val="21"/>
                <w:lang w:val="en-US" w:eastAsia="zh-CN"/>
              </w:rPr>
            </w:pPr>
            <w:r>
              <w:rPr>
                <w:rFonts w:hint="eastAsia" w:ascii="宋体" w:hAnsi="宋体" w:eastAsia="宋体" w:cs="宋体"/>
                <w:sz w:val="21"/>
                <w:szCs w:val="21"/>
              </w:rPr>
              <w:sym w:font="Wingdings 2" w:char="F098"/>
            </w:r>
            <w:r>
              <w:rPr>
                <w:rFonts w:hint="eastAsia" w:ascii="宋体" w:hAnsi="宋体" w:eastAsia="宋体" w:cs="宋体"/>
                <w:sz w:val="21"/>
                <w:szCs w:val="21"/>
                <w:lang w:val="en-US" w:eastAsia="zh-CN"/>
              </w:rPr>
              <w:t>提供了</w:t>
            </w:r>
            <w:r>
              <w:rPr>
                <w:rFonts w:hint="eastAsia" w:ascii="宋体" w:hAnsi="宋体" w:cs="宋体"/>
                <w:sz w:val="21"/>
                <w:szCs w:val="21"/>
                <w:lang w:val="en-US" w:eastAsia="zh-CN"/>
              </w:rPr>
              <w:t>各部门</w:t>
            </w:r>
            <w:r>
              <w:rPr>
                <w:rFonts w:hint="eastAsia" w:ascii="宋体" w:hAnsi="宋体" w:eastAsia="宋体" w:cs="宋体"/>
                <w:sz w:val="21"/>
                <w:szCs w:val="21"/>
                <w:lang w:val="en-US" w:eastAsia="zh-CN"/>
              </w:rPr>
              <w:t>《危险源辨识评价表》，通过活动过程对危险源进行了识别，</w:t>
            </w:r>
            <w:r>
              <w:rPr>
                <w:rFonts w:hint="eastAsia" w:ascii="宋体" w:hAnsi="宋体" w:cs="宋体"/>
                <w:sz w:val="21"/>
                <w:szCs w:val="21"/>
                <w:lang w:val="en-US" w:eastAsia="zh-CN"/>
              </w:rPr>
              <w:t>总经办</w:t>
            </w:r>
            <w:r>
              <w:rPr>
                <w:rFonts w:hint="eastAsia" w:ascii="宋体" w:hAnsi="宋体" w:eastAsia="宋体" w:cs="宋体"/>
                <w:sz w:val="21"/>
                <w:szCs w:val="21"/>
                <w:lang w:val="en-US" w:eastAsia="zh-CN"/>
              </w:rPr>
              <w:t>涉及到的危险源包括：</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乱拉接线路引发触电、火灾、电脑的辐射、打印机的辐射、从楼梯上摔伤、电梯伤害、交通事故、劳保用品未定期发放造成人员伤害或伤亡、传染病感染等的风险，针对识别出的危险源制定了控制措施，采用LEC定量评价法评估出重大危险源，编制了《</w:t>
            </w:r>
            <w:r>
              <w:rPr>
                <w:rFonts w:hint="eastAsia" w:ascii="宋体" w:hAnsi="宋体" w:cs="宋体"/>
                <w:sz w:val="21"/>
                <w:szCs w:val="21"/>
                <w:lang w:val="en-US" w:eastAsia="zh-CN"/>
              </w:rPr>
              <w:t>不可接受风险</w:t>
            </w:r>
            <w:r>
              <w:rPr>
                <w:rFonts w:hint="eastAsia" w:ascii="宋体" w:hAnsi="宋体" w:eastAsia="宋体" w:cs="宋体"/>
                <w:sz w:val="21"/>
                <w:szCs w:val="21"/>
                <w:lang w:val="en-US" w:eastAsia="zh-CN"/>
              </w:rPr>
              <w:t>清单》</w:t>
            </w:r>
            <w:r>
              <w:rPr>
                <w:rFonts w:hint="eastAsia" w:ascii="宋体" w:hAnsi="宋体" w:cs="宋体"/>
                <w:sz w:val="21"/>
                <w:szCs w:val="21"/>
                <w:lang w:val="en-US" w:eastAsia="zh-CN"/>
              </w:rPr>
              <w:t>评价出不可接受风险为：火灾、机械伤害、物体打击、机械噪音、设备、线路漏电、高处坠落、起重伤害。</w:t>
            </w:r>
          </w:p>
          <w:p>
            <w:pPr>
              <w:rPr>
                <w:rFonts w:hint="eastAsia" w:ascii="宋体" w:hAnsi="宋体" w:eastAsia="宋体" w:cs="宋体"/>
                <w:color w:val="0000FF"/>
                <w:kern w:val="2"/>
                <w:sz w:val="21"/>
                <w:szCs w:val="21"/>
                <w:lang w:val="en-US" w:eastAsia="zh-CN" w:bidi="ar-SA"/>
              </w:rPr>
            </w:pPr>
            <w:r>
              <w:rPr>
                <w:rFonts w:hint="eastAsia" w:ascii="宋体" w:hAnsi="宋体" w:eastAsia="宋体" w:cs="宋体"/>
                <w:sz w:val="21"/>
                <w:szCs w:val="21"/>
                <w:lang w:val="en-US" w:eastAsia="zh-CN"/>
              </w:rPr>
              <w:t>对识别出的重要环境因素和不可接受风险，均制定了相应的管理措施如废弃物管理办法、应急预案、培训、演练、设备操作规程、定期检查等。</w:t>
            </w:r>
          </w:p>
        </w:tc>
        <w:tc>
          <w:tcPr>
            <w:tcW w:w="874" w:type="dxa"/>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8" w:hRule="atLeast"/>
        </w:trPr>
        <w:tc>
          <w:tcPr>
            <w:tcW w:w="1535" w:type="dxa"/>
            <w:vAlign w:val="top"/>
          </w:tcPr>
          <w:p>
            <w:pPr>
              <w:rPr>
                <w:rFonts w:hint="eastAsia"/>
                <w:lang w:eastAsia="zh-CN"/>
              </w:rPr>
            </w:pPr>
            <w:r>
              <w:rPr>
                <w:rFonts w:hint="eastAsia"/>
                <w:lang w:eastAsia="zh-CN"/>
              </w:rPr>
              <w:t>法律法规和其他要求的确定</w:t>
            </w:r>
          </w:p>
          <w:p>
            <w:pPr>
              <w:pStyle w:val="2"/>
              <w:rPr>
                <w:rFonts w:hint="eastAsia" w:ascii="宋体" w:hAnsi="宋体" w:eastAsia="宋体" w:cs="宋体"/>
                <w:sz w:val="21"/>
                <w:szCs w:val="21"/>
                <w:lang w:eastAsia="zh-CN"/>
              </w:rPr>
            </w:pPr>
          </w:p>
          <w:p>
            <w:pPr>
              <w:pStyle w:val="2"/>
              <w:rPr>
                <w:rFonts w:hint="eastAsia" w:ascii="宋体" w:hAnsi="宋体" w:eastAsia="宋体" w:cs="宋体"/>
                <w:sz w:val="21"/>
                <w:szCs w:val="21"/>
                <w:lang w:eastAsia="zh-CN"/>
              </w:rPr>
            </w:pPr>
            <w:r>
              <w:rPr>
                <w:rFonts w:hint="eastAsia" w:ascii="宋体" w:hAnsi="宋体" w:cs="宋体"/>
                <w:sz w:val="21"/>
                <w:szCs w:val="21"/>
                <w:lang w:eastAsia="zh-CN"/>
              </w:rPr>
              <w:t>合规性评价</w:t>
            </w:r>
          </w:p>
        </w:tc>
        <w:tc>
          <w:tcPr>
            <w:tcW w:w="810" w:type="dxa"/>
            <w:vAlign w:val="top"/>
          </w:tcPr>
          <w:p>
            <w:pPr>
              <w:rPr>
                <w:rFonts w:hint="eastAsia"/>
                <w:lang w:val="en-US" w:eastAsia="zh-CN"/>
              </w:rPr>
            </w:pPr>
            <w:r>
              <w:rPr>
                <w:rFonts w:hint="eastAsia"/>
                <w:lang w:val="en-US" w:eastAsia="zh-CN"/>
              </w:rPr>
              <w:t>EO</w:t>
            </w:r>
          </w:p>
          <w:p>
            <w:pPr>
              <w:rPr>
                <w:rFonts w:hint="eastAsia"/>
                <w:lang w:val="en-US" w:eastAsia="zh-CN"/>
              </w:rPr>
            </w:pPr>
            <w:r>
              <w:rPr>
                <w:rFonts w:hint="eastAsia"/>
                <w:lang w:val="en-US" w:eastAsia="zh-CN"/>
              </w:rPr>
              <w:t>6.1.3</w:t>
            </w:r>
          </w:p>
          <w:p>
            <w:pPr>
              <w:pStyle w:val="2"/>
              <w:rPr>
                <w:rFonts w:hint="default"/>
                <w:lang w:val="en-US"/>
              </w:rPr>
            </w:pPr>
            <w:r>
              <w:rPr>
                <w:rFonts w:hint="eastAsia" w:ascii="Times New Roman" w:hAnsi="Times New Roman" w:eastAsia="宋体" w:cs="Times New Roman"/>
                <w:bCs w:val="0"/>
                <w:spacing w:val="0"/>
                <w:kern w:val="2"/>
                <w:sz w:val="21"/>
                <w:lang w:val="en-US" w:eastAsia="zh-CN" w:bidi="ar-SA"/>
              </w:rPr>
              <w:t>9.1.2</w:t>
            </w:r>
          </w:p>
        </w:tc>
        <w:tc>
          <w:tcPr>
            <w:tcW w:w="11490" w:type="dxa"/>
            <w:vAlign w:val="top"/>
          </w:tcPr>
          <w:p>
            <w:pPr>
              <w:rPr>
                <w:rFonts w:hint="eastAsia"/>
                <w:lang w:val="en-US" w:eastAsia="zh-CN"/>
              </w:rPr>
            </w:pPr>
            <w:r>
              <w:rPr>
                <w:rFonts w:hint="eastAsia"/>
                <w:lang w:val="en-US" w:eastAsia="zh-CN"/>
              </w:rPr>
              <w:t>●查企业编制了《法律法规和其他要求控制程序》，总经办负责与质量、环境和职业健康安全有关的法律法规和其他要求的收集、识别、确认、控制、传递和建立、更新工作。获取渠道为网络和期刊等。</w:t>
            </w:r>
          </w:p>
          <w:p>
            <w:pPr>
              <w:rPr>
                <w:rFonts w:hint="eastAsia"/>
                <w:lang w:val="en-US" w:eastAsia="zh-CN"/>
              </w:rPr>
            </w:pPr>
            <w:r>
              <w:rPr>
                <w:rFonts w:hint="eastAsia"/>
                <w:lang w:val="en-US" w:eastAsia="zh-CN"/>
              </w:rPr>
              <w:t>提供《环境/职业健康安全法律法规清单》，收集了适用的环境和职业安全法律法规：</w:t>
            </w:r>
          </w:p>
          <w:p>
            <w:pPr>
              <w:rPr>
                <w:rFonts w:hint="eastAsia"/>
                <w:lang w:val="en-US" w:eastAsia="zh-CN"/>
              </w:rPr>
            </w:pPr>
            <w:r>
              <w:rPr>
                <w:rFonts w:hint="eastAsia"/>
                <w:lang w:val="en-US" w:eastAsia="zh-CN"/>
              </w:rPr>
              <w:t>河北省重大危险源监督管理办法、中华人民共和国环境保护法、中华人民共和国固体废物污染环境防治法、中华人民共和国大气污染防治法、中华人民共和国水污染防治法、中华人民共和国环境影响评价法、中华人民共和国噪声污染防治法、中华人民共和国传染病防治法等法律法规。</w:t>
            </w:r>
          </w:p>
          <w:p>
            <w:pPr>
              <w:rPr>
                <w:rFonts w:hint="eastAsia"/>
                <w:lang w:val="en-US" w:eastAsia="zh-CN"/>
              </w:rPr>
            </w:pPr>
            <w:r>
              <w:rPr>
                <w:rFonts w:hint="eastAsia"/>
                <w:lang w:val="en-US" w:eastAsia="zh-CN"/>
              </w:rPr>
              <w:t>办公室专人负责定期在网上查看并更新法律法规。</w:t>
            </w:r>
          </w:p>
          <w:p>
            <w:pPr>
              <w:rPr>
                <w:rFonts w:hint="eastAsia"/>
                <w:lang w:val="en-US" w:eastAsia="zh-CN"/>
              </w:rPr>
            </w:pPr>
            <w:r>
              <w:rPr>
                <w:rFonts w:hint="eastAsia"/>
                <w:lang w:val="en-US" w:eastAsia="zh-CN"/>
              </w:rPr>
              <w:t>经查，识别的法律法规和其他要求均为现行有效版本。</w:t>
            </w:r>
          </w:p>
          <w:p>
            <w:pPr>
              <w:rPr>
                <w:rFonts w:hint="eastAsia" w:ascii="宋体" w:hAnsi="宋体" w:eastAsia="宋体" w:cs="宋体"/>
                <w:sz w:val="21"/>
                <w:szCs w:val="21"/>
                <w:lang w:val="en-US" w:eastAsia="zh-CN"/>
              </w:rPr>
            </w:pPr>
            <w:r>
              <w:rPr>
                <w:rFonts w:hint="eastAsia"/>
                <w:lang w:val="en-US" w:eastAsia="zh-CN"/>
              </w:rPr>
              <w:t>●查企业</w:t>
            </w:r>
            <w:r>
              <w:rPr>
                <w:rFonts w:hint="eastAsia" w:ascii="宋体" w:hAnsi="宋体" w:eastAsia="宋体" w:cs="宋体"/>
                <w:sz w:val="21"/>
                <w:szCs w:val="21"/>
                <w:lang w:val="en-US" w:eastAsia="zh-CN"/>
              </w:rPr>
              <w:t>编制了《合规性评价控制程序</w:t>
            </w:r>
            <w:r>
              <w:rPr>
                <w:rFonts w:hint="eastAsia" w:ascii="仿宋_GB2312" w:eastAsia="仿宋_GB2312"/>
                <w:sz w:val="21"/>
                <w:szCs w:val="21"/>
                <w:lang w:eastAsia="zh-CN"/>
              </w:rPr>
              <w:t>CX-</w:t>
            </w:r>
            <w:r>
              <w:rPr>
                <w:rFonts w:hint="eastAsia" w:ascii="仿宋_GB2312" w:eastAsia="仿宋_GB2312"/>
                <w:sz w:val="21"/>
                <w:szCs w:val="21"/>
                <w:lang w:val="en-US" w:eastAsia="zh-CN"/>
              </w:rPr>
              <w:t>19</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并按程序要求</w:t>
            </w:r>
            <w:r>
              <w:rPr>
                <w:rFonts w:hint="eastAsia" w:ascii="宋体" w:hAnsi="宋体" w:eastAsia="宋体" w:cs="宋体"/>
                <w:sz w:val="21"/>
                <w:szCs w:val="21"/>
                <w:lang w:val="en-US" w:eastAsia="zh-CN"/>
              </w:rPr>
              <w:t>组织进行了合规性评价</w:t>
            </w:r>
            <w:r>
              <w:rPr>
                <w:rFonts w:hint="eastAsia" w:ascii="宋体" w:hAnsi="宋体" w:cs="宋体"/>
                <w:sz w:val="21"/>
                <w:szCs w:val="21"/>
                <w:lang w:val="en-US" w:eastAsia="zh-CN"/>
              </w:rPr>
              <w:t>工作</w:t>
            </w:r>
            <w:r>
              <w:rPr>
                <w:rFonts w:hint="eastAsia" w:ascii="宋体" w:hAnsi="宋体" w:eastAsia="宋体" w:cs="宋体"/>
                <w:sz w:val="21"/>
                <w:szCs w:val="21"/>
                <w:lang w:val="en-US" w:eastAsia="zh-CN"/>
              </w:rPr>
              <w:t>。</w:t>
            </w:r>
          </w:p>
          <w:p>
            <w:pPr>
              <w:rPr>
                <w:rFonts w:hint="eastAsia"/>
                <w:lang w:val="en-US" w:eastAsia="zh-CN"/>
              </w:rPr>
            </w:pPr>
            <w:r>
              <w:rPr>
                <w:rFonts w:hint="eastAsia" w:ascii="宋体" w:hAnsi="宋体" w:cs="宋体"/>
                <w:sz w:val="21"/>
                <w:szCs w:val="21"/>
                <w:lang w:val="en-US" w:eastAsia="zh-CN"/>
              </w:rPr>
              <w:t>提供了</w:t>
            </w:r>
            <w:r>
              <w:rPr>
                <w:rFonts w:hint="eastAsia" w:ascii="宋体" w:hAnsi="宋体" w:eastAsia="宋体" w:cs="宋体"/>
                <w:sz w:val="21"/>
                <w:szCs w:val="21"/>
                <w:lang w:val="en-US" w:eastAsia="zh-CN"/>
              </w:rPr>
              <w:t>《法律法</w:t>
            </w:r>
            <w:r>
              <w:rPr>
                <w:rFonts w:hint="eastAsia"/>
                <w:lang w:val="en-US" w:eastAsia="zh-CN"/>
              </w:rPr>
              <w:t>规合规性评价记录表》，对其适用的法律法规的实施情况进行了评价，按要求执行，合规。</w:t>
            </w:r>
          </w:p>
          <w:p>
            <w:pPr>
              <w:rPr>
                <w:rFonts w:hint="eastAsia"/>
                <w:lang w:val="en-US" w:eastAsia="zh-CN"/>
              </w:rPr>
            </w:pPr>
            <w:r>
              <w:rPr>
                <w:rFonts w:hint="eastAsia"/>
                <w:lang w:val="en-US" w:eastAsia="zh-CN"/>
              </w:rPr>
              <w:t xml:space="preserve">提供了《合规性评价报告CX-19-02》，合规性评价时间： 2022.6.14日。参加人员：张鹏、邓立峰等。 </w:t>
            </w:r>
          </w:p>
          <w:p>
            <w:pPr>
              <w:rPr>
                <w:rFonts w:hint="eastAsia" w:ascii="宋体" w:hAnsi="宋体" w:eastAsia="宋体" w:cs="宋体"/>
                <w:sz w:val="21"/>
                <w:szCs w:val="21"/>
                <w:lang w:val="en-US" w:eastAsia="zh-CN"/>
              </w:rPr>
            </w:pPr>
            <w:r>
              <w:rPr>
                <w:rFonts w:hint="eastAsia"/>
                <w:lang w:val="en-US" w:eastAsia="zh-CN"/>
              </w:rPr>
              <w:t>本次合规性评价范围：</w:t>
            </w:r>
            <w:r>
              <w:rPr>
                <w:rFonts w:hint="eastAsia" w:ascii="宋体" w:hAnsi="宋体" w:eastAsia="宋体" w:cs="宋体"/>
                <w:sz w:val="21"/>
                <w:szCs w:val="21"/>
                <w:lang w:val="en-US" w:eastAsia="zh-CN"/>
              </w:rPr>
              <w:t>公司管理和运营活动中涉及的环境因素及危险源；</w:t>
            </w:r>
          </w:p>
          <w:p>
            <w:pPr>
              <w:rPr>
                <w:rFonts w:hint="eastAsia" w:ascii="宋体" w:hAnsi="宋体" w:cs="宋体"/>
                <w:sz w:val="21"/>
                <w:szCs w:val="21"/>
                <w:lang w:val="en-US" w:eastAsia="zh-CN"/>
              </w:rPr>
            </w:pPr>
            <w:r>
              <w:rPr>
                <w:rFonts w:hint="eastAsia" w:ascii="宋体" w:hAnsi="宋体" w:eastAsia="宋体" w:cs="宋体"/>
                <w:sz w:val="21"/>
                <w:szCs w:val="21"/>
                <w:lang w:val="en-US" w:eastAsia="zh-CN"/>
              </w:rPr>
              <w:t>此次环境和职业健康安全法律、法规符合性评价涉及1）粉尘排放；2）噪声排放；3）固体废弃物排放；4）潜在火灾的发生；5）机械伤害、物体打击；6）机械噪音；7）触电伤害等因素</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对具体控制情况及遵守法律法规情况进行了</w:t>
            </w:r>
            <w:r>
              <w:rPr>
                <w:rFonts w:hint="eastAsia" w:ascii="宋体" w:hAnsi="宋体" w:cs="宋体"/>
                <w:sz w:val="21"/>
                <w:szCs w:val="21"/>
                <w:lang w:val="en-US" w:eastAsia="zh-CN"/>
              </w:rPr>
              <w:t>评价。</w:t>
            </w:r>
          </w:p>
          <w:p>
            <w:pPr>
              <w:rPr>
                <w:rFonts w:hint="eastAsia" w:ascii="宋体" w:hAnsi="宋体" w:eastAsia="宋体" w:cs="宋体"/>
                <w:sz w:val="21"/>
                <w:szCs w:val="21"/>
                <w:lang w:val="en-US" w:eastAsia="zh-CN"/>
              </w:rPr>
            </w:pPr>
            <w:r>
              <w:rPr>
                <w:rFonts w:hint="eastAsia" w:ascii="宋体" w:hAnsi="宋体" w:cs="宋体"/>
                <w:sz w:val="21"/>
                <w:szCs w:val="21"/>
                <w:lang w:val="en-US" w:eastAsia="zh-CN"/>
              </w:rPr>
              <w:t>合规性评价</w:t>
            </w:r>
            <w:r>
              <w:rPr>
                <w:rFonts w:hint="eastAsia" w:ascii="宋体" w:hAnsi="宋体" w:eastAsia="宋体" w:cs="宋体"/>
                <w:sz w:val="21"/>
                <w:szCs w:val="21"/>
                <w:lang w:val="en-US" w:eastAsia="zh-CN"/>
              </w:rPr>
              <w:t>结论：从本年度检查的结果来看，我公司没有违反国家法律、法规及相关标准，能严格遵守国家有关环境和职业健康安全管理方面的相关规定，密切关注法律法规的变化，并适时调整，严格按体系标准执行。公司和项目部都能够有效遵循法律法规进行施工，未发生重大安全生产事故，未发生环境扰民事件，无环境污染事件发生，未发生尘肺病、传染病及其他卫生防疫问题事件，无个人或单位投诉。各项目的环境和职业健康安全管理行为符合法律法规和标准要求，对于合规性评价分析所发现的薄弱环节，公司和所在项目部将制定改进措施，以持续改进公司和项目的安全管理绩效。对在合规性证据收集过程中发现的个别不符合，各项目部均能够及时组织力量进行原因分析，制定纠正和预防措施，并积极开展纠偏活动。通过对纠偏结果的考核，表明纠正措施制订是适宜的，执行结果是有效的。对公司的环保意识和环境管理水平的提高起到了明显的促进作用。</w:t>
            </w:r>
          </w:p>
          <w:p>
            <w:pPr>
              <w:rPr>
                <w:rFonts w:hint="eastAsia"/>
                <w:lang w:val="en-US" w:eastAsia="zh-CN"/>
              </w:rPr>
            </w:pPr>
            <w:r>
              <w:rPr>
                <w:rFonts w:hint="eastAsia" w:ascii="宋体" w:hAnsi="宋体" w:eastAsia="宋体" w:cs="宋体"/>
                <w:sz w:val="21"/>
                <w:szCs w:val="21"/>
                <w:lang w:val="en-US" w:eastAsia="zh-CN"/>
              </w:rPr>
              <w:t>编制：张鹏     2022.6.14</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批准：邓立峰     2022.6.14   </w:t>
            </w:r>
            <w:r>
              <w:rPr>
                <w:rFonts w:hint="eastAsia" w:ascii="Times New Roman" w:hAnsi="Times New Roman" w:eastAsia="宋体" w:cs="Times New Roman"/>
                <w:b/>
                <w:bCs/>
                <w:lang w:val="en-US" w:eastAsia="zh-CN"/>
              </w:rPr>
              <w:t xml:space="preserve"> </w:t>
            </w:r>
          </w:p>
        </w:tc>
        <w:tc>
          <w:tcPr>
            <w:tcW w:w="874" w:type="dxa"/>
            <w:vAlign w:val="top"/>
          </w:tcPr>
          <w:p>
            <w:pPr>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8" w:hRule="atLeast"/>
        </w:trPr>
        <w:tc>
          <w:tcPr>
            <w:tcW w:w="1535"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人员、能力</w:t>
            </w:r>
          </w:p>
        </w:tc>
        <w:tc>
          <w:tcPr>
            <w:tcW w:w="810" w:type="dxa"/>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EO7.2</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EO7.3</w:t>
            </w:r>
          </w:p>
        </w:tc>
        <w:tc>
          <w:tcPr>
            <w:tcW w:w="11490" w:type="dxa"/>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rPr>
              <w:sym w:font="Wingdings 2" w:char="F098"/>
            </w:r>
            <w:r>
              <w:rPr>
                <w:rFonts w:hint="eastAsia" w:ascii="宋体" w:hAnsi="宋体" w:eastAsia="宋体" w:cs="宋体"/>
                <w:sz w:val="21"/>
                <w:szCs w:val="21"/>
              </w:rPr>
              <w:t>企业目前在职员工</w:t>
            </w:r>
            <w:r>
              <w:rPr>
                <w:rFonts w:hint="eastAsia" w:ascii="宋体" w:hAnsi="宋体" w:cs="宋体"/>
                <w:sz w:val="21"/>
                <w:szCs w:val="21"/>
                <w:lang w:val="en-US" w:eastAsia="zh-CN"/>
              </w:rPr>
              <w:t>25</w:t>
            </w:r>
            <w:r>
              <w:rPr>
                <w:rFonts w:hint="eastAsia" w:ascii="宋体" w:hAnsi="宋体" w:eastAsia="宋体" w:cs="宋体"/>
                <w:sz w:val="21"/>
                <w:szCs w:val="21"/>
              </w:rPr>
              <w:t>人，</w:t>
            </w:r>
            <w:r>
              <w:rPr>
                <w:rFonts w:hint="eastAsia" w:ascii="宋体" w:hAnsi="宋体" w:eastAsia="宋体" w:cs="宋体"/>
                <w:sz w:val="21"/>
                <w:szCs w:val="21"/>
                <w:lang w:eastAsia="zh-CN"/>
              </w:rPr>
              <w:t>人员较稳定</w:t>
            </w:r>
            <w:r>
              <w:rPr>
                <w:rFonts w:hint="eastAsia" w:ascii="宋体" w:hAnsi="宋体" w:eastAsia="宋体" w:cs="宋体"/>
                <w:sz w:val="21"/>
                <w:szCs w:val="21"/>
                <w:lang w:val="en-US" w:eastAsia="zh-CN"/>
              </w:rPr>
              <w:t>。给各部门配备了所需人员，岗位人员主要包括：安全管理三类人员、工程师、技术负责人、项目经理、施工员、安全员、质量员、资料员等项目管理人员；特种作业人员包括：</w:t>
            </w:r>
            <w:r>
              <w:rPr>
                <w:rFonts w:hint="eastAsia" w:ascii="宋体" w:hAnsi="宋体" w:cs="宋体"/>
                <w:sz w:val="21"/>
                <w:szCs w:val="21"/>
                <w:lang w:val="en-US" w:eastAsia="zh-CN"/>
              </w:rPr>
              <w:t>高处作业人员</w:t>
            </w:r>
            <w:r>
              <w:rPr>
                <w:rFonts w:hint="eastAsia" w:ascii="宋体" w:hAnsi="宋体" w:eastAsia="宋体" w:cs="宋体"/>
                <w:sz w:val="21"/>
                <w:szCs w:val="21"/>
                <w:lang w:val="en-US" w:eastAsia="zh-CN"/>
              </w:rPr>
              <w:t>、电工、</w:t>
            </w:r>
            <w:r>
              <w:rPr>
                <w:rFonts w:hint="eastAsia" w:ascii="宋体" w:hAnsi="宋体" w:cs="宋体"/>
                <w:sz w:val="21"/>
                <w:szCs w:val="21"/>
                <w:lang w:val="en-US" w:eastAsia="zh-CN"/>
              </w:rPr>
              <w:t>起重机作业人员</w:t>
            </w:r>
            <w:r>
              <w:rPr>
                <w:rFonts w:hint="eastAsia" w:ascii="宋体" w:hAnsi="宋体" w:eastAsia="宋体" w:cs="宋体"/>
                <w:sz w:val="21"/>
                <w:szCs w:val="21"/>
                <w:lang w:val="en-US" w:eastAsia="zh-CN"/>
              </w:rPr>
              <w:t>等。公司现有人员的配置及能力充分，满足公司运作要求。</w:t>
            </w:r>
          </w:p>
          <w:p>
            <w:pPr>
              <w:rPr>
                <w:rFonts w:hint="eastAsia" w:ascii="宋体" w:hAnsi="宋体" w:eastAsia="宋体" w:cs="宋体"/>
                <w:sz w:val="21"/>
                <w:szCs w:val="21"/>
                <w:lang w:val="en-US" w:eastAsia="zh-CN"/>
              </w:rPr>
            </w:pPr>
            <w:r>
              <w:rPr>
                <w:rFonts w:hint="eastAsia" w:ascii="宋体" w:hAnsi="宋体" w:eastAsia="宋体" w:cs="宋体"/>
                <w:sz w:val="21"/>
                <w:szCs w:val="21"/>
              </w:rPr>
              <w:sym w:font="Wingdings 2" w:char="F098"/>
            </w:r>
            <w:r>
              <w:rPr>
                <w:rFonts w:hint="eastAsia" w:ascii="宋体" w:hAnsi="宋体" w:eastAsia="宋体" w:cs="宋体"/>
                <w:sz w:val="21"/>
                <w:szCs w:val="21"/>
                <w:lang w:eastAsia="zh-CN"/>
              </w:rPr>
              <w:t>编制了《人力资源</w:t>
            </w:r>
            <w:r>
              <w:rPr>
                <w:rFonts w:hint="eastAsia" w:ascii="宋体" w:hAnsi="宋体" w:cs="宋体"/>
                <w:sz w:val="21"/>
                <w:szCs w:val="21"/>
                <w:lang w:eastAsia="zh-CN"/>
              </w:rPr>
              <w:t>管理</w:t>
            </w:r>
            <w:r>
              <w:rPr>
                <w:rFonts w:hint="eastAsia" w:ascii="宋体" w:hAnsi="宋体" w:eastAsia="宋体" w:cs="宋体"/>
                <w:sz w:val="21"/>
                <w:szCs w:val="21"/>
                <w:lang w:eastAsia="zh-CN"/>
              </w:rPr>
              <w:t>程序》</w:t>
            </w:r>
            <w:r>
              <w:rPr>
                <w:rFonts w:hint="eastAsia" w:ascii="宋体" w:hAnsi="宋体" w:eastAsia="宋体" w:cs="宋体"/>
                <w:sz w:val="21"/>
                <w:szCs w:val="21"/>
                <w:lang w:val="en-US" w:eastAsia="zh-CN"/>
              </w:rPr>
              <w:t>，用于人员的能力确定、资格鉴定、培训、选聘、上岗考核、意识提高。</w:t>
            </w:r>
          </w:p>
          <w:p>
            <w:pPr>
              <w:rPr>
                <w:rFonts w:hint="eastAsia" w:ascii="宋体" w:hAnsi="宋体" w:eastAsia="宋体" w:cs="宋体"/>
                <w:sz w:val="21"/>
                <w:szCs w:val="21"/>
                <w:lang w:val="en-US" w:eastAsia="zh-CN"/>
              </w:rPr>
            </w:pPr>
            <w:r>
              <w:rPr>
                <w:rFonts w:hint="eastAsia" w:ascii="宋体" w:hAnsi="宋体" w:cs="宋体"/>
                <w:sz w:val="21"/>
                <w:szCs w:val="21"/>
                <w:lang w:val="en-US" w:eastAsia="zh-CN"/>
              </w:rPr>
              <w:t>总经办</w:t>
            </w:r>
            <w:r>
              <w:rPr>
                <w:rFonts w:hint="eastAsia" w:ascii="宋体" w:hAnsi="宋体" w:eastAsia="宋体" w:cs="宋体"/>
                <w:sz w:val="21"/>
                <w:szCs w:val="21"/>
                <w:lang w:val="en-US" w:eastAsia="zh-CN"/>
              </w:rPr>
              <w:t>负责公司人员的招聘、培训、考核等管理；</w:t>
            </w:r>
          </w:p>
          <w:p>
            <w:pPr>
              <w:rPr>
                <w:rFonts w:hint="eastAsia" w:ascii="宋体" w:hAnsi="宋体" w:eastAsia="宋体" w:cs="宋体"/>
                <w:sz w:val="21"/>
                <w:szCs w:val="21"/>
                <w:lang w:val="en-US" w:eastAsia="zh-CN"/>
              </w:rPr>
            </w:pPr>
            <w:r>
              <w:rPr>
                <w:rFonts w:hint="eastAsia" w:ascii="宋体" w:hAnsi="宋体" w:cs="宋体"/>
                <w:sz w:val="21"/>
                <w:szCs w:val="21"/>
                <w:lang w:val="en-US" w:eastAsia="zh-CN"/>
              </w:rPr>
              <w:t>总经办贾经理</w:t>
            </w:r>
            <w:r>
              <w:rPr>
                <w:rFonts w:hint="eastAsia" w:ascii="宋体" w:hAnsi="宋体" w:eastAsia="宋体" w:cs="宋体"/>
                <w:sz w:val="21"/>
                <w:szCs w:val="21"/>
                <w:lang w:val="en-US" w:eastAsia="zh-CN"/>
              </w:rPr>
              <w:t>介绍：目前公司人员比较稳定，如有新的人员需求则通过网上发布招聘信息，通过电话联系进行初步筛选，然后应聘者再来公司进行面试，根据不同的部门及岗位会规定不同的任职要求；主要岗位的任职标准主要从学历、职称、专业、工作经历、岗位技能等方面进行要求。</w:t>
            </w:r>
            <w:r>
              <w:rPr>
                <w:rFonts w:hint="eastAsia" w:ascii="宋体" w:hAnsi="宋体" w:cs="宋体"/>
                <w:sz w:val="21"/>
                <w:szCs w:val="21"/>
                <w:lang w:val="en-US" w:eastAsia="zh-CN"/>
              </w:rPr>
              <w:t>特种人员需持证上岗。</w:t>
            </w:r>
          </w:p>
          <w:p>
            <w:pPr>
              <w:rPr>
                <w:rFonts w:hint="eastAsia" w:ascii="宋体" w:hAnsi="宋体" w:eastAsia="宋体" w:cs="宋体"/>
                <w:sz w:val="21"/>
                <w:szCs w:val="21"/>
              </w:rPr>
            </w:pPr>
            <w:r>
              <w:rPr>
                <w:rFonts w:hint="eastAsia" w:ascii="宋体" w:hAnsi="宋体" w:eastAsia="宋体" w:cs="宋体"/>
                <w:sz w:val="21"/>
                <w:szCs w:val="21"/>
              </w:rPr>
              <w:sym w:font="Wingdings 2" w:char="F098"/>
            </w:r>
            <w:r>
              <w:rPr>
                <w:rFonts w:hint="eastAsia" w:ascii="宋体" w:hAnsi="宋体" w:eastAsia="宋体" w:cs="宋体"/>
                <w:sz w:val="21"/>
                <w:szCs w:val="21"/>
              </w:rPr>
              <w:t>编制</w:t>
            </w:r>
            <w:r>
              <w:rPr>
                <w:rFonts w:hint="eastAsia" w:ascii="宋体" w:hAnsi="宋体" w:eastAsia="宋体" w:cs="宋体"/>
                <w:sz w:val="21"/>
                <w:szCs w:val="21"/>
                <w:lang w:eastAsia="zh-CN"/>
              </w:rPr>
              <w:t>了《</w:t>
            </w:r>
            <w:r>
              <w:rPr>
                <w:rFonts w:hint="eastAsia" w:ascii="宋体" w:hAnsi="宋体" w:eastAsia="宋体" w:cs="宋体"/>
                <w:sz w:val="21"/>
                <w:szCs w:val="21"/>
              </w:rPr>
              <w:t>岗位</w:t>
            </w:r>
            <w:r>
              <w:rPr>
                <w:rFonts w:hint="eastAsia" w:ascii="宋体" w:hAnsi="宋体" w:eastAsia="宋体" w:cs="宋体"/>
                <w:sz w:val="21"/>
                <w:szCs w:val="21"/>
                <w:lang w:eastAsia="zh-CN"/>
              </w:rPr>
              <w:t>工作人员</w:t>
            </w:r>
            <w:r>
              <w:rPr>
                <w:rFonts w:hint="eastAsia" w:ascii="宋体" w:hAnsi="宋体" w:eastAsia="宋体" w:cs="宋体"/>
                <w:sz w:val="21"/>
                <w:szCs w:val="21"/>
              </w:rPr>
              <w:t>任职要求</w:t>
            </w:r>
            <w:r>
              <w:rPr>
                <w:rFonts w:hint="eastAsia" w:ascii="宋体" w:hAnsi="宋体" w:eastAsia="宋体" w:cs="宋体"/>
                <w:sz w:val="21"/>
                <w:szCs w:val="21"/>
                <w:lang w:eastAsia="zh-CN"/>
              </w:rPr>
              <w:t>》</w:t>
            </w:r>
            <w:r>
              <w:rPr>
                <w:rFonts w:hint="eastAsia" w:ascii="宋体" w:hAnsi="宋体" w:eastAsia="宋体" w:cs="宋体"/>
                <w:sz w:val="21"/>
                <w:szCs w:val="21"/>
              </w:rPr>
              <w:t>，规定了部门领导、</w:t>
            </w:r>
            <w:r>
              <w:rPr>
                <w:rFonts w:hint="eastAsia" w:ascii="宋体" w:hAnsi="宋体" w:eastAsia="宋体" w:cs="宋体"/>
                <w:sz w:val="21"/>
                <w:szCs w:val="21"/>
                <w:lang w:eastAsia="zh-CN"/>
              </w:rPr>
              <w:t>特殊</w:t>
            </w:r>
            <w:r>
              <w:rPr>
                <w:rFonts w:hint="eastAsia" w:ascii="宋体" w:hAnsi="宋体" w:eastAsia="宋体" w:cs="宋体"/>
                <w:sz w:val="21"/>
                <w:szCs w:val="21"/>
              </w:rPr>
              <w:t>人员等</w:t>
            </w:r>
            <w:r>
              <w:rPr>
                <w:rFonts w:hint="eastAsia" w:ascii="宋体" w:hAnsi="宋体" w:eastAsia="宋体" w:cs="宋体"/>
                <w:sz w:val="21"/>
                <w:szCs w:val="21"/>
                <w:lang w:eastAsia="zh-CN"/>
              </w:rPr>
              <w:t>在内</w:t>
            </w:r>
            <w:r>
              <w:rPr>
                <w:rFonts w:hint="eastAsia" w:ascii="宋体" w:hAnsi="宋体" w:eastAsia="宋体" w:cs="宋体"/>
                <w:sz w:val="21"/>
                <w:szCs w:val="21"/>
              </w:rPr>
              <w:t>的任职要求以及岗位职责等，对整体人员需求、能力要求及作用进行规定，其中对重要岗位人员的能力要求进行了评定，确保人员满足岗位要求。</w:t>
            </w:r>
          </w:p>
          <w:p>
            <w:pPr>
              <w:rPr>
                <w:rFonts w:hint="eastAsia" w:ascii="宋体" w:hAnsi="宋体" w:eastAsia="宋体" w:cs="宋体"/>
                <w:sz w:val="21"/>
                <w:szCs w:val="21"/>
                <w:lang w:val="en-US" w:eastAsia="zh-CN"/>
              </w:rPr>
            </w:pPr>
            <w:r>
              <w:rPr>
                <w:rFonts w:hint="eastAsia" w:ascii="宋体" w:hAnsi="宋体" w:eastAsia="宋体" w:cs="宋体"/>
                <w:sz w:val="21"/>
                <w:szCs w:val="21"/>
                <w:lang w:eastAsia="zh-CN"/>
              </w:rPr>
              <w:t>提供了《岗位人员能力评价记录》，</w:t>
            </w:r>
            <w:r>
              <w:rPr>
                <w:rFonts w:hint="eastAsia" w:ascii="宋体" w:hAnsi="宋体" w:cs="宋体"/>
                <w:sz w:val="21"/>
                <w:szCs w:val="21"/>
                <w:lang w:eastAsia="zh-CN"/>
              </w:rPr>
              <w:t>评价时间：</w:t>
            </w:r>
            <w:r>
              <w:rPr>
                <w:rFonts w:hint="eastAsia" w:ascii="宋体" w:hAnsi="宋体" w:cs="宋体"/>
                <w:sz w:val="21"/>
                <w:szCs w:val="21"/>
                <w:lang w:val="en-US" w:eastAsia="zh-CN"/>
              </w:rPr>
              <w:t>2022年4月25日，</w:t>
            </w:r>
            <w:r>
              <w:rPr>
                <w:rFonts w:hint="eastAsia" w:ascii="宋体" w:hAnsi="宋体" w:eastAsia="宋体" w:cs="宋体"/>
                <w:sz w:val="21"/>
                <w:szCs w:val="21"/>
                <w:lang w:eastAsia="zh-CN"/>
              </w:rPr>
              <w:t>查</w:t>
            </w:r>
            <w:r>
              <w:rPr>
                <w:rFonts w:hint="eastAsia" w:ascii="宋体" w:hAnsi="宋体" w:cs="宋体"/>
                <w:sz w:val="21"/>
                <w:szCs w:val="21"/>
                <w:lang w:eastAsia="zh-CN"/>
              </w:rPr>
              <w:t>各部门主管及秦军虎、刘玉浩、孙文浩</w:t>
            </w:r>
            <w:r>
              <w:rPr>
                <w:rFonts w:hint="eastAsia" w:ascii="宋体" w:hAnsi="宋体" w:eastAsia="宋体" w:cs="宋体"/>
                <w:sz w:val="21"/>
                <w:szCs w:val="21"/>
                <w:lang w:eastAsia="zh-CN"/>
              </w:rPr>
              <w:t xml:space="preserve">等人的评价记录，从工作经验、工作态度、专业能力等方面进行了评价，经考核，适应工作要求。 </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查管理人员和内审员均经过了考核和任命，提供了任命书。</w:t>
            </w:r>
          </w:p>
          <w:p>
            <w:pPr>
              <w:rPr>
                <w:rFonts w:hint="eastAsia" w:ascii="宋体" w:hAnsi="宋体" w:eastAsia="宋体" w:cs="宋体"/>
                <w:sz w:val="21"/>
                <w:szCs w:val="21"/>
                <w:lang w:eastAsia="zh-CN"/>
              </w:rPr>
            </w:pPr>
            <w:r>
              <w:rPr>
                <w:rFonts w:hint="eastAsia" w:ascii="宋体" w:hAnsi="宋体" w:eastAsia="宋体" w:cs="宋体"/>
                <w:sz w:val="21"/>
                <w:szCs w:val="21"/>
              </w:rPr>
              <w:sym w:font="Wingdings 2" w:char="F098"/>
            </w:r>
            <w:r>
              <w:rPr>
                <w:rFonts w:hint="eastAsia" w:ascii="宋体" w:hAnsi="宋体" w:eastAsia="宋体" w:cs="宋体"/>
                <w:sz w:val="21"/>
                <w:szCs w:val="21"/>
                <w:lang w:eastAsia="zh-CN"/>
              </w:rPr>
              <w:t>同</w:t>
            </w:r>
            <w:r>
              <w:rPr>
                <w:rFonts w:hint="eastAsia" w:ascii="宋体" w:hAnsi="宋体" w:cs="宋体"/>
                <w:sz w:val="21"/>
                <w:szCs w:val="21"/>
                <w:lang w:eastAsia="zh-CN"/>
              </w:rPr>
              <w:t>贾经理</w:t>
            </w:r>
            <w:r>
              <w:rPr>
                <w:rFonts w:hint="eastAsia" w:ascii="宋体" w:hAnsi="宋体" w:eastAsia="宋体" w:cs="宋体"/>
                <w:sz w:val="21"/>
                <w:szCs w:val="21"/>
                <w:lang w:eastAsia="zh-CN"/>
              </w:rPr>
              <w:t>沟通了解到，当未达到能力要求所采取的措施：</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1）培训</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2）进行招聘、入职、考核、或内部调配等。</w:t>
            </w:r>
          </w:p>
          <w:p>
            <w:pPr>
              <w:rPr>
                <w:rFonts w:hint="eastAsia" w:ascii="宋体" w:hAnsi="宋体" w:eastAsia="宋体" w:cs="宋体"/>
                <w:sz w:val="21"/>
                <w:szCs w:val="21"/>
                <w:lang w:val="en-US" w:eastAsia="zh-CN"/>
              </w:rPr>
            </w:pPr>
            <w:r>
              <w:rPr>
                <w:rFonts w:hint="eastAsia" w:ascii="宋体" w:hAnsi="宋体" w:cs="宋体"/>
                <w:sz w:val="21"/>
                <w:szCs w:val="21"/>
                <w:lang w:eastAsia="zh-CN"/>
              </w:rPr>
              <w:t>总经办</w:t>
            </w:r>
            <w:r>
              <w:rPr>
                <w:rFonts w:hint="eastAsia" w:ascii="宋体" w:hAnsi="宋体" w:eastAsia="宋体" w:cs="宋体"/>
                <w:sz w:val="21"/>
                <w:szCs w:val="21"/>
                <w:lang w:eastAsia="zh-CN"/>
              </w:rPr>
              <w:t>根</w:t>
            </w:r>
            <w:r>
              <w:rPr>
                <w:rFonts w:hint="eastAsia" w:ascii="宋体" w:hAnsi="宋体" w:eastAsia="宋体" w:cs="宋体"/>
                <w:sz w:val="21"/>
                <w:szCs w:val="21"/>
                <w:lang w:val="en-US" w:eastAsia="zh-CN"/>
              </w:rPr>
              <w:t>据《新进员工三级安全教育管理制度》及员</w:t>
            </w:r>
            <w:r>
              <w:rPr>
                <w:rFonts w:hint="eastAsia" w:ascii="宋体" w:hAnsi="宋体" w:eastAsia="宋体" w:cs="宋体"/>
                <w:sz w:val="21"/>
                <w:szCs w:val="21"/>
                <w:lang w:eastAsia="zh-CN"/>
              </w:rPr>
              <w:t>工培训需求制定各项培训计划</w:t>
            </w:r>
            <w:r>
              <w:rPr>
                <w:rFonts w:hint="eastAsia" w:ascii="宋体" w:hAnsi="宋体" w:eastAsia="宋体" w:cs="宋体"/>
                <w:sz w:val="21"/>
                <w:szCs w:val="21"/>
              </w:rPr>
              <w:t>覆盖标准</w:t>
            </w:r>
            <w:r>
              <w:rPr>
                <w:rFonts w:hint="eastAsia" w:ascii="宋体" w:hAnsi="宋体" w:eastAsia="宋体" w:cs="宋体"/>
                <w:sz w:val="21"/>
                <w:szCs w:val="21"/>
                <w:lang w:eastAsia="zh-CN"/>
              </w:rPr>
              <w:t>贯标</w:t>
            </w:r>
            <w:r>
              <w:rPr>
                <w:rFonts w:hint="eastAsia" w:ascii="宋体" w:hAnsi="宋体" w:eastAsia="宋体" w:cs="宋体"/>
                <w:sz w:val="21"/>
                <w:szCs w:val="21"/>
              </w:rPr>
              <w:t>、体系文件</w:t>
            </w:r>
            <w:r>
              <w:rPr>
                <w:rFonts w:hint="eastAsia" w:ascii="宋体" w:hAnsi="宋体" w:eastAsia="宋体" w:cs="宋体"/>
                <w:sz w:val="21"/>
                <w:szCs w:val="21"/>
                <w:lang w:eastAsia="zh-CN"/>
              </w:rPr>
              <w:t>、环境因素和危险源识别、内审员培训、</w:t>
            </w:r>
            <w:r>
              <w:rPr>
                <w:rFonts w:hint="eastAsia" w:ascii="宋体" w:hAnsi="宋体" w:eastAsia="宋体" w:cs="宋体"/>
                <w:sz w:val="21"/>
                <w:szCs w:val="21"/>
                <w:lang w:val="en-US" w:eastAsia="zh-CN"/>
              </w:rPr>
              <w:t>建筑工程总承包相关规范要求的、公司施工技术文件、应急预案管理体系标准文件；安全技术交底培训等方面</w:t>
            </w:r>
          </w:p>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cs="宋体"/>
                <w:sz w:val="21"/>
                <w:szCs w:val="21"/>
                <w:lang w:val="en-US" w:eastAsia="zh-CN"/>
              </w:rPr>
              <w:t>提供有</w:t>
            </w:r>
            <w:r>
              <w:rPr>
                <w:rFonts w:hint="eastAsia" w:ascii="宋体" w:hAnsi="宋体" w:eastAsia="宋体" w:cs="宋体"/>
                <w:sz w:val="21"/>
                <w:szCs w:val="21"/>
                <w:lang w:eastAsia="zh-CN"/>
              </w:rPr>
              <w:t>《202</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年度培训计划》；</w:t>
            </w:r>
            <w:r>
              <w:rPr>
                <w:rFonts w:hint="eastAsia" w:ascii="宋体" w:hAnsi="宋体" w:eastAsia="宋体" w:cs="宋体"/>
                <w:sz w:val="21"/>
                <w:szCs w:val="21"/>
                <w:lang w:val="en-US" w:eastAsia="zh-CN"/>
              </w:rPr>
              <w:t>共制定各项培训计划16项，包括：贯标培训、制度培训、内审员培训、新员工入职培训、项目管理培训等；</w:t>
            </w:r>
            <w:r>
              <w:rPr>
                <w:rFonts w:hint="eastAsia" w:ascii="宋体" w:hAnsi="宋体" w:eastAsia="宋体" w:cs="宋体"/>
                <w:sz w:val="21"/>
                <w:szCs w:val="21"/>
                <w:lang w:eastAsia="zh-CN"/>
              </w:rPr>
              <w:t>编制：</w:t>
            </w:r>
            <w:r>
              <w:rPr>
                <w:rFonts w:hint="eastAsia" w:ascii="宋体" w:hAnsi="宋体" w:cs="宋体"/>
                <w:sz w:val="21"/>
                <w:szCs w:val="21"/>
                <w:lang w:eastAsia="zh-CN"/>
              </w:rPr>
              <w:t>张鹏</w:t>
            </w:r>
            <w:r>
              <w:rPr>
                <w:rFonts w:hint="eastAsia" w:ascii="宋体" w:hAnsi="宋体" w:cs="宋体"/>
                <w:sz w:val="21"/>
                <w:szCs w:val="21"/>
                <w:lang w:val="en-US" w:eastAsia="zh-CN"/>
              </w:rPr>
              <w:t xml:space="preserve"> 2022.4.25</w:t>
            </w:r>
          </w:p>
          <w:p>
            <w:pPr>
              <w:rPr>
                <w:rFonts w:hint="eastAsia" w:ascii="宋体" w:hAnsi="宋体" w:eastAsia="宋体" w:cs="宋体"/>
                <w:sz w:val="21"/>
                <w:szCs w:val="21"/>
                <w:lang w:val="en-US" w:eastAsia="zh-CN"/>
              </w:rPr>
            </w:pPr>
            <w:r>
              <w:rPr>
                <w:rFonts w:hint="eastAsia" w:ascii="宋体" w:hAnsi="宋体" w:cs="宋体"/>
                <w:sz w:val="21"/>
                <w:szCs w:val="21"/>
                <w:lang w:eastAsia="zh-CN"/>
              </w:rPr>
              <w:t>提供了</w:t>
            </w:r>
            <w:r>
              <w:rPr>
                <w:rFonts w:hint="eastAsia" w:ascii="宋体" w:hAnsi="宋体" w:eastAsia="宋体" w:cs="宋体"/>
                <w:sz w:val="21"/>
                <w:szCs w:val="21"/>
              </w:rPr>
              <w:t>内部培训记录</w:t>
            </w:r>
            <w:r>
              <w:rPr>
                <w:rFonts w:hint="eastAsia" w:ascii="宋体" w:hAnsi="宋体" w:eastAsia="宋体" w:cs="宋体"/>
                <w:sz w:val="21"/>
                <w:szCs w:val="21"/>
                <w:lang w:eastAsia="zh-CN"/>
              </w:rPr>
              <w:t>多份，</w:t>
            </w:r>
          </w:p>
          <w:p>
            <w:pPr>
              <w:rPr>
                <w:rFonts w:hint="eastAsia" w:ascii="宋体" w:hAnsi="宋体" w:eastAsia="宋体" w:cs="宋体"/>
                <w:sz w:val="21"/>
                <w:szCs w:val="21"/>
              </w:rPr>
            </w:pPr>
            <w:r>
              <w:rPr>
                <w:rFonts w:hint="eastAsia" w:ascii="宋体" w:hAnsi="宋体" w:eastAsia="宋体" w:cs="宋体"/>
                <w:sz w:val="21"/>
                <w:szCs w:val="21"/>
                <w:lang w:eastAsia="zh-CN"/>
              </w:rPr>
              <w:t>——抽202</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5</w:t>
            </w:r>
            <w:r>
              <w:rPr>
                <w:rFonts w:hint="eastAsia" w:ascii="宋体" w:hAnsi="宋体" w:eastAsia="宋体" w:cs="宋体"/>
                <w:sz w:val="21"/>
                <w:szCs w:val="21"/>
              </w:rPr>
              <w:t>培训</w:t>
            </w:r>
            <w:r>
              <w:rPr>
                <w:rFonts w:hint="eastAsia" w:ascii="宋体" w:hAnsi="宋体" w:cs="宋体"/>
                <w:sz w:val="21"/>
                <w:szCs w:val="21"/>
                <w:lang w:eastAsia="zh-CN"/>
              </w:rPr>
              <w:t>，培训</w:t>
            </w:r>
            <w:r>
              <w:rPr>
                <w:rFonts w:hint="eastAsia" w:ascii="宋体" w:hAnsi="宋体" w:eastAsia="宋体" w:cs="宋体"/>
                <w:sz w:val="21"/>
                <w:szCs w:val="21"/>
              </w:rPr>
              <w:t>题目：环境因素、危险源识别及适用于公司的法律法规和其他要求的培训</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培训内容</w:t>
            </w:r>
            <w:r>
              <w:rPr>
                <w:rFonts w:hint="eastAsia" w:ascii="宋体" w:hAnsi="宋体" w:eastAsia="宋体" w:cs="宋体"/>
                <w:sz w:val="21"/>
                <w:szCs w:val="21"/>
              </w:rPr>
              <w:t>包括：</w:t>
            </w:r>
            <w:r>
              <w:rPr>
                <w:rFonts w:hint="eastAsia" w:ascii="宋体" w:hAnsi="宋体" w:eastAsia="宋体" w:cs="宋体"/>
                <w:sz w:val="21"/>
                <w:szCs w:val="21"/>
                <w:lang w:eastAsia="zh-CN"/>
              </w:rPr>
              <w:t>1.根据标准公司各部门人员如何进行环境因素、危险源识别，包括重要环境因素和重大危险源；</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2.识别适用于公司的质量、环境和职业健康安全法律法规及其他要求。</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3.根据要求如何确定有效的控制措施，确保环境和职业健康安全运行符合法律法规及其他要求。</w:t>
            </w:r>
          </w:p>
          <w:p>
            <w:pPr>
              <w:rPr>
                <w:rFonts w:hint="default" w:ascii="宋体" w:hAnsi="宋体" w:eastAsia="宋体" w:cs="宋体"/>
                <w:sz w:val="21"/>
                <w:szCs w:val="21"/>
                <w:lang w:val="en-US" w:eastAsia="zh-CN"/>
              </w:rPr>
            </w:pPr>
            <w:r>
              <w:rPr>
                <w:rFonts w:hint="eastAsia" w:ascii="宋体" w:hAnsi="宋体" w:eastAsia="宋体" w:cs="宋体"/>
                <w:sz w:val="21"/>
                <w:szCs w:val="21"/>
                <w:lang w:eastAsia="zh-CN"/>
              </w:rPr>
              <w:t>有培训签到表，考核方式和成绩、培训有效性评价。培训有效。评价人：</w:t>
            </w:r>
            <w:r>
              <w:rPr>
                <w:rFonts w:hint="eastAsia" w:ascii="宋体" w:hAnsi="宋体" w:cs="宋体"/>
                <w:sz w:val="21"/>
                <w:szCs w:val="21"/>
                <w:lang w:eastAsia="zh-CN"/>
              </w:rPr>
              <w:t>贾运腾</w:t>
            </w:r>
            <w:r>
              <w:rPr>
                <w:rFonts w:hint="eastAsia" w:ascii="宋体" w:hAnsi="宋体" w:eastAsia="宋体" w:cs="宋体"/>
                <w:sz w:val="21"/>
                <w:szCs w:val="21"/>
                <w:lang w:eastAsia="zh-CN"/>
              </w:rPr>
              <w:t xml:space="preserve">   2022.</w:t>
            </w:r>
            <w:r>
              <w:rPr>
                <w:rFonts w:hint="eastAsia" w:ascii="宋体" w:hAnsi="宋体" w:cs="宋体"/>
                <w:sz w:val="21"/>
                <w:szCs w:val="21"/>
                <w:lang w:val="en-US" w:eastAsia="zh-CN"/>
              </w:rPr>
              <w:t>5.25</w:t>
            </w:r>
          </w:p>
          <w:p>
            <w:pPr>
              <w:rPr>
                <w:rFonts w:hint="eastAsia" w:ascii="宋体" w:hAnsi="宋体"/>
              </w:rPr>
            </w:pPr>
            <w:r>
              <w:rPr>
                <w:rFonts w:hint="eastAsia" w:ascii="宋体" w:hAnsi="宋体" w:eastAsia="宋体" w:cs="宋体"/>
                <w:sz w:val="21"/>
                <w:szCs w:val="21"/>
                <w:lang w:eastAsia="zh-CN"/>
              </w:rPr>
              <w:t>——抽202</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cs="宋体"/>
                <w:sz w:val="21"/>
                <w:szCs w:val="21"/>
                <w:lang w:val="en-US" w:eastAsia="zh-CN"/>
              </w:rPr>
              <w:t>6.9培训，</w:t>
            </w:r>
            <w:r>
              <w:rPr>
                <w:rFonts w:hint="eastAsia" w:ascii="宋体" w:hAnsi="宋体" w:eastAsia="宋体" w:cs="宋体"/>
                <w:sz w:val="21"/>
                <w:szCs w:val="21"/>
                <w:lang w:eastAsia="zh-CN"/>
              </w:rPr>
              <w:t>培训题目：</w:t>
            </w:r>
            <w:r>
              <w:rPr>
                <w:rFonts w:hint="eastAsia" w:ascii="宋体" w:hAnsi="宋体"/>
              </w:rPr>
              <w:t>火灾、重伤等应急预案；安全、消防知识的培训</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培训内容包括：</w:t>
            </w:r>
          </w:p>
          <w:p>
            <w:pPr>
              <w:numPr>
                <w:ilvl w:val="0"/>
                <w:numId w:val="0"/>
              </w:numPr>
              <w:rPr>
                <w:rFonts w:hint="eastAsia"/>
              </w:rPr>
            </w:pPr>
            <w:r>
              <w:rPr>
                <w:rFonts w:hint="eastAsia"/>
                <w:lang w:val="en-US" w:eastAsia="zh-CN"/>
              </w:rPr>
              <w:t>1.</w:t>
            </w:r>
            <w:r>
              <w:rPr>
                <w:rFonts w:hint="eastAsia" w:ascii="宋体" w:hAnsi="宋体"/>
                <w:szCs w:val="21"/>
              </w:rPr>
              <w:t>火灾、重伤等应急预案讲解</w:t>
            </w:r>
            <w:r>
              <w:rPr>
                <w:rFonts w:hint="eastAsia"/>
              </w:rPr>
              <w:t>；</w:t>
            </w:r>
          </w:p>
          <w:p>
            <w:pPr>
              <w:numPr>
                <w:ilvl w:val="0"/>
                <w:numId w:val="0"/>
              </w:numPr>
              <w:rPr>
                <w:rFonts w:hint="eastAsia"/>
              </w:rPr>
            </w:pPr>
            <w:r>
              <w:rPr>
                <w:rFonts w:hint="eastAsia"/>
                <w:lang w:val="en-US" w:eastAsia="zh-CN"/>
              </w:rPr>
              <w:t>2.</w:t>
            </w:r>
            <w:r>
              <w:rPr>
                <w:rFonts w:hint="eastAsia"/>
              </w:rPr>
              <w:t>安全、消防知识讲解</w:t>
            </w:r>
            <w:r>
              <w:rPr>
                <w:rFonts w:hint="eastAsia"/>
                <w:lang w:val="en-US" w:eastAsia="zh-CN"/>
              </w:rPr>
              <w:t>;</w:t>
            </w:r>
          </w:p>
          <w:p>
            <w:pPr>
              <w:rPr>
                <w:rFonts w:hint="eastAsia"/>
              </w:rPr>
            </w:pPr>
            <w:r>
              <w:rPr>
                <w:rFonts w:hint="eastAsia"/>
                <w:lang w:val="en-US" w:eastAsia="zh-CN"/>
              </w:rPr>
              <w:t>3.</w:t>
            </w:r>
            <w:r>
              <w:rPr>
                <w:rFonts w:hint="eastAsia"/>
              </w:rPr>
              <w:t>消防器材、应急物资的使用等。</w:t>
            </w:r>
          </w:p>
          <w:p>
            <w:pPr>
              <w:rPr>
                <w:rFonts w:hint="eastAsia" w:ascii="宋体" w:hAnsi="宋体" w:eastAsia="宋体" w:cs="宋体"/>
                <w:sz w:val="21"/>
                <w:szCs w:val="21"/>
                <w:lang w:val="en-US" w:eastAsia="zh-CN"/>
              </w:rPr>
            </w:pPr>
            <w:r>
              <w:rPr>
                <w:rFonts w:hint="eastAsia" w:ascii="宋体" w:hAnsi="宋体" w:eastAsia="宋体" w:cs="宋体"/>
                <w:sz w:val="21"/>
                <w:szCs w:val="21"/>
                <w:lang w:eastAsia="zh-CN"/>
              </w:rPr>
              <w:t>有培训签到表，考核方式和成绩、培训有效性评价。培训有效。评价人：贾运腾   2022.</w:t>
            </w:r>
            <w:r>
              <w:rPr>
                <w:rFonts w:hint="eastAsia" w:ascii="宋体" w:hAnsi="宋体" w:eastAsia="宋体" w:cs="宋体"/>
                <w:sz w:val="21"/>
                <w:szCs w:val="21"/>
                <w:lang w:val="en-US" w:eastAsia="zh-CN"/>
              </w:rPr>
              <w:t>6.9</w:t>
            </w:r>
          </w:p>
          <w:p>
            <w:pPr>
              <w:rPr>
                <w:rFonts w:hint="eastAsia" w:ascii="宋体" w:hAnsi="宋体"/>
              </w:rPr>
            </w:pPr>
            <w:r>
              <w:rPr>
                <w:rFonts w:hint="eastAsia" w:ascii="宋体" w:hAnsi="宋体" w:cs="宋体"/>
                <w:sz w:val="21"/>
                <w:szCs w:val="21"/>
                <w:lang w:val="en-US" w:eastAsia="zh-CN"/>
              </w:rPr>
              <w:t>——抽</w:t>
            </w:r>
            <w:r>
              <w:rPr>
                <w:rFonts w:hint="eastAsia" w:ascii="宋体" w:hAnsi="宋体" w:eastAsia="宋体" w:cs="宋体"/>
                <w:sz w:val="21"/>
                <w:szCs w:val="21"/>
                <w:lang w:eastAsia="zh-CN"/>
              </w:rPr>
              <w:t>抽202</w:t>
            </w:r>
            <w:r>
              <w:rPr>
                <w:rFonts w:hint="eastAsia" w:ascii="宋体" w:hAnsi="宋体" w:eastAsia="宋体" w:cs="宋体"/>
                <w:sz w:val="21"/>
                <w:szCs w:val="21"/>
                <w:lang w:val="en-US" w:eastAsia="zh-CN"/>
              </w:rPr>
              <w:t>2.7.26</w:t>
            </w:r>
            <w:r>
              <w:rPr>
                <w:rFonts w:hint="eastAsia" w:ascii="宋体" w:hAnsi="宋体" w:cs="宋体"/>
                <w:sz w:val="21"/>
                <w:szCs w:val="21"/>
                <w:lang w:val="en-US" w:eastAsia="zh-CN"/>
              </w:rPr>
              <w:t>培训，</w:t>
            </w:r>
            <w:r>
              <w:rPr>
                <w:rFonts w:hint="eastAsia" w:ascii="宋体" w:hAnsi="宋体" w:eastAsia="宋体" w:cs="宋体"/>
                <w:sz w:val="21"/>
                <w:szCs w:val="21"/>
                <w:lang w:eastAsia="zh-CN"/>
              </w:rPr>
              <w:t>培训题目：</w:t>
            </w:r>
            <w:r>
              <w:rPr>
                <w:rFonts w:hint="eastAsia" w:ascii="宋体" w:hAnsi="宋体"/>
              </w:rPr>
              <w:t>施工相关法律法规及规范标准的培训</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培训内容包括：</w:t>
            </w:r>
          </w:p>
          <w:p>
            <w:pPr>
              <w:numPr>
                <w:ilvl w:val="0"/>
                <w:numId w:val="0"/>
              </w:numPr>
              <w:ind w:left="360" w:leftChars="0"/>
              <w:rPr>
                <w:rFonts w:hint="eastAsia"/>
              </w:rPr>
            </w:pPr>
            <w:r>
              <w:rPr>
                <w:rFonts w:hint="eastAsia" w:ascii="宋体" w:hAnsi="宋体"/>
                <w:szCs w:val="21"/>
                <w:lang w:val="en-US" w:eastAsia="zh-CN"/>
              </w:rPr>
              <w:t>1.特种工程专业承包相关规范要求</w:t>
            </w:r>
            <w:r>
              <w:rPr>
                <w:rFonts w:hint="eastAsia"/>
              </w:rPr>
              <w:t>；</w:t>
            </w:r>
          </w:p>
          <w:p>
            <w:pPr>
              <w:numPr>
                <w:ilvl w:val="0"/>
                <w:numId w:val="0"/>
              </w:numPr>
              <w:ind w:left="360" w:leftChars="0"/>
              <w:rPr>
                <w:rFonts w:hint="eastAsia"/>
              </w:rPr>
            </w:pPr>
            <w:r>
              <w:rPr>
                <w:rFonts w:hint="eastAsia"/>
                <w:lang w:val="en-US" w:eastAsia="zh-CN"/>
              </w:rPr>
              <w:t>2.</w:t>
            </w:r>
            <w:r>
              <w:rPr>
                <w:rFonts w:hint="eastAsia" w:ascii="宋体" w:hAnsi="宋体" w:eastAsia="宋体" w:cs="宋体"/>
                <w:sz w:val="21"/>
                <w:szCs w:val="21"/>
                <w:lang w:val="en-US" w:eastAsia="zh-CN"/>
              </w:rPr>
              <w:t>公司施工技术文件。</w:t>
            </w:r>
          </w:p>
          <w:p>
            <w:pPr>
              <w:rPr>
                <w:rFonts w:hint="eastAsia" w:ascii="宋体" w:hAnsi="宋体" w:eastAsia="宋体" w:cs="宋体"/>
                <w:sz w:val="21"/>
                <w:szCs w:val="21"/>
                <w:lang w:val="en-US" w:eastAsia="zh-CN"/>
              </w:rPr>
            </w:pPr>
            <w:r>
              <w:rPr>
                <w:rFonts w:hint="eastAsia" w:ascii="宋体" w:hAnsi="宋体" w:eastAsia="宋体" w:cs="宋体"/>
                <w:sz w:val="21"/>
                <w:szCs w:val="21"/>
                <w:lang w:eastAsia="zh-CN"/>
              </w:rPr>
              <w:t>有培训签到表，考核方式和成绩、培训有效性评价。培训有效。评价人：贾运腾   2022.</w:t>
            </w: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26</w:t>
            </w:r>
          </w:p>
          <w:p>
            <w:pPr>
              <w:rPr>
                <w:rFonts w:hint="eastAsia" w:ascii="宋体" w:hAnsi="宋体" w:eastAsia="宋体" w:cs="宋体"/>
                <w:sz w:val="21"/>
                <w:szCs w:val="21"/>
                <w:lang w:eastAsia="zh-CN"/>
              </w:rPr>
            </w:pPr>
            <w:r>
              <w:rPr>
                <w:rFonts w:hint="eastAsia" w:ascii="宋体" w:hAnsi="宋体" w:eastAsia="宋体" w:cs="宋体"/>
                <w:sz w:val="21"/>
                <w:szCs w:val="21"/>
                <w:lang w:val="en-US" w:eastAsia="zh-CN"/>
              </w:rPr>
              <w:t>——抽</w:t>
            </w:r>
            <w:r>
              <w:rPr>
                <w:rFonts w:hint="eastAsia" w:ascii="宋体" w:hAnsi="宋体" w:eastAsia="宋体" w:cs="宋体"/>
                <w:sz w:val="21"/>
                <w:szCs w:val="21"/>
                <w:lang w:eastAsia="zh-CN"/>
              </w:rPr>
              <w:t>新员工进场三级教育登记表，</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姓 名</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受教育课时</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受教育内容：</w:t>
            </w:r>
          </w:p>
          <w:p>
            <w:pPr>
              <w:rPr>
                <w:rFonts w:hint="eastAsia" w:ascii="宋体" w:hAnsi="宋体" w:eastAsia="宋体" w:cs="宋体"/>
                <w:sz w:val="21"/>
                <w:szCs w:val="21"/>
                <w:lang w:eastAsia="zh-CN"/>
              </w:rPr>
            </w:pPr>
            <w:r>
              <w:rPr>
                <w:rFonts w:hint="eastAsia" w:ascii="宋体" w:hAnsi="宋体" w:cs="宋体"/>
                <w:sz w:val="21"/>
                <w:szCs w:val="21"/>
                <w:lang w:val="en-US" w:eastAsia="zh-CN"/>
              </w:rPr>
              <w:t>邓立峰</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5</w:t>
            </w:r>
            <w:r>
              <w:rPr>
                <w:rFonts w:hint="eastAsia" w:ascii="宋体" w:hAnsi="宋体" w:eastAsia="宋体" w:cs="宋体"/>
                <w:sz w:val="21"/>
                <w:szCs w:val="21"/>
                <w:lang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安全基本知识、法规、法制教育</w:t>
            </w:r>
          </w:p>
          <w:p>
            <w:pPr>
              <w:rPr>
                <w:rFonts w:hint="eastAsia" w:ascii="宋体" w:hAnsi="宋体" w:eastAsia="宋体" w:cs="宋体"/>
                <w:sz w:val="21"/>
                <w:szCs w:val="21"/>
                <w:lang w:eastAsia="zh-CN"/>
              </w:rPr>
            </w:pPr>
            <w:r>
              <w:rPr>
                <w:rFonts w:hint="eastAsia" w:ascii="宋体" w:hAnsi="宋体" w:cs="宋体"/>
                <w:sz w:val="21"/>
                <w:szCs w:val="21"/>
                <w:lang w:val="en-US" w:eastAsia="zh-CN"/>
              </w:rPr>
              <w:t xml:space="preserve">张鹏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10</w:t>
            </w:r>
            <w:r>
              <w:rPr>
                <w:rFonts w:hint="eastAsia" w:ascii="宋体" w:hAnsi="宋体" w:eastAsia="宋体" w:cs="宋体"/>
                <w:sz w:val="21"/>
                <w:szCs w:val="21"/>
                <w:lang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岗位安全操作及班组安全制度，纪律教育</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另抽其他培训项目：内审员培训、管理制度及各部门文件控制与管理培训等，均进行了考核，符合要求；</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●人员及特种人员持证情况抽查如下：</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1、三证人员：     </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姓名  证书类别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有效期</w:t>
            </w:r>
            <w:r>
              <w:rPr>
                <w:rFonts w:hint="eastAsia" w:ascii="宋体" w:hAnsi="宋体" w:cs="宋体"/>
                <w:sz w:val="21"/>
                <w:szCs w:val="21"/>
                <w:lang w:eastAsia="zh-CN"/>
              </w:rPr>
              <w:t>至</w:t>
            </w: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证书编号</w:t>
            </w:r>
          </w:p>
          <w:p>
            <w:pPr>
              <w:rPr>
                <w:rFonts w:hint="eastAsia" w:ascii="宋体" w:hAnsi="宋体" w:cs="宋体"/>
                <w:sz w:val="21"/>
                <w:szCs w:val="21"/>
                <w:lang w:val="en-US" w:eastAsia="zh-CN"/>
              </w:rPr>
            </w:pPr>
            <w:r>
              <w:rPr>
                <w:rFonts w:hint="eastAsia" w:ascii="宋体" w:hAnsi="宋体" w:cs="宋体"/>
                <w:sz w:val="21"/>
                <w:szCs w:val="21"/>
                <w:lang w:val="en-US" w:eastAsia="zh-CN"/>
              </w:rPr>
              <w:t>秦军虎</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 xml:space="preserve">A本  </w:t>
            </w:r>
            <w:r>
              <w:rPr>
                <w:rFonts w:hint="eastAsia" w:ascii="宋体" w:hAnsi="宋体" w:eastAsia="宋体" w:cs="宋体"/>
                <w:sz w:val="21"/>
                <w:szCs w:val="21"/>
                <w:lang w:eastAsia="zh-CN"/>
              </w:rPr>
              <w:tab/>
            </w:r>
            <w:r>
              <w:rPr>
                <w:rFonts w:hint="eastAsia" w:ascii="宋体" w:hAnsi="宋体" w:eastAsia="宋体" w:cs="宋体"/>
                <w:sz w:val="21"/>
                <w:szCs w:val="21"/>
                <w:lang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202</w:t>
            </w:r>
            <w:r>
              <w:rPr>
                <w:rFonts w:hint="eastAsia" w:ascii="宋体" w:hAnsi="宋体" w:cs="宋体"/>
                <w:sz w:val="21"/>
                <w:szCs w:val="21"/>
                <w:lang w:val="en-US" w:eastAsia="zh-CN"/>
              </w:rPr>
              <w:t>3.10.10</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冀建安</w:t>
            </w:r>
            <w:r>
              <w:rPr>
                <w:rFonts w:hint="eastAsia" w:ascii="宋体" w:hAnsi="宋体" w:eastAsia="宋体" w:cs="宋体"/>
                <w:sz w:val="21"/>
                <w:szCs w:val="21"/>
                <w:lang w:val="en-US" w:eastAsia="zh-CN"/>
              </w:rPr>
              <w:t>A（</w:t>
            </w:r>
            <w:r>
              <w:rPr>
                <w:rFonts w:hint="eastAsia" w:ascii="宋体" w:hAnsi="宋体" w:eastAsia="宋体" w:cs="宋体"/>
                <w:sz w:val="21"/>
                <w:szCs w:val="21"/>
                <w:lang w:eastAsia="zh-CN"/>
              </w:rPr>
              <w:t>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0</w:t>
            </w:r>
            <w:r>
              <w:rPr>
                <w:rFonts w:hint="eastAsia" w:ascii="宋体" w:hAnsi="宋体" w:eastAsia="宋体" w:cs="宋体"/>
                <w:sz w:val="21"/>
                <w:szCs w:val="21"/>
                <w:lang w:eastAsia="zh-CN"/>
              </w:rPr>
              <w:t>）00</w:t>
            </w:r>
            <w:r>
              <w:rPr>
                <w:rFonts w:hint="eastAsia" w:ascii="宋体" w:hAnsi="宋体" w:cs="宋体"/>
                <w:sz w:val="21"/>
                <w:szCs w:val="21"/>
                <w:lang w:val="en-US" w:eastAsia="zh-CN"/>
              </w:rPr>
              <w:t>84072</w:t>
            </w:r>
          </w:p>
          <w:p>
            <w:pPr>
              <w:rPr>
                <w:rFonts w:hint="eastAsia" w:ascii="宋体" w:hAnsi="宋体" w:cs="宋体"/>
                <w:sz w:val="21"/>
                <w:szCs w:val="21"/>
                <w:lang w:val="en-US" w:eastAsia="zh-CN"/>
              </w:rPr>
            </w:pPr>
            <w:r>
              <w:rPr>
                <w:rFonts w:hint="eastAsia" w:ascii="宋体" w:hAnsi="宋体" w:cs="宋体"/>
                <w:sz w:val="21"/>
                <w:szCs w:val="21"/>
                <w:lang w:val="en-US" w:eastAsia="zh-CN"/>
              </w:rPr>
              <w:t xml:space="preserve">张鹏    A本            2022.12.31          </w:t>
            </w:r>
            <w:r>
              <w:rPr>
                <w:rFonts w:hint="eastAsia" w:ascii="宋体" w:hAnsi="宋体" w:eastAsia="宋体" w:cs="宋体"/>
                <w:sz w:val="21"/>
                <w:szCs w:val="21"/>
                <w:lang w:eastAsia="zh-CN"/>
              </w:rPr>
              <w:t>冀建安</w:t>
            </w:r>
            <w:r>
              <w:rPr>
                <w:rFonts w:hint="eastAsia" w:ascii="宋体" w:hAnsi="宋体" w:eastAsia="宋体" w:cs="宋体"/>
                <w:sz w:val="21"/>
                <w:szCs w:val="21"/>
                <w:lang w:val="en-US" w:eastAsia="zh-CN"/>
              </w:rPr>
              <w:t>A（</w:t>
            </w:r>
            <w:r>
              <w:rPr>
                <w:rFonts w:hint="eastAsia" w:ascii="宋体" w:hAnsi="宋体" w:eastAsia="宋体" w:cs="宋体"/>
                <w:sz w:val="21"/>
                <w:szCs w:val="21"/>
                <w:lang w:eastAsia="zh-CN"/>
              </w:rPr>
              <w:t>20</w:t>
            </w:r>
            <w:r>
              <w:rPr>
                <w:rFonts w:hint="eastAsia" w:ascii="宋体" w:hAnsi="宋体" w:cs="宋体"/>
                <w:sz w:val="21"/>
                <w:szCs w:val="21"/>
                <w:lang w:val="en-US" w:eastAsia="zh-CN"/>
              </w:rPr>
              <w:t>18</w:t>
            </w:r>
            <w:r>
              <w:rPr>
                <w:rFonts w:hint="eastAsia" w:ascii="宋体" w:hAnsi="宋体" w:eastAsia="宋体" w:cs="宋体"/>
                <w:sz w:val="21"/>
                <w:szCs w:val="21"/>
                <w:lang w:eastAsia="zh-CN"/>
              </w:rPr>
              <w:t>）00</w:t>
            </w:r>
            <w:r>
              <w:rPr>
                <w:rFonts w:hint="eastAsia" w:ascii="宋体" w:hAnsi="宋体" w:cs="宋体"/>
                <w:sz w:val="21"/>
                <w:szCs w:val="21"/>
                <w:lang w:val="en-US" w:eastAsia="zh-CN"/>
              </w:rPr>
              <w:t>30692</w:t>
            </w:r>
          </w:p>
          <w:p>
            <w:pPr>
              <w:rPr>
                <w:rFonts w:hint="eastAsia" w:ascii="宋体" w:hAnsi="宋体" w:cs="宋体"/>
                <w:sz w:val="21"/>
                <w:szCs w:val="21"/>
                <w:lang w:val="en-US" w:eastAsia="zh-CN"/>
              </w:rPr>
            </w:pPr>
            <w:r>
              <w:rPr>
                <w:rFonts w:hint="eastAsia" w:ascii="宋体" w:hAnsi="宋体" w:cs="宋体"/>
                <w:sz w:val="21"/>
                <w:szCs w:val="21"/>
                <w:lang w:val="en-US" w:eastAsia="zh-CN"/>
              </w:rPr>
              <w:t>王羿翔  B本            2023-12-31        冀建安B（2018）0038447</w:t>
            </w:r>
          </w:p>
          <w:p>
            <w:pPr>
              <w:rPr>
                <w:rFonts w:hint="default" w:ascii="宋体" w:hAnsi="宋体" w:eastAsia="宋体" w:cs="宋体"/>
                <w:sz w:val="21"/>
                <w:szCs w:val="21"/>
                <w:lang w:val="en-US" w:eastAsia="zh-CN"/>
              </w:rPr>
            </w:pPr>
            <w:r>
              <w:rPr>
                <w:rFonts w:hint="eastAsia" w:ascii="宋体" w:hAnsi="宋体" w:cs="宋体"/>
                <w:sz w:val="21"/>
                <w:szCs w:val="21"/>
                <w:lang w:val="en-US" w:eastAsia="zh-CN"/>
              </w:rPr>
              <w:t xml:space="preserve">刘玉浩  </w:t>
            </w:r>
            <w:r>
              <w:rPr>
                <w:rFonts w:hint="eastAsia" w:ascii="宋体" w:hAnsi="宋体" w:eastAsia="宋体" w:cs="宋体"/>
                <w:sz w:val="21"/>
                <w:szCs w:val="21"/>
                <w:lang w:val="en-US" w:eastAsia="zh-CN"/>
              </w:rPr>
              <w:t>C本            2024.</w:t>
            </w:r>
            <w:r>
              <w:rPr>
                <w:rFonts w:hint="eastAsia" w:ascii="宋体" w:hAnsi="宋体" w:cs="宋体"/>
                <w:sz w:val="21"/>
                <w:szCs w:val="21"/>
                <w:lang w:val="en-US" w:eastAsia="zh-CN"/>
              </w:rPr>
              <w:t>4.14</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冀建安</w:t>
            </w:r>
            <w:r>
              <w:rPr>
                <w:rFonts w:hint="eastAsia" w:ascii="宋体" w:hAnsi="宋体" w:eastAsia="宋体" w:cs="宋体"/>
                <w:sz w:val="21"/>
                <w:szCs w:val="21"/>
                <w:lang w:val="en-US" w:eastAsia="zh-CN"/>
              </w:rPr>
              <w:t>C（</w:t>
            </w:r>
            <w:r>
              <w:rPr>
                <w:rFonts w:hint="eastAsia" w:ascii="宋体" w:hAnsi="宋体" w:eastAsia="宋体" w:cs="宋体"/>
                <w:sz w:val="21"/>
                <w:szCs w:val="21"/>
                <w:lang w:eastAsia="zh-CN"/>
              </w:rPr>
              <w:t>20</w:t>
            </w:r>
            <w:r>
              <w:rPr>
                <w:rFonts w:hint="eastAsia" w:ascii="宋体" w:hAnsi="宋体" w:eastAsia="宋体" w:cs="宋体"/>
                <w:sz w:val="21"/>
                <w:szCs w:val="21"/>
                <w:lang w:val="en-US" w:eastAsia="zh-CN"/>
              </w:rPr>
              <w:t>21</w:t>
            </w:r>
            <w:r>
              <w:rPr>
                <w:rFonts w:hint="eastAsia" w:ascii="宋体" w:hAnsi="宋体" w:eastAsia="宋体" w:cs="宋体"/>
                <w:sz w:val="21"/>
                <w:szCs w:val="21"/>
                <w:lang w:eastAsia="zh-CN"/>
              </w:rPr>
              <w:t>）00</w:t>
            </w:r>
            <w:r>
              <w:rPr>
                <w:rFonts w:hint="eastAsia" w:ascii="宋体" w:hAnsi="宋体" w:eastAsia="宋体" w:cs="宋体"/>
                <w:sz w:val="21"/>
                <w:szCs w:val="21"/>
                <w:lang w:val="en-US" w:eastAsia="zh-CN"/>
              </w:rPr>
              <w:t>0</w:t>
            </w:r>
            <w:r>
              <w:rPr>
                <w:rFonts w:hint="eastAsia" w:ascii="宋体" w:hAnsi="宋体" w:cs="宋体"/>
                <w:sz w:val="21"/>
                <w:szCs w:val="21"/>
                <w:lang w:val="en-US" w:eastAsia="zh-CN"/>
              </w:rPr>
              <w:t>8522</w:t>
            </w:r>
          </w:p>
          <w:p>
            <w:pPr>
              <w:rPr>
                <w:rFonts w:hint="default" w:ascii="宋体" w:hAnsi="宋体" w:cs="宋体"/>
                <w:sz w:val="21"/>
                <w:szCs w:val="21"/>
                <w:lang w:val="en-US" w:eastAsia="zh-CN"/>
              </w:rPr>
            </w:pPr>
            <w:r>
              <w:rPr>
                <w:rFonts w:hint="eastAsia" w:ascii="宋体" w:hAnsi="宋体" w:cs="宋体"/>
                <w:sz w:val="21"/>
                <w:szCs w:val="21"/>
                <w:lang w:eastAsia="zh-CN"/>
              </w:rPr>
              <w:t>邓立峰</w:t>
            </w:r>
            <w:r>
              <w:rPr>
                <w:rFonts w:hint="eastAsia" w:ascii="宋体" w:hAnsi="宋体" w:cs="宋体"/>
                <w:sz w:val="21"/>
                <w:szCs w:val="21"/>
                <w:lang w:val="en-US" w:eastAsia="zh-CN"/>
              </w:rPr>
              <w:t xml:space="preserve">  C本            2022.12.31          </w:t>
            </w:r>
            <w:r>
              <w:rPr>
                <w:rFonts w:hint="eastAsia" w:ascii="宋体" w:hAnsi="宋体" w:eastAsia="宋体" w:cs="宋体"/>
                <w:sz w:val="21"/>
                <w:szCs w:val="21"/>
                <w:lang w:eastAsia="zh-CN"/>
              </w:rPr>
              <w:t>冀建安</w:t>
            </w:r>
            <w:r>
              <w:rPr>
                <w:rFonts w:hint="eastAsia" w:ascii="宋体" w:hAnsi="宋体" w:eastAsia="宋体" w:cs="宋体"/>
                <w:sz w:val="21"/>
                <w:szCs w:val="21"/>
                <w:lang w:val="en-US" w:eastAsia="zh-CN"/>
              </w:rPr>
              <w:t>C（</w:t>
            </w:r>
            <w:r>
              <w:rPr>
                <w:rFonts w:hint="eastAsia" w:ascii="宋体" w:hAnsi="宋体" w:eastAsia="宋体" w:cs="宋体"/>
                <w:sz w:val="21"/>
                <w:szCs w:val="21"/>
                <w:lang w:eastAsia="zh-CN"/>
              </w:rPr>
              <w:t>20</w:t>
            </w:r>
            <w:r>
              <w:rPr>
                <w:rFonts w:hint="eastAsia" w:ascii="宋体" w:hAnsi="宋体" w:cs="宋体"/>
                <w:sz w:val="21"/>
                <w:szCs w:val="21"/>
                <w:lang w:val="en-US" w:eastAsia="zh-CN"/>
              </w:rPr>
              <w:t>18</w:t>
            </w:r>
            <w:r>
              <w:rPr>
                <w:rFonts w:hint="eastAsia" w:ascii="宋体" w:hAnsi="宋体" w:eastAsia="宋体" w:cs="宋体"/>
                <w:sz w:val="21"/>
                <w:szCs w:val="21"/>
                <w:lang w:eastAsia="zh-CN"/>
              </w:rPr>
              <w:t>）00</w:t>
            </w:r>
            <w:r>
              <w:rPr>
                <w:rFonts w:hint="eastAsia" w:ascii="宋体" w:hAnsi="宋体" w:cs="宋体"/>
                <w:sz w:val="21"/>
                <w:szCs w:val="21"/>
                <w:lang w:val="en-US" w:eastAsia="zh-CN"/>
              </w:rPr>
              <w:t>73619</w:t>
            </w:r>
          </w:p>
          <w:p>
            <w:pPr>
              <w:rPr>
                <w:rFonts w:hint="eastAsia" w:ascii="宋体" w:hAnsi="宋体" w:eastAsia="宋体" w:cs="宋体"/>
                <w:sz w:val="21"/>
                <w:szCs w:val="21"/>
                <w:lang w:eastAsia="zh-CN"/>
              </w:rPr>
            </w:pP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2、抽查建造师证：</w:t>
            </w:r>
          </w:p>
          <w:p>
            <w:pPr>
              <w:rPr>
                <w:rFonts w:hint="eastAsia" w:ascii="宋体" w:hAnsi="宋体" w:eastAsia="宋体" w:cs="宋体"/>
                <w:sz w:val="21"/>
                <w:szCs w:val="21"/>
                <w:lang w:val="en-US" w:eastAsia="zh-CN"/>
              </w:rPr>
            </w:pPr>
            <w:r>
              <w:rPr>
                <w:rFonts w:hint="eastAsia" w:ascii="宋体" w:hAnsi="宋体" w:cs="宋体"/>
                <w:sz w:val="21"/>
                <w:szCs w:val="21"/>
                <w:lang w:val="en-US" w:eastAsia="zh-CN"/>
              </w:rPr>
              <w:t xml:space="preserve">高赛  </w:t>
            </w:r>
            <w:r>
              <w:rPr>
                <w:rFonts w:hint="eastAsia" w:ascii="宋体" w:hAnsi="宋体" w:eastAsia="宋体" w:cs="宋体"/>
                <w:sz w:val="21"/>
                <w:szCs w:val="21"/>
                <w:lang w:val="en-US" w:eastAsia="zh-CN"/>
              </w:rPr>
              <w:t xml:space="preserve">   二级建造师     202</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9</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（建筑工程）</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 冀2132</w:t>
            </w:r>
            <w:r>
              <w:rPr>
                <w:rFonts w:hint="eastAsia" w:ascii="宋体" w:hAnsi="宋体" w:cs="宋体"/>
                <w:sz w:val="21"/>
                <w:szCs w:val="21"/>
                <w:lang w:val="en-US" w:eastAsia="zh-CN"/>
              </w:rPr>
              <w:t>12214745</w:t>
            </w:r>
            <w:r>
              <w:rPr>
                <w:rFonts w:hint="eastAsia" w:ascii="宋体" w:hAnsi="宋体" w:eastAsia="宋体" w:cs="宋体"/>
                <w:sz w:val="21"/>
                <w:szCs w:val="21"/>
                <w:lang w:val="en-US" w:eastAsia="zh-CN"/>
              </w:rPr>
              <w:t xml:space="preserve">  </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3、抽人员持证情况：</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刘玉浩      安全员   证书编号:冀建安C(2021)0008522  有效期至:2024-04-14</w:t>
            </w:r>
          </w:p>
          <w:p>
            <w:pPr>
              <w:rPr>
                <w:rFonts w:hint="eastAsia" w:ascii="宋体" w:hAnsi="宋体" w:eastAsia="宋体" w:cs="宋体"/>
                <w:color w:val="0000FF"/>
                <w:sz w:val="21"/>
                <w:szCs w:val="21"/>
                <w:lang w:eastAsia="zh-CN"/>
              </w:rPr>
            </w:pPr>
            <w:r>
              <w:rPr>
                <w:rFonts w:hint="eastAsia" w:ascii="宋体" w:hAnsi="宋体" w:eastAsia="宋体" w:cs="宋体"/>
                <w:color w:val="auto"/>
                <w:sz w:val="21"/>
                <w:szCs w:val="21"/>
                <w:lang w:eastAsia="zh-CN"/>
              </w:rPr>
              <w:t xml:space="preserve">李峰 施工员（电气）  证书编号： 2101010300349240       有效期至: 2024.7.9    </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4、抽特殊工种及特种作业人员：</w:t>
            </w:r>
          </w:p>
          <w:p>
            <w:pPr>
              <w:rPr>
                <w:rFonts w:hint="default" w:ascii="宋体" w:hAnsi="宋体" w:eastAsia="宋体" w:cs="宋体"/>
                <w:sz w:val="21"/>
                <w:szCs w:val="21"/>
                <w:lang w:val="en-US" w:eastAsia="zh-CN"/>
              </w:rPr>
            </w:pPr>
            <w:r>
              <w:rPr>
                <w:rFonts w:hint="eastAsia" w:ascii="宋体" w:hAnsi="宋体" w:cs="宋体"/>
                <w:sz w:val="21"/>
                <w:szCs w:val="21"/>
                <w:lang w:eastAsia="zh-CN"/>
              </w:rPr>
              <w:t>孟庆着</w:t>
            </w:r>
            <w:r>
              <w:rPr>
                <w:rFonts w:hint="eastAsia" w:ascii="宋体" w:hAnsi="宋体" w:eastAsia="宋体" w:cs="宋体"/>
                <w:sz w:val="21"/>
                <w:szCs w:val="21"/>
                <w:lang w:eastAsia="zh-CN"/>
              </w:rPr>
              <w:t xml:space="preserve">  证书编号：</w:t>
            </w:r>
            <w:r>
              <w:rPr>
                <w:rFonts w:hint="eastAsia" w:ascii="宋体" w:hAnsi="宋体" w:eastAsia="宋体" w:cs="宋体"/>
                <w:sz w:val="21"/>
                <w:szCs w:val="21"/>
                <w:lang w:val="en-US" w:eastAsia="zh-CN"/>
              </w:rPr>
              <w:t xml:space="preserve">T410922198602020317   </w:t>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类别：</w:t>
            </w:r>
            <w:r>
              <w:rPr>
                <w:rFonts w:hint="eastAsia" w:ascii="宋体" w:hAnsi="宋体" w:cs="宋体"/>
                <w:sz w:val="21"/>
                <w:szCs w:val="21"/>
                <w:lang w:eastAsia="zh-CN"/>
              </w:rPr>
              <w:t>高处作业</w:t>
            </w: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有效期：20</w:t>
            </w:r>
            <w:r>
              <w:rPr>
                <w:rFonts w:hint="eastAsia" w:ascii="宋体" w:hAnsi="宋体" w:cs="宋体"/>
                <w:sz w:val="21"/>
                <w:szCs w:val="21"/>
                <w:lang w:val="en-US" w:eastAsia="zh-CN"/>
              </w:rPr>
              <w:t>19</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21</w:t>
            </w:r>
            <w:r>
              <w:rPr>
                <w:rFonts w:hint="eastAsia" w:ascii="宋体" w:hAnsi="宋体" w:eastAsia="宋体" w:cs="宋体"/>
                <w:sz w:val="21"/>
                <w:szCs w:val="21"/>
                <w:lang w:val="en-US" w:eastAsia="zh-CN"/>
              </w:rPr>
              <w:t>至202</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1-20</w:t>
            </w:r>
          </w:p>
          <w:p>
            <w:pPr>
              <w:rPr>
                <w:rFonts w:hint="default" w:ascii="宋体" w:hAnsi="宋体" w:eastAsia="宋体" w:cs="宋体"/>
                <w:sz w:val="21"/>
                <w:szCs w:val="21"/>
                <w:lang w:val="en-US" w:eastAsia="zh-CN"/>
              </w:rPr>
            </w:pPr>
            <w:r>
              <w:rPr>
                <w:rFonts w:hint="eastAsia" w:ascii="宋体" w:hAnsi="宋体" w:cs="宋体"/>
                <w:sz w:val="21"/>
                <w:szCs w:val="21"/>
                <w:lang w:eastAsia="zh-CN"/>
              </w:rPr>
              <w:t>李跃振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证书编号：</w:t>
            </w:r>
            <w:r>
              <w:rPr>
                <w:rFonts w:hint="eastAsia" w:ascii="宋体" w:hAnsi="宋体" w:eastAsia="宋体" w:cs="宋体"/>
                <w:sz w:val="21"/>
                <w:szCs w:val="21"/>
                <w:lang w:val="en-US" w:eastAsia="zh-CN"/>
              </w:rPr>
              <w:t>T410922199104030314</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   类别：</w:t>
            </w:r>
            <w:r>
              <w:rPr>
                <w:rFonts w:hint="eastAsia" w:ascii="宋体" w:hAnsi="宋体" w:cs="宋体"/>
                <w:sz w:val="21"/>
                <w:szCs w:val="21"/>
                <w:lang w:val="en-US" w:eastAsia="zh-CN"/>
              </w:rPr>
              <w:t>高处作业</w:t>
            </w:r>
            <w:r>
              <w:rPr>
                <w:rFonts w:hint="eastAsia" w:ascii="宋体" w:hAnsi="宋体" w:eastAsia="宋体" w:cs="宋体"/>
                <w:sz w:val="21"/>
                <w:szCs w:val="21"/>
                <w:lang w:val="en-US" w:eastAsia="zh-CN"/>
              </w:rPr>
              <w:t xml:space="preserve">      有效期：2021-</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29</w:t>
            </w:r>
            <w:r>
              <w:rPr>
                <w:rFonts w:hint="eastAsia" w:ascii="宋体" w:hAnsi="宋体" w:eastAsia="宋体" w:cs="宋体"/>
                <w:sz w:val="21"/>
                <w:szCs w:val="21"/>
                <w:lang w:val="en-US" w:eastAsia="zh-CN"/>
              </w:rPr>
              <w:t>至2027-</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28</w:t>
            </w:r>
          </w:p>
          <w:p>
            <w:pPr>
              <w:rPr>
                <w:rFonts w:hint="eastAsia" w:ascii="宋体" w:hAnsi="宋体" w:cs="宋体"/>
                <w:sz w:val="21"/>
                <w:szCs w:val="21"/>
                <w:lang w:val="en-US" w:eastAsia="zh-CN"/>
              </w:rPr>
            </w:pPr>
            <w:r>
              <w:rPr>
                <w:rFonts w:hint="eastAsia" w:ascii="宋体" w:hAnsi="宋体" w:eastAsia="宋体" w:cs="宋体"/>
                <w:sz w:val="21"/>
                <w:szCs w:val="21"/>
                <w:lang w:eastAsia="zh-CN"/>
              </w:rPr>
              <w:t>李</w:t>
            </w:r>
            <w:r>
              <w:rPr>
                <w:rFonts w:hint="eastAsia" w:ascii="宋体" w:hAnsi="宋体" w:cs="宋体"/>
                <w:sz w:val="21"/>
                <w:szCs w:val="21"/>
                <w:lang w:eastAsia="zh-CN"/>
              </w:rPr>
              <w:t>振邦</w:t>
            </w:r>
            <w:r>
              <w:rPr>
                <w:rFonts w:hint="eastAsia" w:ascii="宋体" w:hAnsi="宋体" w:cs="宋体"/>
                <w:sz w:val="21"/>
                <w:szCs w:val="21"/>
                <w:lang w:val="en-US" w:eastAsia="zh-CN"/>
              </w:rPr>
              <w:t xml:space="preserve">  证书编号：T410922199808300319    类别：高处作业      有效期：2019-11-21至2025-11-20</w:t>
            </w:r>
          </w:p>
          <w:p>
            <w:pPr>
              <w:rPr>
                <w:rFonts w:hint="default"/>
                <w:lang w:val="en-US" w:eastAsia="zh-CN"/>
              </w:rPr>
            </w:pPr>
            <w:r>
              <w:rPr>
                <w:rFonts w:hint="eastAsia" w:ascii="宋体" w:hAnsi="宋体" w:cs="宋体"/>
                <w:sz w:val="21"/>
                <w:szCs w:val="21"/>
                <w:lang w:val="en-US" w:eastAsia="zh-CN"/>
              </w:rPr>
              <w:t>张自铭  证书编号：T410922199907290312    类别：电工作业      有效期：2019-11-21至2025-11-20</w:t>
            </w:r>
          </w:p>
          <w:p>
            <w:pPr>
              <w:rPr>
                <w:rFonts w:hint="default" w:ascii="宋体" w:hAnsi="宋体" w:eastAsia="宋体" w:cs="宋体"/>
                <w:sz w:val="21"/>
                <w:szCs w:val="21"/>
                <w:lang w:val="en-US" w:eastAsia="zh-CN"/>
              </w:rPr>
            </w:pPr>
            <w:r>
              <w:rPr>
                <w:rFonts w:hint="eastAsia" w:ascii="宋体" w:hAnsi="宋体" w:cs="宋体"/>
                <w:sz w:val="21"/>
                <w:szCs w:val="21"/>
                <w:lang w:eastAsia="zh-CN"/>
              </w:rPr>
              <w:t>李义广</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 xml:space="preserve"> 证书编号：410922198111180316   类别：</w:t>
            </w:r>
            <w:r>
              <w:rPr>
                <w:rFonts w:hint="eastAsia" w:ascii="宋体" w:hAnsi="宋体" w:cs="宋体"/>
                <w:sz w:val="21"/>
                <w:szCs w:val="21"/>
                <w:lang w:val="en-US" w:eastAsia="zh-CN"/>
              </w:rPr>
              <w:t>Q1（起重机指挥）</w:t>
            </w:r>
            <w:r>
              <w:rPr>
                <w:rFonts w:hint="eastAsia" w:ascii="宋体" w:hAnsi="宋体" w:eastAsia="宋体" w:cs="宋体"/>
                <w:sz w:val="21"/>
                <w:szCs w:val="21"/>
                <w:lang w:eastAsia="zh-CN"/>
              </w:rPr>
              <w:t xml:space="preserve">  有效期：20</w:t>
            </w:r>
            <w:r>
              <w:rPr>
                <w:rFonts w:hint="eastAsia" w:ascii="宋体" w:hAnsi="宋体" w:cs="宋体"/>
                <w:sz w:val="21"/>
                <w:szCs w:val="21"/>
                <w:lang w:val="en-US" w:eastAsia="zh-CN"/>
              </w:rPr>
              <w:t>19年11月至2023年11月</w:t>
            </w:r>
          </w:p>
          <w:p>
            <w:pPr>
              <w:rPr>
                <w:rFonts w:hint="default" w:ascii="宋体" w:hAnsi="宋体" w:eastAsia="宋体" w:cs="宋体"/>
                <w:sz w:val="21"/>
                <w:szCs w:val="21"/>
                <w:lang w:val="en-US" w:eastAsia="zh-CN"/>
              </w:rPr>
            </w:pPr>
            <w:r>
              <w:rPr>
                <w:rFonts w:hint="eastAsia" w:ascii="宋体" w:hAnsi="宋体" w:cs="宋体"/>
                <w:sz w:val="21"/>
                <w:szCs w:val="21"/>
                <w:lang w:eastAsia="zh-CN"/>
              </w:rPr>
              <w:t>李跃振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 xml:space="preserve"> 证书编号：410922199104030314   类别：</w:t>
            </w:r>
            <w:r>
              <w:rPr>
                <w:rFonts w:hint="eastAsia" w:ascii="宋体" w:hAnsi="宋体" w:cs="宋体"/>
                <w:sz w:val="21"/>
                <w:szCs w:val="21"/>
                <w:lang w:val="en-US" w:eastAsia="zh-CN"/>
              </w:rPr>
              <w:t>Q1（起重机指挥）</w:t>
            </w:r>
            <w:r>
              <w:rPr>
                <w:rFonts w:hint="eastAsia" w:ascii="宋体" w:hAnsi="宋体" w:eastAsia="宋体" w:cs="宋体"/>
                <w:sz w:val="21"/>
                <w:szCs w:val="21"/>
                <w:lang w:eastAsia="zh-CN"/>
              </w:rPr>
              <w:t xml:space="preserve">  有效期：20</w:t>
            </w:r>
            <w:r>
              <w:rPr>
                <w:rFonts w:hint="eastAsia" w:ascii="宋体" w:hAnsi="宋体" w:cs="宋体"/>
                <w:sz w:val="21"/>
                <w:szCs w:val="21"/>
                <w:lang w:val="en-US" w:eastAsia="zh-CN"/>
              </w:rPr>
              <w:t>21年7月至2025年6月</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以上证书均在有效期内</w:t>
            </w:r>
          </w:p>
          <w:p>
            <w:pPr>
              <w:rPr>
                <w:rFonts w:hint="eastAsia" w:ascii="宋体" w:hAnsi="宋体" w:eastAsia="宋体" w:cs="宋体"/>
                <w:sz w:val="21"/>
                <w:szCs w:val="21"/>
                <w:lang w:val="en-US" w:eastAsia="zh-CN"/>
              </w:rPr>
            </w:pPr>
            <w:r>
              <w:rPr>
                <w:rFonts w:hint="eastAsia" w:ascii="宋体" w:hAnsi="宋体" w:eastAsia="宋体" w:cs="宋体"/>
                <w:sz w:val="21"/>
                <w:szCs w:val="21"/>
                <w:lang w:eastAsia="zh-CN"/>
              </w:rPr>
              <w:t>●与</w:t>
            </w:r>
            <w:r>
              <w:rPr>
                <w:rFonts w:hint="eastAsia" w:ascii="宋体" w:hAnsi="宋体" w:cs="宋体"/>
                <w:sz w:val="21"/>
                <w:szCs w:val="21"/>
                <w:lang w:eastAsia="zh-CN"/>
              </w:rPr>
              <w:t>贾运腾经理</w:t>
            </w:r>
            <w:r>
              <w:rPr>
                <w:rFonts w:hint="eastAsia" w:ascii="宋体" w:hAnsi="宋体" w:eastAsia="宋体" w:cs="宋体"/>
                <w:sz w:val="21"/>
                <w:szCs w:val="21"/>
                <w:lang w:eastAsia="zh-CN"/>
              </w:rPr>
              <w:t>沟通，企业</w:t>
            </w:r>
            <w:r>
              <w:rPr>
                <w:rFonts w:hint="eastAsia" w:ascii="宋体" w:hAnsi="宋体" w:eastAsia="宋体" w:cs="宋体"/>
                <w:sz w:val="21"/>
                <w:szCs w:val="21"/>
                <w:lang w:val="en-US" w:eastAsia="zh-CN"/>
              </w:rPr>
              <w:t>通过下发文件、能力提升培训、会议传达、口头传达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pP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视频</w:t>
            </w:r>
            <w:r>
              <w:rPr>
                <w:rFonts w:hint="eastAsia" w:ascii="宋体" w:hAnsi="宋体" w:eastAsia="宋体" w:cs="宋体"/>
                <w:sz w:val="21"/>
                <w:szCs w:val="21"/>
                <w:lang w:val="en-US" w:eastAsia="zh-CN"/>
              </w:rPr>
              <w:t>沟通，</w:t>
            </w:r>
            <w:r>
              <w:rPr>
                <w:rFonts w:hint="eastAsia" w:ascii="宋体" w:hAnsi="宋体" w:cs="宋体"/>
                <w:sz w:val="21"/>
                <w:szCs w:val="21"/>
                <w:lang w:val="en-US" w:eastAsia="zh-CN"/>
              </w:rPr>
              <w:t>贾经理</w:t>
            </w:r>
            <w:r>
              <w:rPr>
                <w:rFonts w:hint="eastAsia" w:ascii="宋体" w:hAnsi="宋体" w:eastAsia="宋体" w:cs="宋体"/>
                <w:sz w:val="21"/>
                <w:szCs w:val="21"/>
                <w:lang w:val="en-US" w:eastAsia="zh-CN"/>
              </w:rPr>
              <w:t>能说出</w:t>
            </w:r>
            <w:r>
              <w:rPr>
                <w:rFonts w:hint="eastAsia" w:ascii="宋体" w:hAnsi="宋体" w:cs="宋体"/>
                <w:sz w:val="21"/>
                <w:szCs w:val="21"/>
                <w:lang w:val="en-US" w:eastAsia="zh-CN"/>
              </w:rPr>
              <w:t>总经办</w:t>
            </w:r>
            <w:r>
              <w:rPr>
                <w:rFonts w:hint="eastAsia" w:ascii="宋体" w:hAnsi="宋体" w:eastAsia="宋体" w:cs="宋体"/>
                <w:sz w:val="21"/>
                <w:szCs w:val="21"/>
                <w:lang w:val="en-US" w:eastAsia="zh-CN"/>
              </w:rPr>
              <w:t>的管理目标和企业的管理方针。</w:t>
            </w:r>
          </w:p>
        </w:tc>
        <w:tc>
          <w:tcPr>
            <w:tcW w:w="874" w:type="dxa"/>
            <w:vAlign w:val="top"/>
          </w:tcPr>
          <w:p>
            <w:pPr>
              <w:rPr>
                <w:rFonts w:hint="default"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8" w:hRule="atLeast"/>
        </w:trPr>
        <w:tc>
          <w:tcPr>
            <w:tcW w:w="1535" w:type="dxa"/>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沟通、</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员工协商和参与</w:t>
            </w:r>
          </w:p>
        </w:tc>
        <w:tc>
          <w:tcPr>
            <w:tcW w:w="810" w:type="dxa"/>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EO7.4</w:t>
            </w:r>
          </w:p>
          <w:p>
            <w:pPr>
              <w:rPr>
                <w:rFonts w:hint="eastAsia" w:ascii="宋体" w:hAnsi="宋体" w:eastAsia="宋体" w:cs="宋体"/>
                <w:sz w:val="21"/>
                <w:szCs w:val="21"/>
                <w:lang w:val="en-US" w:eastAsia="zh-CN"/>
              </w:rPr>
            </w:pP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O5.4</w:t>
            </w:r>
          </w:p>
        </w:tc>
        <w:tc>
          <w:tcPr>
            <w:tcW w:w="11490" w:type="dxa"/>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查企业制定了《沟通、参与和协商控制程序》，内容符合标准要求</w:t>
            </w:r>
            <w:r>
              <w:rPr>
                <w:rFonts w:hint="eastAsia" w:ascii="宋体" w:hAnsi="宋体" w:cs="宋体"/>
                <w:sz w:val="21"/>
                <w:szCs w:val="21"/>
                <w:lang w:val="en-US" w:eastAsia="zh-CN"/>
              </w:rPr>
              <w:t>。</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与负责人沟通：</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1、管理者代表负责与总经理就公司的管理体系的方针、目标、指标及体系运行的有效性进行协商、沟通和交流。</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cs="宋体"/>
                <w:sz w:val="21"/>
                <w:szCs w:val="21"/>
                <w:lang w:val="en-US" w:eastAsia="zh-CN"/>
              </w:rPr>
              <w:t>总经办</w:t>
            </w:r>
            <w:r>
              <w:rPr>
                <w:rFonts w:hint="eastAsia" w:ascii="宋体" w:hAnsi="宋体" w:eastAsia="宋体" w:cs="宋体"/>
                <w:sz w:val="21"/>
                <w:szCs w:val="21"/>
                <w:lang w:val="en-US" w:eastAsia="zh-CN"/>
              </w:rPr>
              <w:t>负责本程序的编制、修订；负责策划公司对内、对外环境和职业健康安全管理体系运行信息的协商、沟通和交流渠道。</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3、各职能部门负责本职能部门业务范围内管理体系信息的协商、沟通和交流的实施，负责信息的接收、传递工作，并保存相关记录。</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cs="宋体"/>
                <w:sz w:val="21"/>
                <w:szCs w:val="21"/>
                <w:lang w:val="en-US" w:eastAsia="zh-CN"/>
              </w:rPr>
              <w:t>总经办</w:t>
            </w:r>
            <w:r>
              <w:rPr>
                <w:rFonts w:hint="eastAsia" w:ascii="宋体" w:hAnsi="宋体" w:eastAsia="宋体" w:cs="宋体"/>
                <w:sz w:val="21"/>
                <w:szCs w:val="21"/>
                <w:lang w:val="en-US" w:eastAsia="zh-CN"/>
              </w:rPr>
              <w:t>负责本公司内部、外部信息的协商、沟通和交流；</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r>
              <w:rPr>
                <w:rFonts w:hint="eastAsia" w:ascii="宋体" w:hAnsi="宋体" w:cs="宋体"/>
                <w:sz w:val="21"/>
                <w:szCs w:val="21"/>
                <w:lang w:val="en-US" w:eastAsia="zh-CN"/>
              </w:rPr>
              <w:t>工程部</w:t>
            </w:r>
            <w:r>
              <w:rPr>
                <w:rFonts w:hint="eastAsia" w:ascii="宋体" w:hAnsi="宋体" w:eastAsia="宋体" w:cs="宋体"/>
                <w:sz w:val="21"/>
                <w:szCs w:val="21"/>
                <w:lang w:val="en-US" w:eastAsia="zh-CN"/>
              </w:rPr>
              <w:t>负责施工期间与顾客及相关方的协商、沟通和信息交流，并保存相关记录。</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r>
              <w:rPr>
                <w:rFonts w:hint="eastAsia" w:ascii="宋体" w:hAnsi="宋体" w:cs="宋体"/>
                <w:sz w:val="21"/>
                <w:szCs w:val="21"/>
                <w:lang w:val="en-US" w:eastAsia="zh-CN"/>
              </w:rPr>
              <w:t>工程部</w:t>
            </w:r>
            <w:r>
              <w:rPr>
                <w:rFonts w:hint="eastAsia" w:ascii="宋体" w:hAnsi="宋体" w:eastAsia="宋体" w:cs="宋体"/>
                <w:sz w:val="21"/>
                <w:szCs w:val="21"/>
                <w:lang w:val="en-US" w:eastAsia="zh-CN"/>
              </w:rPr>
              <w:t>负责施工保修期内与顾客及相关方的协商、沟通和信息交流，并保存相关记录。</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7、沟通对象：内部沟通的对象可能是相关区域和层级的管理者和其他员工，外部沟通的对象可能是利益相关方，包括顾客和主要供应商等。</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8、沟通内容：</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a、各项目现场通过施工工地的安全标识、标牌及告知如严禁烟火、佩戴安全帽以及其他的安全施工的标识，向进入施工现场的外来人员沟通施工现场的职业健康安全管理的要求。</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b、针对相关方通过合同、订单、相关方告知书等施加影响由工程部、项目部来具体实施。负责人介绍自体系运行以来，未发生过沟通不畅通情况。</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8、沟通方式：电话、会议、信息联络单、通知、培训、文件</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微信等方式进行内外部沟通，各部门定期通过会议方式进行内部沟通，基本上每月一次例会，有相应会议记录。</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9、自体系运行以来，公司内外部沟通良好，未出现因为沟通不畅通而影响体系正常运行的情况。</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●查见有；培训计划、内审计划、管理评审计划、职业健康安全事务代表任命书、管理者代表任命书、致相关方的信件等信息交流沟通记录。</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●沟通的方式和实施情况基本符合要求尚未发生因交流、沟通不畅而导致体系运行受阻现象影响。</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经全体员工大会选举，并公司任命</w:t>
            </w:r>
            <w:r>
              <w:rPr>
                <w:rFonts w:hint="eastAsia" w:ascii="宋体" w:hAnsi="宋体" w:cs="宋体"/>
                <w:sz w:val="21"/>
                <w:szCs w:val="21"/>
                <w:lang w:eastAsia="zh-CN"/>
              </w:rPr>
              <w:t>薛行超</w:t>
            </w:r>
            <w:r>
              <w:rPr>
                <w:rFonts w:hint="eastAsia" w:ascii="宋体" w:hAnsi="宋体" w:eastAsia="宋体" w:cs="宋体"/>
                <w:sz w:val="21"/>
                <w:szCs w:val="21"/>
                <w:lang w:eastAsia="zh-CN"/>
              </w:rPr>
              <w:t>同志为公司安全事务代表，代表全体员工直接向总经理反映职业健康安全方面的相关情况，反映员工的意见。负责内部员工职业健康安全信息的交流与沟通，参与公司管理方针和管理目标的制定，参与安全事故的处理，对事件的调查、处理，职工劳动防护的改善事宜进行协商交流；参与职业安全健康方针、目标、指标、管理方案的制定工作，提出合理化建议。参与环境因素、危险源的辨识。员工的劳保用品得到合理配备并及时发放；每年为一线岗位人员体检一次；员工保险得到按时交纳等。现有的沟通渠道和方法能满足要求。</w:t>
            </w:r>
          </w:p>
        </w:tc>
        <w:tc>
          <w:tcPr>
            <w:tcW w:w="874" w:type="dxa"/>
            <w:vAlign w:val="top"/>
          </w:tcPr>
          <w:p>
            <w:pPr>
              <w:rPr>
                <w:rFonts w:hint="default"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1535" w:type="dxa"/>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形成文件的信息</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文件控制</w:t>
            </w:r>
          </w:p>
          <w:p>
            <w:pPr>
              <w:rPr>
                <w:rFonts w:hint="eastAsia" w:ascii="宋体" w:hAnsi="宋体" w:eastAsia="宋体" w:cs="宋体"/>
                <w:sz w:val="21"/>
                <w:szCs w:val="21"/>
              </w:rPr>
            </w:pPr>
            <w:r>
              <w:rPr>
                <w:rFonts w:hint="eastAsia" w:ascii="宋体" w:hAnsi="宋体" w:eastAsia="宋体" w:cs="宋体"/>
                <w:sz w:val="21"/>
                <w:szCs w:val="21"/>
                <w:lang w:val="en-US" w:eastAsia="zh-CN"/>
              </w:rPr>
              <w:t>记录控制</w:t>
            </w:r>
          </w:p>
        </w:tc>
        <w:tc>
          <w:tcPr>
            <w:tcW w:w="810" w:type="dxa"/>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EO </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7.5</w:t>
            </w:r>
          </w:p>
          <w:p>
            <w:pPr>
              <w:rPr>
                <w:rFonts w:hint="eastAsia" w:ascii="宋体" w:hAnsi="宋体" w:eastAsia="宋体" w:cs="宋体"/>
                <w:sz w:val="21"/>
                <w:szCs w:val="21"/>
                <w:lang w:val="en-US"/>
              </w:rPr>
            </w:pPr>
          </w:p>
        </w:tc>
        <w:tc>
          <w:tcPr>
            <w:tcW w:w="11490" w:type="dxa"/>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w:t>
            </w:r>
            <w:r>
              <w:rPr>
                <w:rFonts w:hint="eastAsia" w:ascii="宋体" w:hAnsi="宋体" w:cs="宋体"/>
                <w:sz w:val="21"/>
                <w:szCs w:val="21"/>
                <w:lang w:val="en-US" w:eastAsia="zh-CN"/>
              </w:rPr>
              <w:t>企业编制有</w:t>
            </w:r>
            <w:r>
              <w:rPr>
                <w:rFonts w:hint="eastAsia" w:ascii="宋体" w:hAnsi="宋体" w:eastAsia="宋体" w:cs="宋体"/>
                <w:sz w:val="21"/>
                <w:szCs w:val="21"/>
                <w:lang w:val="en-US" w:eastAsia="zh-CN"/>
              </w:rPr>
              <w:t>《文件控制程序》、《记录管理程序》</w:t>
            </w:r>
            <w:r>
              <w:rPr>
                <w:rFonts w:hint="eastAsia" w:ascii="宋体" w:hAnsi="宋体" w:cs="宋体"/>
                <w:sz w:val="21"/>
                <w:szCs w:val="21"/>
                <w:lang w:val="en-US" w:eastAsia="zh-CN"/>
              </w:rPr>
              <w:t>，用于</w:t>
            </w:r>
            <w:r>
              <w:rPr>
                <w:rFonts w:hint="eastAsia" w:ascii="宋体" w:hAnsi="宋体" w:eastAsia="宋体" w:cs="宋体"/>
                <w:sz w:val="21"/>
                <w:szCs w:val="21"/>
                <w:lang w:val="en-US" w:eastAsia="zh-CN"/>
              </w:rPr>
              <w:t>对成文信息</w:t>
            </w:r>
            <w:r>
              <w:rPr>
                <w:rFonts w:hint="eastAsia" w:ascii="宋体" w:hAnsi="宋体" w:cs="宋体"/>
                <w:sz w:val="21"/>
                <w:szCs w:val="21"/>
                <w:lang w:val="en-US" w:eastAsia="zh-CN"/>
              </w:rPr>
              <w:t>控制</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总经办为主控部门。</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程序规定了形成文件信息和记录管理的要求，包括：创建更新、获得、适用、妥善保护、防止失密和不当使用；规定了分发、访问、检索和使用；存储和防护；变更的管理。</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●文件的分类：</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1.管理手册 QCDL-SC-2022  A/0版  2022年</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月</w:t>
            </w:r>
            <w:r>
              <w:rPr>
                <w:rFonts w:hint="eastAsia" w:ascii="宋体" w:hAnsi="宋体" w:cs="宋体"/>
                <w:sz w:val="21"/>
                <w:szCs w:val="21"/>
                <w:lang w:val="en-US" w:eastAsia="zh-CN"/>
              </w:rPr>
              <w:t>25</w:t>
            </w:r>
            <w:r>
              <w:rPr>
                <w:rFonts w:hint="eastAsia" w:ascii="宋体" w:hAnsi="宋体" w:eastAsia="宋体" w:cs="宋体"/>
                <w:sz w:val="21"/>
                <w:szCs w:val="21"/>
                <w:lang w:val="en-US" w:eastAsia="zh-CN"/>
              </w:rPr>
              <w:t>日发表实施（含管理方针、目标）；</w:t>
            </w:r>
          </w:p>
          <w:p>
            <w:pPr>
              <w:rPr>
                <w:rFonts w:hint="eastAsia" w:ascii="宋体" w:hAnsi="宋体" w:cs="宋体"/>
                <w:sz w:val="21"/>
                <w:szCs w:val="21"/>
                <w:lang w:val="en-US" w:eastAsia="zh-CN"/>
              </w:rPr>
            </w:pPr>
            <w:r>
              <w:rPr>
                <w:rFonts w:hint="eastAsia" w:ascii="宋体" w:hAnsi="宋体" w:eastAsia="宋体" w:cs="宋体"/>
                <w:sz w:val="21"/>
                <w:szCs w:val="21"/>
                <w:lang w:val="en-US" w:eastAsia="zh-CN"/>
              </w:rPr>
              <w:t>2.程序文件</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QCDL-CX-2022  A/0版  2022年</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月</w:t>
            </w:r>
            <w:r>
              <w:rPr>
                <w:rFonts w:hint="eastAsia" w:ascii="宋体" w:hAnsi="宋体" w:cs="宋体"/>
                <w:sz w:val="21"/>
                <w:szCs w:val="21"/>
                <w:lang w:val="en-US" w:eastAsia="zh-CN"/>
              </w:rPr>
              <w:t>25</w:t>
            </w:r>
            <w:r>
              <w:rPr>
                <w:rFonts w:hint="eastAsia" w:ascii="宋体" w:hAnsi="宋体" w:eastAsia="宋体" w:cs="宋体"/>
                <w:sz w:val="21"/>
                <w:szCs w:val="21"/>
                <w:lang w:val="en-US" w:eastAsia="zh-CN"/>
              </w:rPr>
              <w:t>日发表实施。含29个</w:t>
            </w:r>
            <w:r>
              <w:rPr>
                <w:rFonts w:hint="eastAsia" w:ascii="宋体" w:hAnsi="宋体" w:cs="宋体"/>
                <w:sz w:val="21"/>
                <w:szCs w:val="21"/>
                <w:lang w:val="en-US" w:eastAsia="zh-CN"/>
              </w:rPr>
              <w:t>标准要求的程序</w:t>
            </w:r>
            <w:r>
              <w:rPr>
                <w:rFonts w:hint="eastAsia" w:ascii="宋体" w:hAnsi="宋体" w:eastAsia="宋体" w:cs="宋体"/>
                <w:sz w:val="21"/>
                <w:szCs w:val="21"/>
                <w:lang w:val="en-US" w:eastAsia="zh-CN"/>
              </w:rPr>
              <w:t>文件</w:t>
            </w:r>
            <w:r>
              <w:rPr>
                <w:rFonts w:hint="eastAsia" w:ascii="宋体" w:hAnsi="宋体" w:cs="宋体"/>
                <w:sz w:val="21"/>
                <w:szCs w:val="21"/>
                <w:lang w:val="en-US" w:eastAsia="zh-CN"/>
              </w:rPr>
              <w:t>如：组织变更管理程序</w:t>
            </w:r>
          </w:p>
          <w:p>
            <w:pPr>
              <w:rPr>
                <w:rFonts w:hint="eastAsia" w:ascii="宋体" w:hAnsi="宋体" w:eastAsia="宋体" w:cs="宋体"/>
                <w:sz w:val="21"/>
                <w:szCs w:val="21"/>
                <w:lang w:val="en-US" w:eastAsia="zh-CN"/>
              </w:rPr>
            </w:pPr>
            <w:r>
              <w:rPr>
                <w:rFonts w:hint="eastAsia" w:ascii="宋体" w:hAnsi="宋体" w:cs="宋体"/>
                <w:sz w:val="21"/>
                <w:szCs w:val="21"/>
                <w:lang w:val="en-US" w:eastAsia="zh-CN"/>
              </w:rPr>
              <w:t>对相关方施加影响控制理程序、组织环境与相关方要求程序等</w:t>
            </w:r>
            <w:r>
              <w:rPr>
                <w:rFonts w:hint="eastAsia" w:ascii="宋体" w:hAnsi="宋体" w:eastAsia="宋体" w:cs="宋体"/>
                <w:sz w:val="21"/>
                <w:szCs w:val="21"/>
                <w:lang w:val="en-US" w:eastAsia="zh-CN"/>
              </w:rPr>
              <w:t xml:space="preserve">。 </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3.管理文件汇编，QCDL-GL-2022 A/0版，包括：危险性较大分部分项工程管理办法</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特殊作业安全管理办法</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安全标识管理办法等。</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4.体系运行所需要的记录。</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●文件创新和更新：</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公司在创建质量管理体系文件时，对文件的格式进行了统一规定。文件的形式采取纸质版和电子版并用，语言采用中文。文件发布前进行了审核、批准，文件抽查如下：</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管理手册 QCDL-SC-2022  A/0版  2022年4月25日实施（含管理方针、目标）；查看编审批齐全，加盖受控文件标识。</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文审后管理手册进行了修改，并重新发布。</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●文件的控制：</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提供了《文件发放登记表》，内容包括文件编号、版本、文件名称、分发号、签收人、签收部门、及作废文件回收记录。</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有管理手册、程序文件、管理文件汇编和外来文件的发放记录，有各部门的签收。</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从发放记录看，发放适宜，相关部门能获得。</w:t>
            </w:r>
            <w:r>
              <w:rPr>
                <w:rFonts w:hint="eastAsia" w:ascii="宋体" w:hAnsi="宋体" w:cs="宋体"/>
                <w:sz w:val="21"/>
                <w:szCs w:val="21"/>
                <w:lang w:val="en-US" w:eastAsia="zh-CN"/>
              </w:rPr>
              <w:t>视频</w:t>
            </w:r>
            <w:r>
              <w:rPr>
                <w:rFonts w:hint="eastAsia" w:ascii="宋体" w:hAnsi="宋体" w:eastAsia="宋体" w:cs="宋体"/>
                <w:sz w:val="21"/>
                <w:szCs w:val="21"/>
                <w:lang w:val="en-US" w:eastAsia="zh-CN"/>
              </w:rPr>
              <w:t>询问</w:t>
            </w:r>
            <w:r>
              <w:rPr>
                <w:rFonts w:hint="eastAsia" w:ascii="宋体" w:hAnsi="宋体" w:cs="宋体"/>
                <w:sz w:val="21"/>
                <w:szCs w:val="21"/>
                <w:lang w:val="en-US" w:eastAsia="zh-CN"/>
              </w:rPr>
              <w:t>贾运腾经理</w:t>
            </w:r>
            <w:r>
              <w:rPr>
                <w:rFonts w:hint="eastAsia" w:ascii="宋体" w:hAnsi="宋体" w:eastAsia="宋体" w:cs="宋体"/>
                <w:sz w:val="21"/>
                <w:szCs w:val="21"/>
                <w:lang w:val="en-US" w:eastAsia="zh-CN"/>
              </w:rPr>
              <w:t>，收到了管理手册、程序文件。</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存储、保护：体系文件由使用部门自行保存、专人管理。</w:t>
            </w:r>
            <w:r>
              <w:rPr>
                <w:rFonts w:hint="eastAsia" w:ascii="宋体" w:hAnsi="宋体" w:cs="宋体"/>
                <w:sz w:val="21"/>
                <w:szCs w:val="21"/>
                <w:lang w:val="en-US" w:eastAsia="zh-CN"/>
              </w:rPr>
              <w:t>总经办</w:t>
            </w:r>
            <w:r>
              <w:rPr>
                <w:rFonts w:hint="eastAsia" w:ascii="宋体" w:hAnsi="宋体" w:eastAsia="宋体" w:cs="宋体"/>
                <w:sz w:val="21"/>
                <w:szCs w:val="21"/>
                <w:lang w:val="en-US" w:eastAsia="zh-CN"/>
              </w:rPr>
              <w:t>体系文件在内部发布，部门领导及相关人员也可共享，系统规定了访问了权限、修改及审批权限，并有一定的保密要求。编制有《文件借阅登记表》、《文件修改申请单》。</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手册及《文件控制程序》《记录控制程序》中对文件的更改、保留与处置均做了相应的规定。</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●查文件审核提出的不符合,已整改完成，详见文审报告。</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●对外来文件进行了识别收集，提供有</w:t>
            </w:r>
            <w:r>
              <w:rPr>
                <w:rFonts w:hint="eastAsia" w:ascii="宋体" w:hAnsi="宋体" w:cs="宋体"/>
                <w:sz w:val="21"/>
                <w:szCs w:val="21"/>
                <w:lang w:val="en-US" w:eastAsia="zh-CN"/>
              </w:rPr>
              <w:t>外来文件清单及适用的环境、职业健康安全法律法规清单；</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●文件主管部门――</w:t>
            </w:r>
            <w:r>
              <w:rPr>
                <w:rFonts w:hint="eastAsia" w:ascii="宋体" w:hAnsi="宋体" w:cs="宋体"/>
                <w:sz w:val="21"/>
                <w:szCs w:val="21"/>
                <w:lang w:val="en-US" w:eastAsia="zh-CN"/>
              </w:rPr>
              <w:t>总经办</w:t>
            </w:r>
            <w:r>
              <w:rPr>
                <w:rFonts w:hint="eastAsia" w:ascii="宋体" w:hAnsi="宋体" w:eastAsia="宋体" w:cs="宋体"/>
                <w:sz w:val="21"/>
                <w:szCs w:val="21"/>
                <w:lang w:val="en-US" w:eastAsia="zh-CN"/>
              </w:rPr>
              <w:t>，均按规定进行了识别控制，并从国家标准网和其他方面对外来文件保持更新。</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●查见《记录清单》共涉及115项记录，记录表包括序号、记录名称、编号、保存期、责任部门等内容。</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如：培训计划、顾客满意度评定表、设备清单等，记录认真，内容较充实，真实可信。</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记录的保护：所属部门负责，文件柜，按期限控制，销毁有审批及登记。</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cs="宋体"/>
                <w:sz w:val="21"/>
                <w:szCs w:val="21"/>
                <w:lang w:val="en-US" w:eastAsia="zh-CN"/>
              </w:rPr>
              <w:t>总经办</w:t>
            </w:r>
            <w:r>
              <w:rPr>
                <w:rFonts w:hint="eastAsia" w:ascii="宋体" w:hAnsi="宋体" w:eastAsia="宋体" w:cs="宋体"/>
                <w:sz w:val="21"/>
                <w:szCs w:val="21"/>
                <w:lang w:val="en-US" w:eastAsia="zh-CN"/>
              </w:rPr>
              <w:t>保存信息资料和培训记录等存放于文件夹，并放置于文件柜中，标识清晰，便于查阅，检索，基本满足要求。</w:t>
            </w:r>
          </w:p>
          <w:p>
            <w:pPr>
              <w:rPr>
                <w:rFonts w:hint="eastAsia" w:ascii="宋体" w:hAnsi="宋体" w:eastAsia="宋体" w:cs="宋体"/>
                <w:sz w:val="21"/>
                <w:szCs w:val="21"/>
              </w:rPr>
            </w:pPr>
            <w:r>
              <w:rPr>
                <w:rFonts w:hint="eastAsia" w:ascii="宋体" w:hAnsi="宋体" w:eastAsia="宋体" w:cs="宋体"/>
                <w:sz w:val="21"/>
                <w:szCs w:val="21"/>
                <w:lang w:val="en-US" w:eastAsia="zh-CN"/>
              </w:rPr>
              <w:t>记录保存基本满足要求。</w:t>
            </w:r>
          </w:p>
        </w:tc>
        <w:tc>
          <w:tcPr>
            <w:tcW w:w="874" w:type="dxa"/>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1535"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运行控制</w:t>
            </w:r>
          </w:p>
        </w:tc>
        <w:tc>
          <w:tcPr>
            <w:tcW w:w="810"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EO8.1</w:t>
            </w:r>
          </w:p>
        </w:tc>
        <w:tc>
          <w:tcPr>
            <w:tcW w:w="11490" w:type="dxa"/>
            <w:vAlign w:val="top"/>
          </w:tcPr>
          <w:p>
            <w:pPr>
              <w:rPr>
                <w:rFonts w:hint="eastAsia"/>
                <w:lang w:val="en-US" w:eastAsia="zh-CN"/>
              </w:rPr>
            </w:pPr>
            <w:r>
              <w:rPr>
                <w:rFonts w:hint="eastAsia"/>
                <w:lang w:val="en-US" w:eastAsia="zh-CN"/>
              </w:rPr>
              <w:t>●总经办需执行的控制的文件包括：职工健康与劳动保护管理办法、节能降耗管理办法、污染物排放管理办法、消防管理办法、安全标识管理办法等各项管理制度。</w:t>
            </w:r>
          </w:p>
          <w:p>
            <w:pPr>
              <w:rPr>
                <w:rFonts w:hint="eastAsia"/>
                <w:lang w:val="en-US" w:eastAsia="zh-CN"/>
              </w:rPr>
            </w:pPr>
            <w:r>
              <w:rPr>
                <w:rFonts w:hint="eastAsia"/>
                <w:lang w:val="en-US" w:eastAsia="zh-CN"/>
              </w:rPr>
              <w:t>●通过视频、文件等查看运行控制情况：</w:t>
            </w:r>
          </w:p>
          <w:p>
            <w:pPr>
              <w:rPr>
                <w:rFonts w:hint="eastAsia"/>
                <w:lang w:val="en-US" w:eastAsia="zh-CN"/>
              </w:rPr>
            </w:pPr>
            <w:r>
              <w:rPr>
                <w:rFonts w:hint="eastAsia"/>
                <w:lang w:val="en-US" w:eastAsia="zh-CN"/>
              </w:rPr>
              <w:t>提供了管理体系运行检查表，检查内容包括：废水管理情况、废气粉尘管理情况、噪声管理情况、固废管理情况、用电情况、防护用品管理情况、安全防护设备管理情况、消防安全管理情况等；每季度进行一次检查，未发现安全隐患；</w:t>
            </w:r>
          </w:p>
          <w:p>
            <w:pPr>
              <w:rPr>
                <w:rFonts w:hint="eastAsia"/>
                <w:lang w:val="en-US" w:eastAsia="zh-CN"/>
              </w:rPr>
            </w:pPr>
            <w:r>
              <w:rPr>
                <w:rFonts w:hint="eastAsia"/>
                <w:lang w:val="en-US" w:eastAsia="zh-CN"/>
              </w:rPr>
              <w:t>1.节约能源：办公过程水、电资源的使用执行《节能降耗管理办法》，注意节约用电，做到人走灯灭，电脑长时间不用时关机，下班前要关闭电源。公司在日常办公时尽量减少纸张及办公用品的消耗。</w:t>
            </w:r>
          </w:p>
          <w:p>
            <w:pPr>
              <w:rPr>
                <w:rFonts w:hint="eastAsia"/>
                <w:lang w:val="en-US" w:eastAsia="zh-CN"/>
              </w:rPr>
            </w:pPr>
            <w:r>
              <w:rPr>
                <w:rFonts w:hint="eastAsia"/>
                <w:lang w:val="en-US" w:eastAsia="zh-CN"/>
              </w:rPr>
              <w:t>2.固废处置：办公区域产生的一般固废，执行《污染物排放管理办法》，按要求放到指定地点，查看无混放现象；提供了《固废处置记录》，废弃打印纸、报纸等定期卖给废品回收站，废弃的墨盒硒鼓交由办公用品提供商进行回收，有总经办统一负责。</w:t>
            </w:r>
          </w:p>
          <w:p>
            <w:pPr>
              <w:rPr>
                <w:rFonts w:hint="eastAsia"/>
                <w:lang w:val="en-US" w:eastAsia="zh-CN"/>
              </w:rPr>
            </w:pPr>
            <w:r>
              <w:rPr>
                <w:rFonts w:hint="eastAsia"/>
                <w:lang w:val="en-US" w:eastAsia="zh-CN"/>
              </w:rPr>
              <w:t>办公用品按要求由总经办负责发放，作好记录，废弃的防疫物资设置了专用垃圾桶进行统一丢弃处理。</w:t>
            </w:r>
          </w:p>
          <w:p>
            <w:pPr>
              <w:rPr>
                <w:rFonts w:hint="eastAsia"/>
                <w:lang w:val="en-US" w:eastAsia="zh-CN"/>
              </w:rPr>
            </w:pPr>
            <w:r>
              <w:rPr>
                <w:rFonts w:hint="eastAsia"/>
                <w:lang w:val="en-US" w:eastAsia="zh-CN"/>
              </w:rPr>
              <w:t>3.工作时间平均每天不超过8小时，公司为员工缴纳了保险，提供了完税证明。</w:t>
            </w:r>
          </w:p>
          <w:p>
            <w:pPr>
              <w:rPr>
                <w:rFonts w:hint="eastAsia"/>
                <w:lang w:val="en-US" w:eastAsia="zh-CN"/>
              </w:rPr>
            </w:pPr>
            <w:r>
              <w:rPr>
                <w:rFonts w:hint="eastAsia"/>
                <w:lang w:val="en-US" w:eastAsia="zh-CN"/>
              </w:rPr>
              <w:t>4.查看总经办及办公区电器设备、电器状态良好，废弃物无混放现象，无火灾、触电隐患，配置了灭火器，并每月检查一次，提供了《灭火器检查记录表》，每月进行一次巡视。</w:t>
            </w:r>
          </w:p>
          <w:p>
            <w:pPr>
              <w:rPr>
                <w:rFonts w:hint="eastAsia"/>
                <w:lang w:val="en-US" w:eastAsia="zh-CN"/>
              </w:rPr>
            </w:pPr>
            <w:r>
              <w:rPr>
                <w:rFonts w:hint="eastAsia"/>
                <w:lang w:val="en-US" w:eastAsia="zh-CN"/>
              </w:rPr>
              <w:t>5.办公楼内疏散通道有应急灯、疏散指示标志、灭火器，室内配有烟感、喷淋装置；</w:t>
            </w:r>
          </w:p>
          <w:p>
            <w:pPr>
              <w:rPr>
                <w:rFonts w:hint="default"/>
                <w:lang w:val="en-US" w:eastAsia="zh-CN"/>
              </w:rPr>
            </w:pPr>
            <w:r>
              <w:rPr>
                <w:rFonts w:hint="eastAsia"/>
                <w:lang w:val="en-US" w:eastAsia="zh-CN"/>
              </w:rPr>
              <w:t>视频查看办公现场，办公区配置的灭火器中有一个不在有效压力范围内；--不符合。</w:t>
            </w:r>
          </w:p>
          <w:p>
            <w:pPr>
              <w:rPr>
                <w:rFonts w:hint="eastAsia"/>
                <w:lang w:val="en-US" w:eastAsia="zh-CN"/>
              </w:rPr>
            </w:pPr>
            <w:r>
              <w:rPr>
                <w:rFonts w:hint="eastAsia"/>
                <w:lang w:val="en-US" w:eastAsia="zh-CN"/>
              </w:rPr>
              <w:t>6.提供了《劳保用品发放领用记录》，公司为员工提供手套、反光衣、工作服、安全帽等劳动防护用品及卫生防疫物品，提供发放记录。施工人员发放了安全帽、工作服。总经办每天进行办公区域内的消毒。</w:t>
            </w:r>
          </w:p>
          <w:p>
            <w:pPr>
              <w:rPr>
                <w:rFonts w:hint="eastAsia"/>
                <w:lang w:val="en-US" w:eastAsia="zh-CN"/>
              </w:rPr>
            </w:pPr>
            <w:r>
              <w:rPr>
                <w:rFonts w:hint="eastAsia"/>
                <w:lang w:val="en-US" w:eastAsia="zh-CN"/>
              </w:rPr>
              <w:t>7.环境方面：办公区产生的污水主要为日常清洁，污水无外排情况。</w:t>
            </w:r>
          </w:p>
          <w:p>
            <w:pPr>
              <w:rPr>
                <w:rFonts w:hint="eastAsia"/>
                <w:lang w:val="en-US" w:eastAsia="zh-CN"/>
              </w:rPr>
            </w:pPr>
            <w:r>
              <w:rPr>
                <w:rFonts w:hint="eastAsia"/>
                <w:lang w:val="en-US" w:eastAsia="zh-CN"/>
              </w:rPr>
              <w:t>气体排放：主要是日常打印和复印产生，量较小，直接排空处理。</w:t>
            </w:r>
          </w:p>
          <w:p>
            <w:pPr>
              <w:rPr>
                <w:rFonts w:hint="eastAsia"/>
                <w:lang w:val="en-US" w:eastAsia="zh-CN"/>
              </w:rPr>
            </w:pPr>
            <w:r>
              <w:rPr>
                <w:rFonts w:hint="eastAsia"/>
                <w:lang w:val="en-US" w:eastAsia="zh-CN"/>
              </w:rPr>
              <w:t>噪声：办公活动无重大噪声。</w:t>
            </w:r>
          </w:p>
          <w:p>
            <w:pPr>
              <w:rPr>
                <w:rFonts w:hint="eastAsia"/>
                <w:lang w:val="en-US" w:eastAsia="zh-CN"/>
              </w:rPr>
            </w:pPr>
            <w:r>
              <w:rPr>
                <w:rFonts w:hint="eastAsia"/>
                <w:lang w:val="en-US" w:eastAsia="zh-CN"/>
              </w:rPr>
              <w:t>固废：固废分类定期处置，公司未发生垃圾乱扔现象。</w:t>
            </w:r>
          </w:p>
          <w:p>
            <w:pPr>
              <w:rPr>
                <w:rFonts w:hint="eastAsia"/>
                <w:lang w:val="en-US" w:eastAsia="zh-CN"/>
              </w:rPr>
            </w:pPr>
            <w:r>
              <w:rPr>
                <w:rFonts w:hint="eastAsia"/>
                <w:lang w:val="en-US" w:eastAsia="zh-CN"/>
              </w:rPr>
              <w:t>8.安全方面：触电、火灾：定期检测用电办公设备和线路，发现故障及时修复，正确使用设备，防止触电、火灾发生，制定了消防预案并组织全体员工进行了演练。</w:t>
            </w:r>
          </w:p>
          <w:p>
            <w:pPr>
              <w:rPr>
                <w:rFonts w:hint="eastAsia"/>
                <w:lang w:val="en-US" w:eastAsia="zh-CN"/>
              </w:rPr>
            </w:pPr>
            <w:r>
              <w:rPr>
                <w:rFonts w:hint="eastAsia"/>
                <w:lang w:val="en-US" w:eastAsia="zh-CN"/>
              </w:rPr>
              <w:t>交通事故：对员工进行交通安全的培训，上下班途中遵守交通规则，不违章，防止交通事故的发生。</w:t>
            </w:r>
          </w:p>
          <w:p>
            <w:pPr>
              <w:rPr>
                <w:rFonts w:hint="eastAsia"/>
                <w:lang w:val="en-US" w:eastAsia="zh-CN"/>
              </w:rPr>
            </w:pPr>
            <w:r>
              <w:rPr>
                <w:rFonts w:hint="eastAsia"/>
                <w:lang w:val="en-US" w:eastAsia="zh-CN"/>
              </w:rPr>
              <w:t>疫情防护：大楼保安负责所有进出园区人员扫码登记工作，办公人员每日上报体温，外出采购、办公、施工现场工作人员，全程注意防护，佩戴口罩，办公区域每天消毒，总经办配置了抗原检测试剂，所有进入公司人员进行抗原检测；</w:t>
            </w:r>
          </w:p>
          <w:p>
            <w:pPr>
              <w:rPr>
                <w:rFonts w:hint="eastAsia"/>
                <w:lang w:val="en-US" w:eastAsia="zh-CN"/>
              </w:rPr>
            </w:pPr>
            <w:r>
              <w:rPr>
                <w:rFonts w:hint="eastAsia"/>
                <w:lang w:val="en-US" w:eastAsia="zh-CN"/>
              </w:rPr>
              <w:t>公司员工定期体检，了解身体健康状况。提供了员工体检报告，具体见附件。</w:t>
            </w:r>
          </w:p>
          <w:p>
            <w:pPr>
              <w:rPr>
                <w:rFonts w:hint="eastAsia"/>
                <w:lang w:val="en-US" w:eastAsia="zh-CN"/>
              </w:rPr>
            </w:pPr>
            <w:r>
              <w:rPr>
                <w:rFonts w:hint="eastAsia"/>
                <w:lang w:val="en-US" w:eastAsia="zh-CN"/>
              </w:rPr>
              <w:t>办公区域的环境、职业健康安全的控制基本满足要求。</w:t>
            </w:r>
          </w:p>
          <w:p>
            <w:pPr>
              <w:pStyle w:val="2"/>
              <w:rPr>
                <w:rFonts w:hint="eastAsia"/>
                <w:lang w:val="en-US" w:eastAsia="zh-CN"/>
              </w:rPr>
            </w:pPr>
            <w:r>
              <w:rPr>
                <w:rFonts w:hint="eastAsia"/>
                <w:u w:val="single"/>
                <w:lang w:val="en-US" w:eastAsia="zh-CN"/>
              </w:rPr>
              <w:t>查看办公现场：配备灭火器两台，其中一台已过期</w:t>
            </w:r>
          </w:p>
          <w:p>
            <w:pPr>
              <w:pStyle w:val="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drawing>
                <wp:anchor distT="0" distB="0" distL="114300" distR="114300" simplePos="0" relativeHeight="251659264" behindDoc="0" locked="0" layoutInCell="1" allowOverlap="1">
                  <wp:simplePos x="0" y="0"/>
                  <wp:positionH relativeFrom="column">
                    <wp:posOffset>5207000</wp:posOffset>
                  </wp:positionH>
                  <wp:positionV relativeFrom="paragraph">
                    <wp:posOffset>105410</wp:posOffset>
                  </wp:positionV>
                  <wp:extent cx="1414145" cy="1885950"/>
                  <wp:effectExtent l="0" t="0" r="14605" b="0"/>
                  <wp:wrapNone/>
                  <wp:docPr id="6" name="图片 6" descr="ec671472d57a7a700963cbdd45f88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ec671472d57a7a700963cbdd45f88b9"/>
                          <pic:cNvPicPr>
                            <a:picLocks noChangeAspect="1"/>
                          </pic:cNvPicPr>
                        </pic:nvPicPr>
                        <pic:blipFill>
                          <a:blip r:embed="rId6"/>
                          <a:stretch>
                            <a:fillRect/>
                          </a:stretch>
                        </pic:blipFill>
                        <pic:spPr>
                          <a:xfrm>
                            <a:off x="0" y="0"/>
                            <a:ext cx="1414145" cy="1885950"/>
                          </a:xfrm>
                          <a:prstGeom prst="rect">
                            <a:avLst/>
                          </a:prstGeom>
                        </pic:spPr>
                      </pic:pic>
                    </a:graphicData>
                  </a:graphic>
                </wp:anchor>
              </w:drawing>
            </w:r>
            <w:r>
              <w:rPr>
                <w:rFonts w:hint="eastAsia" w:ascii="宋体" w:hAnsi="宋体" w:eastAsia="宋体" w:cs="宋体"/>
                <w:sz w:val="21"/>
                <w:szCs w:val="21"/>
                <w:lang w:val="en-US" w:eastAsia="zh-CN"/>
              </w:rPr>
              <w:drawing>
                <wp:inline distT="0" distB="0" distL="114300" distR="114300">
                  <wp:extent cx="1917065" cy="1438910"/>
                  <wp:effectExtent l="0" t="0" r="6985" b="8890"/>
                  <wp:docPr id="2" name="图片 2" descr="a313f152dbc51e4798c9af7f7eb5c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313f152dbc51e4798c9af7f7eb5c28"/>
                          <pic:cNvPicPr>
                            <a:picLocks noChangeAspect="1"/>
                          </pic:cNvPicPr>
                        </pic:nvPicPr>
                        <pic:blipFill>
                          <a:blip r:embed="rId7"/>
                          <a:stretch>
                            <a:fillRect/>
                          </a:stretch>
                        </pic:blipFill>
                        <pic:spPr>
                          <a:xfrm>
                            <a:off x="0" y="0"/>
                            <a:ext cx="1917065" cy="1438910"/>
                          </a:xfrm>
                          <a:prstGeom prst="rect">
                            <a:avLst/>
                          </a:prstGeom>
                        </pic:spPr>
                      </pic:pic>
                    </a:graphicData>
                  </a:graphic>
                </wp:inline>
              </w:drawing>
            </w:r>
            <w:r>
              <w:rPr>
                <w:rFonts w:hint="eastAsia" w:ascii="宋体" w:hAnsi="宋体" w:eastAsia="宋体" w:cs="宋体"/>
                <w:sz w:val="21"/>
                <w:szCs w:val="21"/>
                <w:lang w:val="en-US" w:eastAsia="zh-CN"/>
              </w:rPr>
              <w:drawing>
                <wp:inline distT="0" distB="0" distL="114300" distR="114300">
                  <wp:extent cx="1361440" cy="1814830"/>
                  <wp:effectExtent l="0" t="0" r="10160" b="13970"/>
                  <wp:docPr id="3" name="图片 3" descr="bde998ba06f3666aa1bc90ecd82c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de998ba06f3666aa1bc90ecd82c576"/>
                          <pic:cNvPicPr>
                            <a:picLocks noChangeAspect="1"/>
                          </pic:cNvPicPr>
                        </pic:nvPicPr>
                        <pic:blipFill>
                          <a:blip r:embed="rId8"/>
                          <a:stretch>
                            <a:fillRect/>
                          </a:stretch>
                        </pic:blipFill>
                        <pic:spPr>
                          <a:xfrm>
                            <a:off x="0" y="0"/>
                            <a:ext cx="1361440" cy="1814830"/>
                          </a:xfrm>
                          <a:prstGeom prst="rect">
                            <a:avLst/>
                          </a:prstGeom>
                        </pic:spPr>
                      </pic:pic>
                    </a:graphicData>
                  </a:graphic>
                </wp:inline>
              </w:drawing>
            </w:r>
            <w:r>
              <w:rPr>
                <w:rFonts w:hint="eastAsia" w:ascii="宋体" w:hAnsi="宋体" w:eastAsia="宋体" w:cs="宋体"/>
                <w:sz w:val="21"/>
                <w:szCs w:val="21"/>
                <w:lang w:val="en-US" w:eastAsia="zh-CN"/>
              </w:rPr>
              <w:drawing>
                <wp:inline distT="0" distB="0" distL="114300" distR="114300">
                  <wp:extent cx="1694815" cy="1271905"/>
                  <wp:effectExtent l="0" t="0" r="635" b="4445"/>
                  <wp:docPr id="5" name="图片 5" descr="78e14bc26160ec99eeecaac32da92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8e14bc26160ec99eeecaac32da92e2"/>
                          <pic:cNvPicPr>
                            <a:picLocks noChangeAspect="1"/>
                          </pic:cNvPicPr>
                        </pic:nvPicPr>
                        <pic:blipFill>
                          <a:blip r:embed="rId9"/>
                          <a:stretch>
                            <a:fillRect/>
                          </a:stretch>
                        </pic:blipFill>
                        <pic:spPr>
                          <a:xfrm>
                            <a:off x="0" y="0"/>
                            <a:ext cx="1694815" cy="1271905"/>
                          </a:xfrm>
                          <a:prstGeom prst="rect">
                            <a:avLst/>
                          </a:prstGeom>
                        </pic:spPr>
                      </pic:pic>
                    </a:graphicData>
                  </a:graphic>
                </wp:inline>
              </w:drawing>
            </w:r>
          </w:p>
          <w:p>
            <w:pPr>
              <w:pStyle w:val="2"/>
              <w:ind w:firstLine="460" w:firstLineChars="200"/>
              <w:rPr>
                <w:rFonts w:hint="default" w:ascii="宋体" w:hAnsi="宋体" w:eastAsia="宋体" w:cs="宋体"/>
                <w:sz w:val="21"/>
                <w:szCs w:val="21"/>
                <w:lang w:val="en-US" w:eastAsia="zh-CN"/>
              </w:rPr>
            </w:pPr>
            <w:r>
              <w:rPr>
                <w:rFonts w:hint="eastAsia" w:ascii="宋体" w:hAnsi="宋体" w:cs="宋体"/>
                <w:sz w:val="21"/>
                <w:szCs w:val="21"/>
                <w:lang w:val="en-US" w:eastAsia="zh-CN"/>
              </w:rPr>
              <w:t>灭火器失效               疫情防控                               消防报警</w:t>
            </w:r>
          </w:p>
        </w:tc>
        <w:tc>
          <w:tcPr>
            <w:tcW w:w="874" w:type="dxa"/>
            <w:vAlign w:val="top"/>
          </w:tcPr>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default" w:ascii="宋体" w:hAnsi="宋体" w:eastAsia="宋体" w:cs="宋体"/>
                <w:sz w:val="21"/>
                <w:szCs w:val="21"/>
                <w:lang w:val="en-US" w:eastAsia="zh-CN"/>
              </w:rPr>
            </w:pPr>
            <w:bookmarkStart w:id="0" w:name="_GoBack"/>
            <w:bookmarkEnd w:id="0"/>
            <w:r>
              <w:rPr>
                <w:rFonts w:hint="eastAsia" w:ascii="宋体" w:hAnsi="宋体" w:cs="宋体"/>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1535"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应急准备及响应</w:t>
            </w:r>
          </w:p>
        </w:tc>
        <w:tc>
          <w:tcPr>
            <w:tcW w:w="810"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EO8.2</w:t>
            </w:r>
          </w:p>
        </w:tc>
        <w:tc>
          <w:tcPr>
            <w:tcW w:w="11490" w:type="dxa"/>
            <w:vAlign w:val="top"/>
          </w:tcPr>
          <w:p>
            <w:pPr>
              <w:rPr>
                <w:rFonts w:hint="eastAsia"/>
                <w:lang w:val="en-US" w:eastAsia="zh-CN"/>
              </w:rPr>
            </w:pPr>
            <w:r>
              <w:rPr>
                <w:rFonts w:hint="eastAsia"/>
                <w:lang w:val="en-US" w:eastAsia="zh-CN"/>
              </w:rPr>
              <w:sym w:font="Wingdings 2" w:char="F098"/>
            </w:r>
            <w:r>
              <w:rPr>
                <w:rFonts w:hint="eastAsia"/>
                <w:lang w:val="en-US" w:eastAsia="zh-CN"/>
              </w:rPr>
              <w:t>公司建立了《应急准备和响应控制程序》，确定可能对环境、职业健康安全造成影响的潜在的紧急情况或事故、事件，规定响应措施，以便防止和减少可能随之引发的有害的环境影响和相关的职业健康安全不良后果。</w:t>
            </w:r>
          </w:p>
          <w:p>
            <w:pPr>
              <w:rPr>
                <w:rFonts w:hint="eastAsia"/>
                <w:lang w:val="en-US" w:eastAsia="zh-CN"/>
              </w:rPr>
            </w:pPr>
            <w:r>
              <w:rPr>
                <w:rFonts w:hint="eastAsia"/>
                <w:lang w:val="en-US" w:eastAsia="zh-CN"/>
              </w:rPr>
              <w:t>企业识别的紧急情况有火灾事故、触电事故、物体打击、机械伤害、高处坠落等。</w:t>
            </w:r>
          </w:p>
          <w:p>
            <w:pPr>
              <w:rPr>
                <w:rFonts w:hint="eastAsia"/>
                <w:lang w:val="en-US" w:eastAsia="zh-CN"/>
              </w:rPr>
            </w:pPr>
            <w:r>
              <w:rPr>
                <w:rFonts w:hint="eastAsia"/>
                <w:lang w:val="en-US" w:eastAsia="zh-CN"/>
              </w:rPr>
              <w:t>编制了《安全事故应急救援预案》（含火灾、触电等应急预案），《起重机械防风、防碰撞、防倾覆应急预案》《起重机械应急预案》等应急预案。</w:t>
            </w:r>
          </w:p>
          <w:p>
            <w:pPr>
              <w:rPr>
                <w:rFonts w:hint="eastAsia"/>
                <w:lang w:val="en-US" w:eastAsia="zh-CN"/>
              </w:rPr>
            </w:pPr>
            <w:r>
              <w:rPr>
                <w:rFonts w:hint="eastAsia"/>
                <w:lang w:val="en-US" w:eastAsia="zh-CN"/>
              </w:rPr>
              <w:t>公司在策划应急响应时，应考虑有关相关方的需求，如应急服务机构、相邻组织或居民等。</w:t>
            </w:r>
          </w:p>
          <w:p>
            <w:pPr>
              <w:rPr>
                <w:rFonts w:hint="eastAsia"/>
                <w:lang w:val="en-US" w:eastAsia="zh-CN"/>
              </w:rPr>
            </w:pPr>
            <w:r>
              <w:rPr>
                <w:rFonts w:hint="eastAsia"/>
                <w:lang w:val="en-US" w:eastAsia="zh-CN"/>
              </w:rPr>
              <w:t>办公楼内配备了灭火器、报警装置、喷淋等消防设施。配备了急救药箱和防疫物资。施工现场配备了灭火器。</w:t>
            </w:r>
          </w:p>
          <w:p>
            <w:pPr>
              <w:rPr>
                <w:rFonts w:hint="eastAsia"/>
                <w:lang w:val="en-US" w:eastAsia="zh-CN"/>
              </w:rPr>
            </w:pPr>
            <w:r>
              <w:rPr>
                <w:rFonts w:hint="eastAsia"/>
                <w:lang w:val="en-US" w:eastAsia="zh-CN"/>
              </w:rPr>
              <w:t>对有可能发生的突发传染病等，配置了抗原检测试剂，消毒液，酒精等防疫物资。</w:t>
            </w:r>
          </w:p>
          <w:p>
            <w:pPr>
              <w:rPr>
                <w:rFonts w:hint="eastAsia"/>
                <w:lang w:val="en-US" w:eastAsia="zh-CN"/>
              </w:rPr>
            </w:pPr>
            <w:r>
              <w:rPr>
                <w:rFonts w:hint="eastAsia"/>
                <w:lang w:val="en-US" w:eastAsia="zh-CN"/>
              </w:rPr>
              <w:t>公司定期评审其应急准备和响应程序，必要时对其进行修订。特别是在事故、事件、紧急情况发生后进行。</w:t>
            </w:r>
          </w:p>
          <w:p>
            <w:pPr>
              <w:rPr>
                <w:rFonts w:hint="eastAsia"/>
                <w:lang w:val="en-US" w:eastAsia="zh-CN"/>
              </w:rPr>
            </w:pPr>
            <w:r>
              <w:rPr>
                <w:rFonts w:hint="eastAsia"/>
                <w:lang w:val="en-US" w:eastAsia="zh-CN"/>
              </w:rPr>
              <w:t>企业介绍，办公室负责组织火灾等应急演练，项目部组织重大安全事故如起重机械伤害等的演练。</w:t>
            </w:r>
          </w:p>
          <w:p>
            <w:pPr>
              <w:rPr>
                <w:rFonts w:hint="eastAsia"/>
                <w:lang w:val="en-US" w:eastAsia="zh-CN"/>
              </w:rPr>
            </w:pPr>
            <w:r>
              <w:rPr>
                <w:rFonts w:hint="eastAsia"/>
                <w:lang w:val="en-US" w:eastAsia="zh-CN"/>
              </w:rPr>
              <w:t>提供有应急演练记录：</w:t>
            </w:r>
          </w:p>
          <w:p>
            <w:pPr>
              <w:rPr>
                <w:rFonts w:hint="eastAsia"/>
                <w:lang w:val="en-US" w:eastAsia="zh-CN"/>
              </w:rPr>
            </w:pPr>
            <w:r>
              <w:rPr>
                <w:rFonts w:hint="eastAsia"/>
                <w:lang w:val="en-US" w:eastAsia="zh-CN"/>
              </w:rPr>
              <w:t>——抽2022年5月20日进行了触电事故应急演练，组织部门总经办，参加人员：各部门</w:t>
            </w:r>
          </w:p>
          <w:p>
            <w:pPr>
              <w:rPr>
                <w:rFonts w:hint="eastAsia"/>
                <w:lang w:val="en-US" w:eastAsia="zh-CN"/>
              </w:rPr>
            </w:pPr>
            <w:r>
              <w:rPr>
                <w:rFonts w:hint="eastAsia"/>
                <w:lang w:val="en-US" w:eastAsia="zh-CN"/>
              </w:rPr>
              <w:t>演习目的：提高员工的安全意识；提高员工在触电安全事故时的救护能力培训员工对发生重大伤害时的应对能力。演练记录详细记录了触电发生的时间、地点、处置过程，记录人：张鹏。</w:t>
            </w:r>
          </w:p>
          <w:p>
            <w:pPr>
              <w:rPr>
                <w:rFonts w:hint="eastAsia"/>
                <w:lang w:val="en-US" w:eastAsia="zh-CN"/>
              </w:rPr>
            </w:pPr>
            <w:r>
              <w:rPr>
                <w:rFonts w:hint="eastAsia"/>
                <w:lang w:val="en-US" w:eastAsia="zh-CN"/>
              </w:rPr>
              <w:t>演练结束后进行了总结，并对应急预案有效性、物资配备情况、协调组织能力，实战效果进行了评价，应急预案满足要求，总结：本次应急演练完成较好，评价人：贾运腾。</w:t>
            </w:r>
          </w:p>
          <w:p>
            <w:pPr>
              <w:rPr>
                <w:rFonts w:hint="eastAsia"/>
                <w:lang w:val="en-US" w:eastAsia="zh-CN"/>
              </w:rPr>
            </w:pPr>
            <w:r>
              <w:rPr>
                <w:rFonts w:hint="eastAsia"/>
                <w:lang w:val="en-US" w:eastAsia="zh-CN"/>
              </w:rPr>
              <w:t>——2022年8月11日在公司外空地进行了火灾应急演练，有演练记录，演练人员签到，演练结束后进行了总结，对应急预案有效性进行了评审。</w:t>
            </w:r>
          </w:p>
          <w:p>
            <w:pPr>
              <w:rPr>
                <w:rFonts w:hint="eastAsia"/>
                <w:lang w:val="en-US" w:eastAsia="zh-CN"/>
              </w:rPr>
            </w:pPr>
            <w:r>
              <w:rPr>
                <w:rFonts w:hint="eastAsia"/>
                <w:lang w:val="en-US" w:eastAsia="zh-CN"/>
              </w:rPr>
              <w:t>另，工程部组织项目人员进行了机械伤害、物体打击等应急演练，具体见工程部记录。</w:t>
            </w:r>
          </w:p>
          <w:p>
            <w:pPr>
              <w:rPr>
                <w:rFonts w:hint="eastAsia"/>
                <w:lang w:val="en-US" w:eastAsia="zh-CN"/>
              </w:rPr>
            </w:pPr>
            <w:r>
              <w:rPr>
                <w:rFonts w:hint="eastAsia"/>
                <w:lang w:val="en-US" w:eastAsia="zh-CN"/>
              </w:rPr>
              <w:t>贾经理介绍，自体系运行以来，未发生过紧急时间、安全事故。</w:t>
            </w:r>
          </w:p>
        </w:tc>
        <w:tc>
          <w:tcPr>
            <w:tcW w:w="874" w:type="dxa"/>
            <w:vAlign w:val="top"/>
          </w:tcPr>
          <w:p>
            <w:pPr>
              <w:rPr>
                <w:rFonts w:hint="default"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1535"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监视和测量</w:t>
            </w:r>
          </w:p>
        </w:tc>
        <w:tc>
          <w:tcPr>
            <w:tcW w:w="810"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EO</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9.1.1</w:t>
            </w:r>
          </w:p>
        </w:tc>
        <w:tc>
          <w:tcPr>
            <w:tcW w:w="11490"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编制了《绩效监测与测量控制程序</w:t>
            </w:r>
            <w:r>
              <w:rPr>
                <w:rFonts w:hint="eastAsia" w:ascii="仿宋_GB2312" w:eastAsia="仿宋_GB2312"/>
                <w:sz w:val="21"/>
                <w:szCs w:val="21"/>
                <w:lang w:eastAsia="zh-CN"/>
              </w:rPr>
              <w:t>CX-</w:t>
            </w:r>
            <w:r>
              <w:rPr>
                <w:rFonts w:hint="eastAsia" w:ascii="仿宋_GB2312" w:eastAsia="仿宋_GB2312"/>
                <w:sz w:val="21"/>
                <w:szCs w:val="21"/>
                <w:lang w:val="en-US" w:eastAsia="zh-CN"/>
              </w:rPr>
              <w:t>18</w:t>
            </w:r>
            <w:r>
              <w:rPr>
                <w:rFonts w:hint="eastAsia" w:ascii="宋体" w:hAnsi="宋体" w:eastAsia="宋体" w:cs="宋体"/>
                <w:sz w:val="21"/>
                <w:szCs w:val="21"/>
                <w:lang w:val="en-US" w:eastAsia="zh-CN"/>
              </w:rPr>
              <w:t>》，通过以下几种方式对环境、职业健康安全绩效进行监视和测量：</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●该公司对管理体系过程进行监视和测量的方法包括：内审、管理评审、目标考核、过程的监视和测量检查等。</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内审、管理评审、目标考核详见9.2/9.3/6.2的审核记录.</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每季度进行一次过程的监视和测量的检查，发现问题立即整改。</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●日常监督检查：管代负责对各部门的行为进行不定期的巡检。巡检内容包括：办公现场管理情况、防护用品的使用情况、消防设施状况等。对发现的问题提出整改要求，责任部门整改，</w:t>
            </w:r>
            <w:r>
              <w:rPr>
                <w:rFonts w:hint="eastAsia" w:ascii="宋体" w:hAnsi="宋体" w:cs="宋体"/>
                <w:sz w:val="21"/>
                <w:szCs w:val="21"/>
                <w:lang w:val="en-US" w:eastAsia="zh-CN"/>
              </w:rPr>
              <w:t>总经办</w:t>
            </w:r>
            <w:r>
              <w:rPr>
                <w:rFonts w:hint="eastAsia" w:ascii="宋体" w:hAnsi="宋体" w:eastAsia="宋体" w:cs="宋体"/>
                <w:sz w:val="21"/>
                <w:szCs w:val="21"/>
                <w:lang w:val="en-US" w:eastAsia="zh-CN"/>
              </w:rPr>
              <w:t>验证整改效果。</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●环境绩效监测：</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一般固废（废纸张等），按规定收集，卖给废品收购站。</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工程施工现场产生的固废分类存放，定期清理。</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被动监测：自体系建立以来没有发生过环境污染事故</w:t>
            </w:r>
            <w:r>
              <w:rPr>
                <w:rFonts w:hint="eastAsia" w:ascii="宋体" w:hAnsi="宋体" w:cs="宋体"/>
                <w:sz w:val="21"/>
                <w:szCs w:val="21"/>
                <w:lang w:val="en-US" w:eastAsia="zh-CN"/>
              </w:rPr>
              <w:t>。</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●职业健康安全监测：</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主动监测：职业健康安全目标指标：已完成。</w:t>
            </w:r>
          </w:p>
          <w:p>
            <w:pP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为员工缴纳了社保，且</w:t>
            </w:r>
            <w:r>
              <w:rPr>
                <w:rFonts w:hint="eastAsia" w:ascii="宋体" w:hAnsi="宋体" w:eastAsia="宋体" w:cs="宋体"/>
                <w:color w:val="auto"/>
                <w:sz w:val="21"/>
                <w:szCs w:val="21"/>
                <w:lang w:val="en-US" w:eastAsia="zh-CN"/>
              </w:rPr>
              <w:t>一线员工</w:t>
            </w:r>
            <w:r>
              <w:rPr>
                <w:rFonts w:hint="eastAsia" w:ascii="宋体" w:hAnsi="宋体" w:cs="宋体"/>
                <w:color w:val="auto"/>
                <w:sz w:val="21"/>
                <w:szCs w:val="21"/>
                <w:lang w:val="en-US" w:eastAsia="zh-CN"/>
              </w:rPr>
              <w:t>进行了</w:t>
            </w:r>
            <w:r>
              <w:rPr>
                <w:rFonts w:hint="eastAsia" w:ascii="宋体" w:hAnsi="宋体" w:eastAsia="宋体" w:cs="宋体"/>
                <w:color w:val="auto"/>
                <w:sz w:val="21"/>
                <w:szCs w:val="21"/>
                <w:lang w:val="en-US" w:eastAsia="zh-CN"/>
              </w:rPr>
              <w:t>体检，提供了员工体检报告，详情见附件。</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自体系建立以来没有发生过安全事故。</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●监测设备：公司暂无环境、职业健康安全监测设备。</w:t>
            </w:r>
          </w:p>
        </w:tc>
        <w:tc>
          <w:tcPr>
            <w:tcW w:w="874" w:type="dxa"/>
            <w:vAlign w:val="top"/>
          </w:tcPr>
          <w:p>
            <w:pPr>
              <w:rPr>
                <w:rFonts w:hint="default"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1535"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内部审核</w:t>
            </w:r>
          </w:p>
        </w:tc>
        <w:tc>
          <w:tcPr>
            <w:tcW w:w="810"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EO9.2</w:t>
            </w:r>
          </w:p>
        </w:tc>
        <w:tc>
          <w:tcPr>
            <w:tcW w:w="11490" w:type="dxa"/>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●执行《内部审核控制程序》，对内部审核方案策划规定：内审每年进行一次，按部门/过程审核。</w:t>
            </w:r>
            <w:r>
              <w:rPr>
                <w:rFonts w:hint="eastAsia" w:ascii="宋体" w:hAnsi="宋体" w:cs="宋体"/>
                <w:sz w:val="21"/>
                <w:szCs w:val="21"/>
                <w:lang w:val="en-US" w:eastAsia="zh-CN"/>
              </w:rPr>
              <w:t>与</w:t>
            </w:r>
            <w:r>
              <w:rPr>
                <w:rFonts w:hint="eastAsia" w:ascii="宋体" w:hAnsi="宋体" w:eastAsia="宋体" w:cs="宋体"/>
                <w:sz w:val="21"/>
                <w:szCs w:val="21"/>
                <w:lang w:val="en-US" w:eastAsia="zh-CN"/>
              </w:rPr>
              <w:t>管代</w:t>
            </w:r>
            <w:r>
              <w:rPr>
                <w:rFonts w:hint="eastAsia" w:ascii="宋体" w:hAnsi="宋体" w:cs="宋体"/>
                <w:sz w:val="21"/>
                <w:szCs w:val="21"/>
                <w:lang w:val="en-US" w:eastAsia="zh-CN"/>
              </w:rPr>
              <w:t>贾运腾微信沟通，</w:t>
            </w:r>
            <w:r>
              <w:rPr>
                <w:rFonts w:hint="eastAsia" w:ascii="宋体" w:hAnsi="宋体" w:eastAsia="宋体" w:cs="宋体"/>
                <w:sz w:val="21"/>
                <w:szCs w:val="21"/>
                <w:lang w:val="en-US" w:eastAsia="zh-CN"/>
              </w:rPr>
              <w:t>介绍</w:t>
            </w:r>
            <w:r>
              <w:rPr>
                <w:rFonts w:hint="eastAsia" w:ascii="宋体" w:hAnsi="宋体" w:cs="宋体"/>
                <w:sz w:val="21"/>
                <w:szCs w:val="21"/>
                <w:lang w:val="en-US" w:eastAsia="zh-CN"/>
              </w:rPr>
              <w:t>了</w:t>
            </w:r>
            <w:r>
              <w:rPr>
                <w:rFonts w:hint="eastAsia" w:ascii="宋体" w:hAnsi="宋体" w:eastAsia="宋体" w:cs="宋体"/>
                <w:sz w:val="21"/>
                <w:szCs w:val="21"/>
                <w:lang w:val="en-US" w:eastAsia="zh-CN"/>
              </w:rPr>
              <w:t>内审的安排和做法，与程序文件相符。</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●查内审：</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1、提供了《2022年度内部审核计划》，内审员：</w:t>
            </w:r>
            <w:r>
              <w:rPr>
                <w:rFonts w:hint="eastAsia" w:ascii="宋体" w:hAnsi="宋体" w:cs="宋体"/>
                <w:sz w:val="21"/>
                <w:szCs w:val="21"/>
                <w:lang w:val="en-US" w:eastAsia="zh-CN"/>
              </w:rPr>
              <w:t>贾运腾，邓立峰</w:t>
            </w:r>
            <w:r>
              <w:rPr>
                <w:rFonts w:hint="eastAsia" w:ascii="宋体" w:hAnsi="宋体" w:eastAsia="宋体" w:cs="宋体"/>
                <w:sz w:val="21"/>
                <w:szCs w:val="21"/>
                <w:lang w:val="en-US" w:eastAsia="zh-CN"/>
              </w:rPr>
              <w:t>，内审员经过了任命，提供了《任命书》，内部审核计划涉及了所有部门及相关过程。计划编制时间：2022.</w:t>
            </w:r>
            <w:r>
              <w:rPr>
                <w:rFonts w:hint="eastAsia" w:ascii="宋体" w:hAnsi="宋体" w:cs="宋体"/>
                <w:sz w:val="21"/>
                <w:szCs w:val="21"/>
                <w:lang w:val="en-US" w:eastAsia="zh-CN"/>
              </w:rPr>
              <w:t>8.16</w:t>
            </w:r>
            <w:r>
              <w:rPr>
                <w:rFonts w:hint="eastAsia" w:ascii="宋体" w:hAnsi="宋体" w:eastAsia="宋体" w:cs="宋体"/>
                <w:sz w:val="21"/>
                <w:szCs w:val="21"/>
                <w:lang w:val="en-US" w:eastAsia="zh-CN"/>
              </w:rPr>
              <w:t>。</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2、提供了《2022年内部审核实施计划》，计划编制合理，内审员没有审核自己部门工作，无遗漏条款现象。</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w:t>
            </w:r>
            <w:r>
              <w:rPr>
                <w:rFonts w:hint="eastAsia" w:ascii="宋体" w:hAnsi="宋体" w:cs="宋体"/>
                <w:sz w:val="21"/>
                <w:szCs w:val="21"/>
                <w:lang w:val="en-US" w:eastAsia="zh-CN"/>
              </w:rPr>
              <w:t>9</w:t>
            </w:r>
            <w:r>
              <w:rPr>
                <w:rFonts w:hint="eastAsia" w:ascii="宋体" w:hAnsi="宋体" w:eastAsia="宋体" w:cs="宋体"/>
                <w:sz w:val="21"/>
                <w:szCs w:val="21"/>
                <w:lang w:val="en-US" w:eastAsia="zh-CN"/>
              </w:rPr>
              <w:t>月8-9日组织实施了内审，提供了《内审首/末次会议记录》，记录了会议主要内容，有参会人员签到。</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cs="宋体"/>
                <w:sz w:val="21"/>
                <w:szCs w:val="21"/>
                <w:lang w:val="en-US" w:eastAsia="zh-CN"/>
              </w:rPr>
              <w:t>提供有</w:t>
            </w:r>
            <w:r>
              <w:rPr>
                <w:rFonts w:hint="eastAsia" w:ascii="宋体" w:hAnsi="宋体" w:eastAsia="宋体" w:cs="宋体"/>
                <w:sz w:val="21"/>
                <w:szCs w:val="21"/>
                <w:lang w:val="en-US" w:eastAsia="zh-CN"/>
              </w:rPr>
              <w:t>审核记录《2022年三体系内审检查表》，通过询问、查看、查阅资料等形式进行，在审核过程中内审员没有审核自己的部门，保证了审核的客观性和公正性。审核范围覆盖了体系所要求的部门及相关活动，审核活动符合审核策划的要求。内审条款无遗漏，审核内容基本符合规定。</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4、提供了《</w:t>
            </w:r>
            <w:r>
              <w:rPr>
                <w:rFonts w:hint="eastAsia" w:ascii="宋体" w:hAnsi="宋体" w:cs="宋体"/>
                <w:sz w:val="21"/>
                <w:szCs w:val="21"/>
                <w:lang w:val="en-US" w:eastAsia="zh-CN"/>
              </w:rPr>
              <w:t>2022年</w:t>
            </w:r>
            <w:r>
              <w:rPr>
                <w:rFonts w:hint="eastAsia" w:ascii="宋体" w:hAnsi="宋体" w:eastAsia="宋体" w:cs="宋体"/>
                <w:sz w:val="21"/>
                <w:szCs w:val="21"/>
                <w:lang w:val="en-US" w:eastAsia="zh-CN"/>
              </w:rPr>
              <w:t>内部审核报告》，</w:t>
            </w:r>
            <w:r>
              <w:rPr>
                <w:rFonts w:hint="eastAsia" w:ascii="宋体" w:hAnsi="宋体" w:cs="宋体"/>
                <w:sz w:val="21"/>
                <w:szCs w:val="21"/>
                <w:lang w:val="en-US" w:eastAsia="zh-CN"/>
              </w:rPr>
              <w:t>对本次内审进行了总结，并得出</w:t>
            </w:r>
            <w:r>
              <w:rPr>
                <w:rFonts w:hint="eastAsia" w:ascii="宋体" w:hAnsi="宋体" w:eastAsia="宋体" w:cs="宋体"/>
                <w:sz w:val="21"/>
                <w:szCs w:val="21"/>
                <w:lang w:val="en-US" w:eastAsia="zh-CN"/>
              </w:rPr>
              <w:t>审核结论：本组织质量、建工、环境和职业健康安全管理体系基本符合计划安排和标准的要求，并得到了较有效实施和保持，仍需进一步改进。</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5、本次内审</w:t>
            </w:r>
            <w:r>
              <w:rPr>
                <w:rFonts w:hint="eastAsia" w:ascii="宋体" w:hAnsi="宋体" w:cs="宋体"/>
                <w:sz w:val="21"/>
                <w:szCs w:val="21"/>
                <w:lang w:val="en-US" w:eastAsia="zh-CN"/>
              </w:rPr>
              <w:t>开具</w:t>
            </w:r>
            <w:r>
              <w:rPr>
                <w:rFonts w:hint="eastAsia" w:ascii="宋体" w:hAnsi="宋体" w:eastAsia="宋体" w:cs="宋体"/>
                <w:sz w:val="21"/>
                <w:szCs w:val="21"/>
                <w:lang w:val="en-US" w:eastAsia="zh-CN"/>
              </w:rPr>
              <w:t>不符合项</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项，提供了《不符合报告纠正措施记录表》，不符合分布在工程部（不符合GB/T19001-2016 8.6及GB/T50430-2017标准11.2.2条款的规定）</w:t>
            </w:r>
            <w:r>
              <w:rPr>
                <w:rFonts w:hint="eastAsia" w:ascii="宋体" w:hAnsi="宋体" w:cs="宋体"/>
                <w:sz w:val="21"/>
                <w:szCs w:val="21"/>
                <w:lang w:val="en-US" w:eastAsia="zh-CN"/>
              </w:rPr>
              <w:t>及总经办(不符合GB/T24001-2016 8.1及GB/T45001-2020标准8.1条款要求)</w:t>
            </w:r>
            <w:r>
              <w:rPr>
                <w:rFonts w:hint="eastAsia" w:ascii="宋体" w:hAnsi="宋体" w:eastAsia="宋体" w:cs="宋体"/>
                <w:sz w:val="21"/>
                <w:szCs w:val="21"/>
                <w:lang w:val="en-US" w:eastAsia="zh-CN"/>
              </w:rPr>
              <w:t>，不符合事实描述准确；进行了原因分析并制定了纠正措施，纠正措施已实施。</w:t>
            </w:r>
            <w:r>
              <w:rPr>
                <w:rFonts w:hint="eastAsia" w:ascii="宋体" w:hAnsi="宋体" w:cs="宋体"/>
                <w:sz w:val="21"/>
                <w:szCs w:val="21"/>
                <w:lang w:val="en-US" w:eastAsia="zh-CN"/>
              </w:rPr>
              <w:t>内审员进行了验证</w:t>
            </w:r>
            <w:r>
              <w:rPr>
                <w:rFonts w:hint="eastAsia" w:ascii="宋体" w:hAnsi="宋体" w:eastAsia="宋体" w:cs="宋体"/>
                <w:sz w:val="21"/>
                <w:szCs w:val="21"/>
                <w:lang w:val="en-US" w:eastAsia="zh-CN"/>
              </w:rPr>
              <w:t>。</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内审员基本清楚内审流程和方法，提供了内审员培训记录，审核员没有审核自己部门工作，具有独立性。</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内审符合要求。</w:t>
            </w:r>
          </w:p>
        </w:tc>
        <w:tc>
          <w:tcPr>
            <w:tcW w:w="874" w:type="dxa"/>
            <w:vAlign w:val="top"/>
          </w:tcPr>
          <w:p>
            <w:pPr>
              <w:rPr>
                <w:rFonts w:hint="default"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1535" w:type="dxa"/>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不符合和纠正措施</w:t>
            </w:r>
          </w:p>
          <w:p>
            <w:pPr>
              <w:rPr>
                <w:rFonts w:hint="eastAsia" w:ascii="宋体" w:hAnsi="宋体" w:eastAsia="宋体" w:cs="宋体"/>
                <w:kern w:val="2"/>
                <w:sz w:val="21"/>
                <w:szCs w:val="21"/>
                <w:lang w:val="en-US" w:eastAsia="zh-CN" w:bidi="ar-SA"/>
              </w:rPr>
            </w:pPr>
          </w:p>
        </w:tc>
        <w:tc>
          <w:tcPr>
            <w:tcW w:w="810" w:type="dxa"/>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EO</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10.2</w:t>
            </w:r>
          </w:p>
        </w:tc>
        <w:tc>
          <w:tcPr>
            <w:tcW w:w="11490" w:type="dxa"/>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公司执行《不合格产品、不符合过程、事件及纠正与预防措施控制程序》，对事故事件报告、调查、处理等以及纠正措施制定、实施、验证作了规定，其内容符合标准及组织实际要求。 </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查纠正措施实施情况：</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对内审中提出不合格项进行了原因分析,并制定、实施了纠正措施，并由内审员对所采取的纠正措施进行了验证，纠正措施有效；</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管理评审中发现的薄弱环节，分析了原因，采取了纠正措施。</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对日常工作检查，业绩考评，客户满意度调查发现的不符合及时采取纠正，防止事态发展，进行原因分析，采取必要的纠正预防措施，防止事件的发生、再发生。</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施工过程产生的不合格分别由工程部和项目人员登记并分析原因，制定措施避免再发生。</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质量、环境、职业健康安全事件和投诉处罚。企业纠正和预防措施的管理符合标准规定要求。</w:t>
            </w:r>
          </w:p>
        </w:tc>
        <w:tc>
          <w:tcPr>
            <w:tcW w:w="874" w:type="dxa"/>
            <w:vAlign w:val="top"/>
          </w:tcPr>
          <w:p>
            <w:pPr>
              <w:rPr>
                <w:rFonts w:hint="default" w:ascii="宋体" w:hAnsi="宋体" w:eastAsia="宋体" w:cs="宋体"/>
                <w:sz w:val="21"/>
                <w:szCs w:val="21"/>
                <w:lang w:val="en-US" w:eastAsia="zh-CN"/>
              </w:rPr>
            </w:pPr>
            <w:r>
              <w:rPr>
                <w:rFonts w:hint="eastAsia" w:ascii="宋体" w:hAnsi="宋体" w:cs="宋体"/>
                <w:sz w:val="21"/>
                <w:szCs w:val="21"/>
                <w:lang w:val="en-US" w:eastAsia="zh-CN"/>
              </w:rPr>
              <w:t>Y</w:t>
            </w:r>
          </w:p>
        </w:tc>
      </w:tr>
    </w:tbl>
    <w:p>
      <w:pPr>
        <w:pStyle w:val="6"/>
        <w:rPr>
          <w:rFonts w:hint="eastAsia"/>
          <w:lang w:eastAsia="zh-CN"/>
        </w:rPr>
      </w:pPr>
    </w:p>
    <w:p>
      <w:pPr>
        <w:pStyle w:val="6"/>
        <w:rPr>
          <w:rFonts w:hint="eastAsia"/>
          <w:lang w:eastAsia="zh-CN"/>
        </w:rPr>
      </w:pPr>
    </w:p>
    <w:p>
      <w:pPr>
        <w:pStyle w:val="6"/>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注：不符合标注“N”</w:t>
      </w:r>
    </w:p>
    <w:p>
      <w:pPr>
        <w:pStyle w:val="6"/>
        <w:rPr>
          <w:rFonts w:hint="eastAsia"/>
          <w:lang w:eastAsia="zh-CN"/>
        </w:rPr>
      </w:pPr>
    </w:p>
    <w:p>
      <w:pPr>
        <w:pStyle w:val="6"/>
        <w:rPr>
          <w:rFonts w:hint="eastAsia"/>
          <w:lang w:eastAsia="zh-CN"/>
        </w:rPr>
      </w:pPr>
    </w:p>
    <w:p>
      <w:pPr>
        <w:pStyle w:val="6"/>
        <w:rPr>
          <w:rFonts w:hint="default"/>
          <w:lang w:val="en-US" w:eastAsia="zh-CN"/>
        </w:rPr>
      </w:pPr>
      <w:r>
        <w:rPr>
          <w:rFonts w:hint="eastAsia"/>
          <w:lang w:val="en-US" w:eastAsia="zh-CN"/>
        </w:rPr>
        <w:t>YY</w:t>
      </w:r>
    </w:p>
    <w:p>
      <w:pPr>
        <w:pStyle w:val="6"/>
        <w:rPr>
          <w:rFonts w:hint="eastAsia"/>
          <w:lang w:eastAsia="zh-CN"/>
        </w:rPr>
      </w:pPr>
    </w:p>
    <w:p>
      <w:pPr>
        <w:pStyle w:val="6"/>
        <w:rPr>
          <w:rFonts w:hint="eastAsia"/>
          <w:lang w:eastAsia="zh-CN"/>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eastAsia="宋体"/>
          <w:lang w:eastAsia="zh-CN"/>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方正仿宋简体">
    <w:altName w:val="宋体"/>
    <w:panose1 w:val="00000000000000000000"/>
    <w:charset w:val="86"/>
    <w:family w:val="modern"/>
    <w:pitch w:val="default"/>
    <w:sig w:usb0="00000000" w:usb1="00000000" w:usb2="00000010" w:usb3="00000000" w:csb0="00040000" w:csb1="00000000"/>
  </w:font>
  <w:font w:name="Lucida Sans">
    <w:panose1 w:val="020B0602030504020204"/>
    <w:charset w:val="00"/>
    <w:family w:val="swiss"/>
    <w:pitch w:val="default"/>
    <w:sig w:usb0="00000003" w:usb1="00000000" w:usb2="00000000" w:usb3="00000000" w:csb0="20000001" w:csb1="00000000"/>
  </w:font>
  <w:font w:name="华文隶书">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 w:name="Wingdings">
    <w:panose1 w:val="05000000000000000000"/>
    <w:charset w:val="00"/>
    <w:family w:val="auto"/>
    <w:pitch w:val="default"/>
    <w:sig w:usb0="00000000" w:usb1="00000000" w:usb2="00000000" w:usb3="00000000" w:csb0="8000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Tahoma">
    <w:panose1 w:val="020B0604030504040204"/>
    <w:charset w:val="00"/>
    <w:family w:val="swiss"/>
    <w:pitch w:val="default"/>
    <w:sig w:usb0="E1002EFF" w:usb1="C000605B" w:usb2="00000029" w:usb3="00000000" w:csb0="200101FF" w:csb1="20280000"/>
  </w:font>
  <w:font w:name="STSongStd-Light">
    <w:altName w:val="Times New Roman"/>
    <w:panose1 w:val="00000000000000000000"/>
    <w:charset w:val="00"/>
    <w:family w:val="roman"/>
    <w:pitch w:val="default"/>
    <w:sig w:usb0="00000000" w:usb1="00000000" w:usb2="00000000" w:usb3="00000000" w:csb0="00000001" w:csb1="00000000"/>
  </w:font>
  <w:font w:name="方正仿宋简体">
    <w:altName w:val="微软雅黑"/>
    <w:panose1 w:val="00000000000000000000"/>
    <w:charset w:val="00"/>
    <w:family w:val="auto"/>
    <w:pitch w:val="default"/>
    <w:sig w:usb0="00000000" w:usb1="00000000" w:usb2="00000000" w:usb3="00000000" w:csb0="00000000" w:csb1="0000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serif">
    <w:altName w:val="Segoe Print"/>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华文楷体">
    <w:panose1 w:val="02010600040101010101"/>
    <w:charset w:val="86"/>
    <w:family w:val="auto"/>
    <w:pitch w:val="default"/>
    <w:sig w:usb0="00000287" w:usb1="080F0000" w:usb2="00000000" w:usb3="00000000" w:csb0="0004009F" w:csb1="DFD70000"/>
  </w:font>
  <w:font w:name="font-weight : 400">
    <w:altName w:val="Segoe Print"/>
    <w:panose1 w:val="00000000000000000000"/>
    <w:charset w:val="00"/>
    <w:family w:val="auto"/>
    <w:pitch w:val="default"/>
    <w:sig w:usb0="00000000" w:usb1="00000000" w:usb2="00000000" w:usb3="00000000" w:csb0="00000000" w:csb1="00000000"/>
  </w:font>
  <w:font w:name="方正中等线简体">
    <w:altName w:val="宋体"/>
    <w:panose1 w:val="02010601030101010101"/>
    <w:charset w:val="86"/>
    <w:family w:val="auto"/>
    <w:pitch w:val="default"/>
    <w:sig w:usb0="00000000" w:usb1="00000000" w:usb2="00000010" w:usb3="00000000" w:csb0="00040000" w:csb1="00000000"/>
  </w:font>
  <w:font w:name="长城新魏碑体">
    <w:altName w:val="宋体"/>
    <w:panose1 w:val="02010609000101010101"/>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華康中楷體">
    <w:altName w:val="Microsoft JhengHei"/>
    <w:panose1 w:val="02010609000101010101"/>
    <w:charset w:val="88"/>
    <w:family w:val="modern"/>
    <w:pitch w:val="default"/>
    <w:sig w:usb0="00000000" w:usb1="00000000" w:usb2="00000010" w:usb3="00000000" w:csb0="00100000" w:csb1="00000000"/>
  </w:font>
  <w:font w:name="_x000B__x000C_">
    <w:altName w:val="Times New Roman"/>
    <w:panose1 w:val="00000000000000000000"/>
    <w:charset w:val="00"/>
    <w:family w:val="roman"/>
    <w:pitch w:val="default"/>
    <w:sig w:usb0="00000000" w:usb1="00000000" w:usb2="00000000" w:usb3="00000000" w:csb0="00040001" w:csb1="00000000"/>
  </w:font>
  <w:font w:name="Microsoft JhengHei">
    <w:panose1 w:val="020B0604030504040204"/>
    <w:charset w:val="88"/>
    <w:family w:val="auto"/>
    <w:pitch w:val="default"/>
    <w:sig w:usb0="000002A7" w:usb1="28CF4400" w:usb2="00000016" w:usb3="00000000" w:csb0="00100009" w:csb1="00000000"/>
  </w:font>
  <w:font w:name="Wingdings 2">
    <w:panose1 w:val="05020102010507070707"/>
    <w:charset w:val="00"/>
    <w:family w:val="auto"/>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Algerian">
    <w:panose1 w:val="04020705040A02060702"/>
    <w:charset w:val="00"/>
    <w:family w:val="decorative"/>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TimesNewRoman">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amp;quot">
    <w:altName w:val="Times New Roman"/>
    <w:panose1 w:val="00000000000000000000"/>
    <w:charset w:val="00"/>
    <w:family w:val="auto"/>
    <w:pitch w:val="default"/>
    <w:sig w:usb0="00000000" w:usb1="00000000" w:usb2="00000000" w:usb3="00000000" w:csb0="00040001" w:csb1="00000000"/>
  </w:font>
  <w:font w:name="MingLiU">
    <w:altName w:val="PMingLiU-ExtB"/>
    <w:panose1 w:val="02010609000101010101"/>
    <w:charset w:val="88"/>
    <w:family w:val="modern"/>
    <w:pitch w:val="default"/>
    <w:sig w:usb0="00000000" w:usb1="00000000" w:usb2="00000016" w:usb3="00000000" w:csb0="00100001" w:csb1="00000000"/>
  </w:font>
  <w:font w:name="创艺繁宋体">
    <w:altName w:val="宋体"/>
    <w:panose1 w:val="00000000000000000000"/>
    <w:charset w:val="86"/>
    <w:family w:val="auto"/>
    <w:pitch w:val="default"/>
    <w:sig w:usb0="00000000" w:usb1="00000000" w:usb2="00000010" w:usb3="00000000" w:csb0="00040000" w:csb1="00000000"/>
  </w:font>
  <w:font w:name="方正黑体简体">
    <w:altName w:val="宋体"/>
    <w:panose1 w:val="02010601030101010101"/>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PMingLiU-ExtB">
    <w:panose1 w:val="02020500000000000000"/>
    <w:charset w:val="88"/>
    <w:family w:val="auto"/>
    <w:pitch w:val="default"/>
    <w:sig w:usb0="8000002F" w:usb1="02000008" w:usb2="00000000" w:usb3="00000000" w:csb0="00100001" w:csb1="00000000"/>
  </w:font>
  <w:font w:name="Univers Condensed">
    <w:altName w:val="Impact"/>
    <w:panose1 w:val="020B0606020202060204"/>
    <w:charset w:val="00"/>
    <w:family w:val="swiss"/>
    <w:pitch w:val="default"/>
    <w:sig w:usb0="00000000" w:usb1="00000000" w:usb2="00000000" w:usb3="00000000" w:csb0="00000093" w:csb1="00000000"/>
  </w:font>
  <w:font w:name="Impact">
    <w:panose1 w:val="020B0806030902050204"/>
    <w:charset w:val="00"/>
    <w:family w:val="auto"/>
    <w:pitch w:val="default"/>
    <w:sig w:usb0="00000287" w:usb1="00000000" w:usb2="00000000" w:usb3="00000000" w:csb0="2000009F" w:csb1="DFD70000"/>
  </w:font>
  <w:font w:name="Dutch801 Rm BT">
    <w:altName w:val="Segoe Print"/>
    <w:panose1 w:val="02020603060505020304"/>
    <w:charset w:val="00"/>
    <w:family w:val="roman"/>
    <w:pitch w:val="default"/>
    <w:sig w:usb0="00000000" w:usb1="00000000" w:usb2="00000000" w:usb3="00000000" w:csb0="0000001B" w:csb1="00000000"/>
  </w:font>
  <w:font w:name="方正静蕾简体">
    <w:altName w:val="宋体"/>
    <w:panose1 w:val="02000000000000000000"/>
    <w:charset w:val="86"/>
    <w:family w:val="auto"/>
    <w:pitch w:val="default"/>
    <w:sig w:usb0="00000000" w:usb1="00000000" w:usb2="00000010" w:usb3="00000000" w:csb0="00040000" w:csb1="00000000"/>
  </w:font>
  <w:font w:name="方正硬笔行书简体">
    <w:altName w:val="微软雅黑"/>
    <w:panose1 w:val="03000509000000000000"/>
    <w:charset w:val="86"/>
    <w:family w:val="script"/>
    <w:pitch w:val="default"/>
    <w:sig w:usb0="00000000" w:usb1="00000000" w:usb2="00000010" w:usb3="00000000" w:csb0="00040000" w:csb1="00000000"/>
  </w:font>
  <w:font w:name="Century">
    <w:panose1 w:val="02040604050505020304"/>
    <w:charset w:val="00"/>
    <w:family w:val="roman"/>
    <w:pitch w:val="default"/>
    <w:sig w:usb0="00000287" w:usb1="00000000" w:usb2="00000000" w:usb3="00000000" w:csb0="2000009F" w:csb1="DFD7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Malgun Gothic Semilight">
    <w:panose1 w:val="020B0502040204020203"/>
    <w:charset w:val="86"/>
    <w:family w:val="auto"/>
    <w:pitch w:val="default"/>
    <w:sig w:usb0="900002AF" w:usb1="01D77CFB" w:usb2="00000012" w:usb3="00000000" w:csb0="203E01BD" w:csb1="D7FF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華康標宋體">
    <w:altName w:val="Microsoft JhengHei"/>
    <w:panose1 w:val="00000000000000000000"/>
    <w:charset w:val="88"/>
    <w:family w:val="modern"/>
    <w:pitch w:val="default"/>
    <w:sig w:usb0="00000000" w:usb1="00000000" w:usb2="00000010" w:usb3="00000000" w:csb0="00100000" w:csb1="00000000"/>
  </w:font>
  <w:font w:name="Times">
    <w:altName w:val="Times New Roman"/>
    <w:panose1 w:val="02020603050405020304"/>
    <w:charset w:val="00"/>
    <w:family w:val="roman"/>
    <w:pitch w:val="default"/>
    <w:sig w:usb0="00000000" w:usb1="00000000" w:usb2="00000000" w:usb3="00000000" w:csb0="00000001" w:csb1="00000000"/>
  </w:font>
  <w:font w:name="TimesNewRoman">
    <w:altName w:val="Times New Roman"/>
    <w:panose1 w:val="00000000000000000000"/>
    <w:charset w:val="00"/>
    <w:family w:val="roman"/>
    <w:pitch w:val="default"/>
    <w:sig w:usb0="00000000" w:usb1="00000000" w:usb2="00000010" w:usb3="00000000" w:csb0="00020001" w:csb1="00000000"/>
  </w:font>
  <w:font w:name="叶根友钢笔行书简体">
    <w:altName w:val="宋体"/>
    <w:panose1 w:val="00000000000000000000"/>
    <w:charset w:val="86"/>
    <w:family w:val="auto"/>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Castellar">
    <w:panose1 w:val="020A0402060406010301"/>
    <w:charset w:val="00"/>
    <w:family w:val="roman"/>
    <w:pitch w:val="default"/>
    <w:sig w:usb0="00000003" w:usb1="00000000" w:usb2="00000000" w:usb3="00000000" w:csb0="20000001" w:csb1="00000000"/>
  </w:font>
  <w:font w:name="Helvetica">
    <w:altName w:val="Arial"/>
    <w:panose1 w:val="020B0604020202020204"/>
    <w:charset w:val="00"/>
    <w:family w:val="swiss"/>
    <w:pitch w:val="default"/>
    <w:sig w:usb0="00000000" w:usb1="00000000" w:usb2="00000000" w:usb3="00000000" w:csb0="00040001" w:csb1="00000000"/>
  </w:font>
  <w:font w:name="PingFang SC">
    <w:altName w:val="Segoe Print"/>
    <w:panose1 w:val="00000000000000000000"/>
    <w:charset w:val="00"/>
    <w:family w:val="auto"/>
    <w:pitch w:val="default"/>
    <w:sig w:usb0="00000000" w:usb1="00000000" w:usb2="00000000" w:usb3="00000000" w:csb0="00000000" w:csb1="00000000"/>
  </w:font>
  <w:font w:name="Damascus">
    <w:altName w:val="Courier New"/>
    <w:panose1 w:val="00000400000000000000"/>
    <w:charset w:val="00"/>
    <w:family w:val="auto"/>
    <w:pitch w:val="default"/>
    <w:sig w:usb0="00000000" w:usb1="00000000" w:usb2="14000008" w:usb3="00000000" w:csb0="00000001" w:csb1="00000000"/>
  </w:font>
  <w:font w:name="-apple-system">
    <w:altName w:val="Segoe Print"/>
    <w:panose1 w:val="00000000000000000000"/>
    <w:charset w:val="00"/>
    <w:family w:val="auto"/>
    <w:pitch w:val="default"/>
    <w:sig w:usb0="00000000" w:usb1="00000000" w:usb2="00000000" w:usb3="00000000" w:csb0="00000000" w:csb1="00000000"/>
  </w:font>
  <w:font w:name="穝灿砰">
    <w:altName w:val="宋体"/>
    <w:panose1 w:val="00000000000000000000"/>
    <w:charset w:val="00"/>
    <w:family w:val="auto"/>
    <w:pitch w:val="default"/>
    <w:sig w:usb0="00000000" w:usb1="00000000" w:usb2="00000000" w:usb3="00000000" w:csb0="00040001" w:csb1="00000000"/>
  </w:font>
  <w:font w:name="New Gulim">
    <w:altName w:val="Malgun Gothic"/>
    <w:panose1 w:val="00000000000000000000"/>
    <w:charset w:val="81"/>
    <w:family w:val="roman"/>
    <w:pitch w:val="default"/>
    <w:sig w:usb0="00000000" w:usb1="00000000" w:usb2="00000030" w:usb3="00000000" w:csb0="0008009F" w:csb1="00000000"/>
  </w:font>
  <w:font w:name="MS UI Gothic">
    <w:panose1 w:val="020B0600070205080204"/>
    <w:charset w:val="80"/>
    <w:family w:val="auto"/>
    <w:pitch w:val="default"/>
    <w:sig w:usb0="E00002FF" w:usb1="6AC7FDFB" w:usb2="08000012" w:usb3="00000000" w:csb0="4002009F" w:csb1="DFD70000"/>
  </w:font>
  <w:font w:name="方正大标宋简体">
    <w:altName w:val="宋体"/>
    <w:panose1 w:val="02010601030101010101"/>
    <w:charset w:val="86"/>
    <w:family w:val="auto"/>
    <w:pitch w:val="default"/>
    <w:sig w:usb0="00000000" w:usb1="00000000" w:usb2="00000010" w:usb3="00000000" w:csb0="00040000" w:csb1="00000000"/>
  </w:font>
  <w:font w:name="文鼎齿轮体">
    <w:altName w:val="宋体"/>
    <w:panose1 w:val="020B0602010101010101"/>
    <w:charset w:val="86"/>
    <w:family w:val="swiss"/>
    <w:pitch w:val="default"/>
    <w:sig w:usb0="00000000" w:usb1="00000000" w:usb2="00000010" w:usb3="00000000" w:csb0="00040000" w:csb1="00000000"/>
  </w:font>
  <w:font w:name="方正彩云简体">
    <w:altName w:val="宋体"/>
    <w:panose1 w:val="02010601030101010101"/>
    <w:charset w:val="86"/>
    <w:family w:val="auto"/>
    <w:pitch w:val="default"/>
    <w:sig w:usb0="00000000" w:usb1="00000000" w:usb2="00000010" w:usb3="00000000" w:csb0="00040000" w:csb1="00000000"/>
  </w:font>
  <w:font w:name="Webdings">
    <w:panose1 w:val="05030102010509060703"/>
    <w:charset w:val="02"/>
    <w:family w:val="roman"/>
    <w:pitch w:val="default"/>
    <w:sig w:usb0="00000000" w:usb1="00000000" w:usb2="00000000" w:usb3="00000000" w:csb0="80000000" w:csb1="00000000"/>
  </w:font>
  <w:font w:name="Heiti SC Light">
    <w:altName w:val="微软雅黑"/>
    <w:panose1 w:val="02000000000000000000"/>
    <w:charset w:val="50"/>
    <w:family w:val="auto"/>
    <w:pitch w:val="default"/>
    <w:sig w:usb0="00000000" w:usb1="00000000" w:usb2="00000010" w:usb3="00000000" w:csb0="003E0000" w:csb1="00000000"/>
  </w:font>
  <w:font w:name="Dotum">
    <w:altName w:val="Malgun Gothic"/>
    <w:panose1 w:val="020B0600000101010101"/>
    <w:charset w:val="81"/>
    <w:family w:val="swiss"/>
    <w:pitch w:val="default"/>
    <w:sig w:usb0="00000000" w:usb1="00000000" w:usb2="00000030" w:usb3="00000000" w:csb0="0008009F" w:csb1="00000000"/>
  </w:font>
  <w:font w:name="Arial Narrow">
    <w:panose1 w:val="020B0606020202030204"/>
    <w:charset w:val="00"/>
    <w:family w:val="swiss"/>
    <w:pitch w:val="default"/>
    <w:sig w:usb0="00000287" w:usb1="00000800" w:usb2="00000000" w:usb3="00000000" w:csb0="2000009F" w:csb1="DFD70000"/>
  </w:font>
  <w:font w:name="MS PGothic">
    <w:panose1 w:val="020B0600070205080204"/>
    <w:charset w:val="80"/>
    <w:family w:val="auto"/>
    <w:pitch w:val="default"/>
    <w:sig w:usb0="E00002FF" w:usb1="6AC7FDFB" w:usb2="08000012" w:usb3="00000000" w:csb0="4002009F" w:csb1="DFD70000"/>
  </w:font>
  <w:font w:name="Consolas">
    <w:panose1 w:val="020B0609020204030204"/>
    <w:charset w:val="00"/>
    <w:family w:val="auto"/>
    <w:pitch w:val="default"/>
    <w:sig w:usb0="E00006FF" w:usb1="0000FCFF" w:usb2="00000001" w:usb3="00000000" w:csb0="6000019F" w:csb1="DFD70000"/>
  </w:font>
  <w:font w:name="Calibri Light">
    <w:panose1 w:val="020F0302020204030204"/>
    <w:charset w:val="00"/>
    <w:family w:val="swiss"/>
    <w:pitch w:val="default"/>
    <w:sig w:usb0="E4002EFF" w:usb1="C000247B" w:usb2="00000009" w:usb3="00000000" w:csb0="200001FF" w:csb1="00000000"/>
  </w:font>
  <w:font w:name="Microsoft JhengHei UI Light">
    <w:panose1 w:val="020B0304030504040204"/>
    <w:charset w:val="88"/>
    <w:family w:val="swiss"/>
    <w:pitch w:val="default"/>
    <w:sig w:usb0="800002A7" w:usb1="28CF4400" w:usb2="00000016" w:usb3="00000000" w:csb0="00100009" w:csb1="00000000"/>
  </w:font>
  <w:font w:name="hiragino sans gb">
    <w:altName w:val="Segoe Print"/>
    <w:panose1 w:val="00000000000000000000"/>
    <w:charset w:val="00"/>
    <w:family w:val="auto"/>
    <w:pitch w:val="default"/>
    <w:sig w:usb0="00000000" w:usb1="00000000" w:usb2="00000000" w:usb3="00000000" w:csb0="00000000" w:csb1="00000000"/>
  </w:font>
  <w:font w:name="MS Sans Serif">
    <w:altName w:val="Arial"/>
    <w:panose1 w:val="00000000000000000000"/>
    <w:charset w:val="00"/>
    <w:family w:val="swiss"/>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E-F1">
    <w:altName w:val="Malgun Gothic"/>
    <w:panose1 w:val="02060000000000000000"/>
    <w:charset w:val="81"/>
    <w:family w:val="roman"/>
    <w:pitch w:val="default"/>
    <w:sig w:usb0="00000000" w:usb1="00000000" w:usb2="00000033" w:usb3="00000000" w:csb0="00080000" w:csb1="00000000"/>
  </w:font>
  <w:font w:name="Mincho">
    <w:altName w:val="Yu Gothic UI"/>
    <w:panose1 w:val="02020609040305080305"/>
    <w:charset w:val="80"/>
    <w:family w:val="roman"/>
    <w:pitch w:val="default"/>
    <w:sig w:usb0="00000000" w:usb1="00000000" w:usb2="00000010" w:usb3="00000000" w:csb0="0002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60288;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CQfhE2AAAAAsBAAAP&#10;AAAAAAAAAAEAIAAAACIAAABkcnMvZG93bnJldi54bWxQSwECFAAUAAAACACHTuJAiuHFraYBAAAp&#10;AwAADgAAAAAAAAABACAAAAAnAQAAZHJzL2Uyb0RvYy54bWxQSwUGAAAAAAYABgBZAQAAPw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8"/>
      <w:pBdr>
        <w:bottom w:val="none" w:color="auto" w:sz="0" w:space="0"/>
      </w:pBdr>
      <w:spacing w:line="320" w:lineRule="exact"/>
      <w:ind w:firstLine="756" w:firstLineChars="400"/>
      <w:jc w:val="left"/>
    </w:pPr>
    <w:r>
      <w:rPr>
        <w:rStyle w:val="20"/>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5YTFkYjFhYjNiNjIyOTkyMTY0NmZjZDIxZWNjMDcifQ=="/>
  </w:docVars>
  <w:rsids>
    <w:rsidRoot w:val="00000000"/>
    <w:rsid w:val="00066EBC"/>
    <w:rsid w:val="001F1D2C"/>
    <w:rsid w:val="002C61F7"/>
    <w:rsid w:val="005714C6"/>
    <w:rsid w:val="006E05BE"/>
    <w:rsid w:val="00956AB0"/>
    <w:rsid w:val="00C84172"/>
    <w:rsid w:val="011078C7"/>
    <w:rsid w:val="013E61E2"/>
    <w:rsid w:val="014C6B51"/>
    <w:rsid w:val="016A66D4"/>
    <w:rsid w:val="018362EB"/>
    <w:rsid w:val="01910A08"/>
    <w:rsid w:val="0194231B"/>
    <w:rsid w:val="01BF5783"/>
    <w:rsid w:val="01C761D7"/>
    <w:rsid w:val="01D11448"/>
    <w:rsid w:val="0233386D"/>
    <w:rsid w:val="025B2DC4"/>
    <w:rsid w:val="0281282A"/>
    <w:rsid w:val="028D1F0F"/>
    <w:rsid w:val="02FD00FF"/>
    <w:rsid w:val="032000D3"/>
    <w:rsid w:val="03407271"/>
    <w:rsid w:val="0361440A"/>
    <w:rsid w:val="037759DB"/>
    <w:rsid w:val="03C54999"/>
    <w:rsid w:val="03E65F01"/>
    <w:rsid w:val="04754AE4"/>
    <w:rsid w:val="04990910"/>
    <w:rsid w:val="051A51B8"/>
    <w:rsid w:val="0529087C"/>
    <w:rsid w:val="053472A6"/>
    <w:rsid w:val="05DD06BF"/>
    <w:rsid w:val="0607573C"/>
    <w:rsid w:val="06405665"/>
    <w:rsid w:val="06420522"/>
    <w:rsid w:val="06B9739A"/>
    <w:rsid w:val="06D373CC"/>
    <w:rsid w:val="06F3181D"/>
    <w:rsid w:val="074441EF"/>
    <w:rsid w:val="07A817CB"/>
    <w:rsid w:val="07C66F31"/>
    <w:rsid w:val="07D4164E"/>
    <w:rsid w:val="07F7358F"/>
    <w:rsid w:val="07FE1DA0"/>
    <w:rsid w:val="08513A4A"/>
    <w:rsid w:val="087D5842"/>
    <w:rsid w:val="088840B0"/>
    <w:rsid w:val="08B22F96"/>
    <w:rsid w:val="08CA0524"/>
    <w:rsid w:val="08F301FA"/>
    <w:rsid w:val="092A7093"/>
    <w:rsid w:val="09630EDC"/>
    <w:rsid w:val="09EE1E70"/>
    <w:rsid w:val="09F204B1"/>
    <w:rsid w:val="0A00672A"/>
    <w:rsid w:val="0A2C20E8"/>
    <w:rsid w:val="0A2E3227"/>
    <w:rsid w:val="0A3A5B5D"/>
    <w:rsid w:val="0A4D34E3"/>
    <w:rsid w:val="0A5E78F5"/>
    <w:rsid w:val="0A9A7191"/>
    <w:rsid w:val="0AA25AD7"/>
    <w:rsid w:val="0AA44D6C"/>
    <w:rsid w:val="0AB063A2"/>
    <w:rsid w:val="0AD16319"/>
    <w:rsid w:val="0AD96F7B"/>
    <w:rsid w:val="0ADD2F10"/>
    <w:rsid w:val="0B0264D2"/>
    <w:rsid w:val="0B147B56"/>
    <w:rsid w:val="0B294C45"/>
    <w:rsid w:val="0B3D575C"/>
    <w:rsid w:val="0B446AEB"/>
    <w:rsid w:val="0B6131F9"/>
    <w:rsid w:val="0BEE3B84"/>
    <w:rsid w:val="0BEF4CA9"/>
    <w:rsid w:val="0C346286"/>
    <w:rsid w:val="0C937D2A"/>
    <w:rsid w:val="0CAA5073"/>
    <w:rsid w:val="0D4074FB"/>
    <w:rsid w:val="0D814026"/>
    <w:rsid w:val="0DEB76F2"/>
    <w:rsid w:val="0E9E29B6"/>
    <w:rsid w:val="0EB67D00"/>
    <w:rsid w:val="0F364782"/>
    <w:rsid w:val="0F713C26"/>
    <w:rsid w:val="0F917E25"/>
    <w:rsid w:val="0FBA3760"/>
    <w:rsid w:val="0FE84CF1"/>
    <w:rsid w:val="0FEB54AD"/>
    <w:rsid w:val="0FF558A3"/>
    <w:rsid w:val="0FFD54BA"/>
    <w:rsid w:val="10613C9B"/>
    <w:rsid w:val="1070092E"/>
    <w:rsid w:val="10A1053B"/>
    <w:rsid w:val="10BF78A7"/>
    <w:rsid w:val="10EB3BBF"/>
    <w:rsid w:val="11052B5A"/>
    <w:rsid w:val="11214497"/>
    <w:rsid w:val="1122167C"/>
    <w:rsid w:val="112C42A9"/>
    <w:rsid w:val="115A0E16"/>
    <w:rsid w:val="11643A08"/>
    <w:rsid w:val="11643A43"/>
    <w:rsid w:val="117614BA"/>
    <w:rsid w:val="1197116A"/>
    <w:rsid w:val="12260CF8"/>
    <w:rsid w:val="126F08F1"/>
    <w:rsid w:val="1296510B"/>
    <w:rsid w:val="12A61E39"/>
    <w:rsid w:val="12CE699E"/>
    <w:rsid w:val="12E76701"/>
    <w:rsid w:val="1382700E"/>
    <w:rsid w:val="13DF1AA7"/>
    <w:rsid w:val="13EC5324"/>
    <w:rsid w:val="13F82B68"/>
    <w:rsid w:val="1424261C"/>
    <w:rsid w:val="143D057B"/>
    <w:rsid w:val="1461426A"/>
    <w:rsid w:val="14DC2CD6"/>
    <w:rsid w:val="14FF16E8"/>
    <w:rsid w:val="15086DDB"/>
    <w:rsid w:val="150A035F"/>
    <w:rsid w:val="15923292"/>
    <w:rsid w:val="15973CBB"/>
    <w:rsid w:val="15DE18EA"/>
    <w:rsid w:val="167D26F3"/>
    <w:rsid w:val="168801D3"/>
    <w:rsid w:val="16922E00"/>
    <w:rsid w:val="16A86180"/>
    <w:rsid w:val="16B5089D"/>
    <w:rsid w:val="16B965DF"/>
    <w:rsid w:val="16BF34C9"/>
    <w:rsid w:val="16D36F75"/>
    <w:rsid w:val="17141A67"/>
    <w:rsid w:val="17457E73"/>
    <w:rsid w:val="1780297E"/>
    <w:rsid w:val="1787048B"/>
    <w:rsid w:val="17C074F9"/>
    <w:rsid w:val="17C70888"/>
    <w:rsid w:val="17E5196C"/>
    <w:rsid w:val="17F56A2E"/>
    <w:rsid w:val="18196493"/>
    <w:rsid w:val="182B350C"/>
    <w:rsid w:val="183323C1"/>
    <w:rsid w:val="183F48C2"/>
    <w:rsid w:val="18452548"/>
    <w:rsid w:val="18552337"/>
    <w:rsid w:val="185F79E5"/>
    <w:rsid w:val="18820C52"/>
    <w:rsid w:val="18C96881"/>
    <w:rsid w:val="191C4C03"/>
    <w:rsid w:val="19214221"/>
    <w:rsid w:val="192D6E10"/>
    <w:rsid w:val="19773670"/>
    <w:rsid w:val="199D21E8"/>
    <w:rsid w:val="19A52E4A"/>
    <w:rsid w:val="19A8293B"/>
    <w:rsid w:val="19E75211"/>
    <w:rsid w:val="19FD1CEF"/>
    <w:rsid w:val="1A1F513E"/>
    <w:rsid w:val="1A8635C8"/>
    <w:rsid w:val="1AA255DC"/>
    <w:rsid w:val="1ABA2925"/>
    <w:rsid w:val="1AEC7EC5"/>
    <w:rsid w:val="1AF50D1F"/>
    <w:rsid w:val="1B11796B"/>
    <w:rsid w:val="1BC11A92"/>
    <w:rsid w:val="1BCA6B98"/>
    <w:rsid w:val="1BE0460E"/>
    <w:rsid w:val="1BEA0FE8"/>
    <w:rsid w:val="1C1B5646"/>
    <w:rsid w:val="1C5D76A9"/>
    <w:rsid w:val="1C8E6C47"/>
    <w:rsid w:val="1D014681"/>
    <w:rsid w:val="1D41732E"/>
    <w:rsid w:val="1D666D95"/>
    <w:rsid w:val="1D772D50"/>
    <w:rsid w:val="1DA04055"/>
    <w:rsid w:val="1DB25B36"/>
    <w:rsid w:val="1DC51585"/>
    <w:rsid w:val="1DFE521F"/>
    <w:rsid w:val="1E162569"/>
    <w:rsid w:val="1E556370"/>
    <w:rsid w:val="1E890F8D"/>
    <w:rsid w:val="1E937715"/>
    <w:rsid w:val="1EB3600A"/>
    <w:rsid w:val="1EB91157"/>
    <w:rsid w:val="1ECE074D"/>
    <w:rsid w:val="1F0A5D4D"/>
    <w:rsid w:val="1F1D7927"/>
    <w:rsid w:val="1F5F1CED"/>
    <w:rsid w:val="1F740D38"/>
    <w:rsid w:val="1F8452B0"/>
    <w:rsid w:val="1FB97650"/>
    <w:rsid w:val="1FBE6A14"/>
    <w:rsid w:val="1FCD4EA9"/>
    <w:rsid w:val="20012DA5"/>
    <w:rsid w:val="203E55D3"/>
    <w:rsid w:val="205F63D2"/>
    <w:rsid w:val="20AE6A88"/>
    <w:rsid w:val="20B9542D"/>
    <w:rsid w:val="20F46465"/>
    <w:rsid w:val="2186711E"/>
    <w:rsid w:val="21947BAF"/>
    <w:rsid w:val="219519F6"/>
    <w:rsid w:val="21CF4F08"/>
    <w:rsid w:val="226564B7"/>
    <w:rsid w:val="229D4C42"/>
    <w:rsid w:val="22BF6717"/>
    <w:rsid w:val="22E13176"/>
    <w:rsid w:val="23007343"/>
    <w:rsid w:val="23072480"/>
    <w:rsid w:val="234C2589"/>
    <w:rsid w:val="235B30FB"/>
    <w:rsid w:val="23841D23"/>
    <w:rsid w:val="238D507B"/>
    <w:rsid w:val="23CE717A"/>
    <w:rsid w:val="23D21FE8"/>
    <w:rsid w:val="23D22A8E"/>
    <w:rsid w:val="23E11FEC"/>
    <w:rsid w:val="240F5A90"/>
    <w:rsid w:val="241D19DD"/>
    <w:rsid w:val="242D23BA"/>
    <w:rsid w:val="24656C1B"/>
    <w:rsid w:val="24912949"/>
    <w:rsid w:val="24C703B6"/>
    <w:rsid w:val="24DB1E16"/>
    <w:rsid w:val="24FD1D8D"/>
    <w:rsid w:val="250336C8"/>
    <w:rsid w:val="25170ABB"/>
    <w:rsid w:val="251B1717"/>
    <w:rsid w:val="251C7F7B"/>
    <w:rsid w:val="25641E0C"/>
    <w:rsid w:val="258424AE"/>
    <w:rsid w:val="2599753F"/>
    <w:rsid w:val="25AA523A"/>
    <w:rsid w:val="266320C3"/>
    <w:rsid w:val="26704A11"/>
    <w:rsid w:val="26792A64"/>
    <w:rsid w:val="26865DB2"/>
    <w:rsid w:val="26EB3E67"/>
    <w:rsid w:val="277976C4"/>
    <w:rsid w:val="27806CA5"/>
    <w:rsid w:val="27A037D2"/>
    <w:rsid w:val="27B34984"/>
    <w:rsid w:val="27D05536"/>
    <w:rsid w:val="27D112AE"/>
    <w:rsid w:val="28170541"/>
    <w:rsid w:val="285A28BA"/>
    <w:rsid w:val="28650375"/>
    <w:rsid w:val="28885959"/>
    <w:rsid w:val="28E74AAC"/>
    <w:rsid w:val="295919F1"/>
    <w:rsid w:val="29934A6D"/>
    <w:rsid w:val="29C25353"/>
    <w:rsid w:val="29CE5AA6"/>
    <w:rsid w:val="29FE0FB6"/>
    <w:rsid w:val="2A1D74B6"/>
    <w:rsid w:val="2A36189D"/>
    <w:rsid w:val="2A3F0751"/>
    <w:rsid w:val="2A685EFA"/>
    <w:rsid w:val="2A9156A2"/>
    <w:rsid w:val="2A9A1E2C"/>
    <w:rsid w:val="2AE00186"/>
    <w:rsid w:val="2AFA0B1C"/>
    <w:rsid w:val="2B125E66"/>
    <w:rsid w:val="2B2F07C6"/>
    <w:rsid w:val="2BB62F23"/>
    <w:rsid w:val="2BE21CDC"/>
    <w:rsid w:val="2BE55328"/>
    <w:rsid w:val="2BEC2B5B"/>
    <w:rsid w:val="2C2A302A"/>
    <w:rsid w:val="2C626979"/>
    <w:rsid w:val="2C772424"/>
    <w:rsid w:val="2CB2345D"/>
    <w:rsid w:val="2CDF621C"/>
    <w:rsid w:val="2CEF2903"/>
    <w:rsid w:val="2D294951"/>
    <w:rsid w:val="2D391DD0"/>
    <w:rsid w:val="2D686211"/>
    <w:rsid w:val="2D7D2598"/>
    <w:rsid w:val="2D83129D"/>
    <w:rsid w:val="2D8A262B"/>
    <w:rsid w:val="2DCF1F8A"/>
    <w:rsid w:val="2DD378BF"/>
    <w:rsid w:val="2E0A1DB4"/>
    <w:rsid w:val="2E2C723F"/>
    <w:rsid w:val="2E571C85"/>
    <w:rsid w:val="2E5D564A"/>
    <w:rsid w:val="2E67326C"/>
    <w:rsid w:val="2EC2214E"/>
    <w:rsid w:val="2EF82EA4"/>
    <w:rsid w:val="2F805A94"/>
    <w:rsid w:val="2F917CA1"/>
    <w:rsid w:val="2FD7142C"/>
    <w:rsid w:val="2FD858D0"/>
    <w:rsid w:val="300F2E8F"/>
    <w:rsid w:val="30246C81"/>
    <w:rsid w:val="304C3BC8"/>
    <w:rsid w:val="309335A5"/>
    <w:rsid w:val="30E262DA"/>
    <w:rsid w:val="31353B3B"/>
    <w:rsid w:val="314F1BC2"/>
    <w:rsid w:val="318555E4"/>
    <w:rsid w:val="31936003"/>
    <w:rsid w:val="3207249C"/>
    <w:rsid w:val="322E279A"/>
    <w:rsid w:val="323D71D6"/>
    <w:rsid w:val="328238D1"/>
    <w:rsid w:val="32933D30"/>
    <w:rsid w:val="32945358"/>
    <w:rsid w:val="32A72670"/>
    <w:rsid w:val="32A74481"/>
    <w:rsid w:val="32BE7484"/>
    <w:rsid w:val="32D85BE7"/>
    <w:rsid w:val="3330332D"/>
    <w:rsid w:val="33650773"/>
    <w:rsid w:val="33685C64"/>
    <w:rsid w:val="33CC5F8E"/>
    <w:rsid w:val="33DC1707"/>
    <w:rsid w:val="348C0A37"/>
    <w:rsid w:val="34B9286C"/>
    <w:rsid w:val="34EA4EFB"/>
    <w:rsid w:val="34F565DC"/>
    <w:rsid w:val="34F62C60"/>
    <w:rsid w:val="35355A03"/>
    <w:rsid w:val="35682BDF"/>
    <w:rsid w:val="35D16601"/>
    <w:rsid w:val="35D46B3A"/>
    <w:rsid w:val="35F1616F"/>
    <w:rsid w:val="35FB40C6"/>
    <w:rsid w:val="367B0D63"/>
    <w:rsid w:val="367D0F7F"/>
    <w:rsid w:val="36A9588C"/>
    <w:rsid w:val="36AA33F6"/>
    <w:rsid w:val="36AB40E2"/>
    <w:rsid w:val="36E87E19"/>
    <w:rsid w:val="36EC6E3D"/>
    <w:rsid w:val="36FB00F6"/>
    <w:rsid w:val="373D42AF"/>
    <w:rsid w:val="37411FAD"/>
    <w:rsid w:val="37865C12"/>
    <w:rsid w:val="379522F8"/>
    <w:rsid w:val="37C8447C"/>
    <w:rsid w:val="37D27F47"/>
    <w:rsid w:val="37D42E21"/>
    <w:rsid w:val="37DC1CD5"/>
    <w:rsid w:val="37DD15AA"/>
    <w:rsid w:val="3845787B"/>
    <w:rsid w:val="38807E5C"/>
    <w:rsid w:val="38835502"/>
    <w:rsid w:val="388F4AC7"/>
    <w:rsid w:val="38B10E44"/>
    <w:rsid w:val="38E36B3A"/>
    <w:rsid w:val="391334D5"/>
    <w:rsid w:val="3929719C"/>
    <w:rsid w:val="396813E9"/>
    <w:rsid w:val="39A14F85"/>
    <w:rsid w:val="39F42601"/>
    <w:rsid w:val="39FD5F33"/>
    <w:rsid w:val="3A2C579E"/>
    <w:rsid w:val="3A2E1E94"/>
    <w:rsid w:val="3A2E433E"/>
    <w:rsid w:val="3A56723A"/>
    <w:rsid w:val="3A6D130B"/>
    <w:rsid w:val="3B1E3282"/>
    <w:rsid w:val="3B334302"/>
    <w:rsid w:val="3B3B4F65"/>
    <w:rsid w:val="3B5D4EDB"/>
    <w:rsid w:val="3BB371F1"/>
    <w:rsid w:val="3BB844ED"/>
    <w:rsid w:val="3BC76F4B"/>
    <w:rsid w:val="3C030416"/>
    <w:rsid w:val="3C0B2B89"/>
    <w:rsid w:val="3C147E29"/>
    <w:rsid w:val="3C664263"/>
    <w:rsid w:val="3C6E4D87"/>
    <w:rsid w:val="3C850B8E"/>
    <w:rsid w:val="3CA628B2"/>
    <w:rsid w:val="3CB40EF3"/>
    <w:rsid w:val="3CC203DF"/>
    <w:rsid w:val="3CE22C92"/>
    <w:rsid w:val="3CF278A5"/>
    <w:rsid w:val="3D5A3DC8"/>
    <w:rsid w:val="3D7B789B"/>
    <w:rsid w:val="3DB4423A"/>
    <w:rsid w:val="3DC21146"/>
    <w:rsid w:val="3DFC6C2D"/>
    <w:rsid w:val="3E66679D"/>
    <w:rsid w:val="3EAD1CD6"/>
    <w:rsid w:val="3F0D6C18"/>
    <w:rsid w:val="3F22253F"/>
    <w:rsid w:val="3F3B5533"/>
    <w:rsid w:val="3F620FE1"/>
    <w:rsid w:val="3F9649D8"/>
    <w:rsid w:val="3FE80E29"/>
    <w:rsid w:val="405C41EF"/>
    <w:rsid w:val="40925015"/>
    <w:rsid w:val="409D5D7A"/>
    <w:rsid w:val="40D96C07"/>
    <w:rsid w:val="41067DC3"/>
    <w:rsid w:val="412F7925"/>
    <w:rsid w:val="41313092"/>
    <w:rsid w:val="41463C47"/>
    <w:rsid w:val="417411D1"/>
    <w:rsid w:val="418A27A2"/>
    <w:rsid w:val="41A039FB"/>
    <w:rsid w:val="41BD2B78"/>
    <w:rsid w:val="42336996"/>
    <w:rsid w:val="42415ACC"/>
    <w:rsid w:val="42507548"/>
    <w:rsid w:val="425863FC"/>
    <w:rsid w:val="4278084D"/>
    <w:rsid w:val="42B850ED"/>
    <w:rsid w:val="42C817D4"/>
    <w:rsid w:val="42CD1E63"/>
    <w:rsid w:val="42FC322C"/>
    <w:rsid w:val="4311364B"/>
    <w:rsid w:val="432B1D63"/>
    <w:rsid w:val="43940700"/>
    <w:rsid w:val="43B50B7A"/>
    <w:rsid w:val="43BA5753"/>
    <w:rsid w:val="43BE09EA"/>
    <w:rsid w:val="43EE7018"/>
    <w:rsid w:val="44156D87"/>
    <w:rsid w:val="445552E9"/>
    <w:rsid w:val="4461660D"/>
    <w:rsid w:val="447459AC"/>
    <w:rsid w:val="44AB6CB7"/>
    <w:rsid w:val="44B02520"/>
    <w:rsid w:val="44D501D8"/>
    <w:rsid w:val="44DC0B83"/>
    <w:rsid w:val="451D0117"/>
    <w:rsid w:val="45440EBA"/>
    <w:rsid w:val="457B2B2E"/>
    <w:rsid w:val="45A258DE"/>
    <w:rsid w:val="45B24076"/>
    <w:rsid w:val="45BC2AC4"/>
    <w:rsid w:val="45C73FC5"/>
    <w:rsid w:val="45DB537A"/>
    <w:rsid w:val="466C526D"/>
    <w:rsid w:val="4674757D"/>
    <w:rsid w:val="46B21F99"/>
    <w:rsid w:val="46D02A05"/>
    <w:rsid w:val="46E6047B"/>
    <w:rsid w:val="46F10BCE"/>
    <w:rsid w:val="47061B43"/>
    <w:rsid w:val="478F53EF"/>
    <w:rsid w:val="47C63E08"/>
    <w:rsid w:val="480A3EF4"/>
    <w:rsid w:val="48141018"/>
    <w:rsid w:val="484F2050"/>
    <w:rsid w:val="48691363"/>
    <w:rsid w:val="486D24D6"/>
    <w:rsid w:val="48763A80"/>
    <w:rsid w:val="48CF1315"/>
    <w:rsid w:val="48E96000"/>
    <w:rsid w:val="498875C7"/>
    <w:rsid w:val="49AF4E76"/>
    <w:rsid w:val="49CD76D0"/>
    <w:rsid w:val="49D75781"/>
    <w:rsid w:val="49E54A1A"/>
    <w:rsid w:val="4A001853"/>
    <w:rsid w:val="4A17514B"/>
    <w:rsid w:val="4A1A3609"/>
    <w:rsid w:val="4A396B13"/>
    <w:rsid w:val="4A3A2A9F"/>
    <w:rsid w:val="4A4D25BF"/>
    <w:rsid w:val="4A745D9D"/>
    <w:rsid w:val="4B0853EA"/>
    <w:rsid w:val="4B2E614C"/>
    <w:rsid w:val="4B3C2D5F"/>
    <w:rsid w:val="4B802B6C"/>
    <w:rsid w:val="4BE551A5"/>
    <w:rsid w:val="4C0F3FD0"/>
    <w:rsid w:val="4C147838"/>
    <w:rsid w:val="4C402BF7"/>
    <w:rsid w:val="4C804ECE"/>
    <w:rsid w:val="4C83736D"/>
    <w:rsid w:val="4C885B30"/>
    <w:rsid w:val="4CA80FE3"/>
    <w:rsid w:val="4CDB65A8"/>
    <w:rsid w:val="4D00367C"/>
    <w:rsid w:val="4D03307E"/>
    <w:rsid w:val="4D0E4287"/>
    <w:rsid w:val="4D3C320F"/>
    <w:rsid w:val="4D6E11CA"/>
    <w:rsid w:val="4DDD3C5A"/>
    <w:rsid w:val="4DE95E4E"/>
    <w:rsid w:val="4DFA5872"/>
    <w:rsid w:val="4E3272FE"/>
    <w:rsid w:val="4E6C395B"/>
    <w:rsid w:val="4E7B7EF7"/>
    <w:rsid w:val="4EB66985"/>
    <w:rsid w:val="4ED7041B"/>
    <w:rsid w:val="4ED911D3"/>
    <w:rsid w:val="4F0C47F7"/>
    <w:rsid w:val="4F2C4E99"/>
    <w:rsid w:val="4F682C9D"/>
    <w:rsid w:val="4FAD422B"/>
    <w:rsid w:val="507408A5"/>
    <w:rsid w:val="50832EE6"/>
    <w:rsid w:val="50CC6933"/>
    <w:rsid w:val="50E53551"/>
    <w:rsid w:val="51087240"/>
    <w:rsid w:val="513B7615"/>
    <w:rsid w:val="514209A3"/>
    <w:rsid w:val="51475FBA"/>
    <w:rsid w:val="517F1136"/>
    <w:rsid w:val="51864D34"/>
    <w:rsid w:val="51905470"/>
    <w:rsid w:val="519A6FAF"/>
    <w:rsid w:val="5244074B"/>
    <w:rsid w:val="5253098E"/>
    <w:rsid w:val="525A3ACB"/>
    <w:rsid w:val="529D0C02"/>
    <w:rsid w:val="52E71802"/>
    <w:rsid w:val="53311592"/>
    <w:rsid w:val="535B5D4C"/>
    <w:rsid w:val="536D782E"/>
    <w:rsid w:val="53762B86"/>
    <w:rsid w:val="538F3C48"/>
    <w:rsid w:val="53B84F4D"/>
    <w:rsid w:val="53C208DB"/>
    <w:rsid w:val="53CC27A6"/>
    <w:rsid w:val="542E7BB3"/>
    <w:rsid w:val="54AB6860"/>
    <w:rsid w:val="54AD082A"/>
    <w:rsid w:val="54B01375"/>
    <w:rsid w:val="54CE3AA7"/>
    <w:rsid w:val="54F2189F"/>
    <w:rsid w:val="55175CA3"/>
    <w:rsid w:val="552B0501"/>
    <w:rsid w:val="55384597"/>
    <w:rsid w:val="553B29F8"/>
    <w:rsid w:val="559B2D78"/>
    <w:rsid w:val="55CD2D3D"/>
    <w:rsid w:val="55FB7373"/>
    <w:rsid w:val="56243ACD"/>
    <w:rsid w:val="56272D61"/>
    <w:rsid w:val="56487BCA"/>
    <w:rsid w:val="565F5B54"/>
    <w:rsid w:val="566E56D4"/>
    <w:rsid w:val="56B714EC"/>
    <w:rsid w:val="56BD505E"/>
    <w:rsid w:val="56D95B7F"/>
    <w:rsid w:val="56F236DA"/>
    <w:rsid w:val="56F3629C"/>
    <w:rsid w:val="56FF14FB"/>
    <w:rsid w:val="57066F23"/>
    <w:rsid w:val="570B3B6E"/>
    <w:rsid w:val="572528F9"/>
    <w:rsid w:val="5773022F"/>
    <w:rsid w:val="579505AA"/>
    <w:rsid w:val="57F55B48"/>
    <w:rsid w:val="580C3AB9"/>
    <w:rsid w:val="583C23E5"/>
    <w:rsid w:val="587C6014"/>
    <w:rsid w:val="5895585D"/>
    <w:rsid w:val="58D2260D"/>
    <w:rsid w:val="58F46A27"/>
    <w:rsid w:val="58F5279F"/>
    <w:rsid w:val="59407EBE"/>
    <w:rsid w:val="59516618"/>
    <w:rsid w:val="59EE791A"/>
    <w:rsid w:val="59F64A21"/>
    <w:rsid w:val="59FB6D28"/>
    <w:rsid w:val="5A074538"/>
    <w:rsid w:val="5A186745"/>
    <w:rsid w:val="5A64198B"/>
    <w:rsid w:val="5A8042EB"/>
    <w:rsid w:val="5A83308E"/>
    <w:rsid w:val="5AB75F5E"/>
    <w:rsid w:val="5AF54CD9"/>
    <w:rsid w:val="5B3E0807"/>
    <w:rsid w:val="5B5B744B"/>
    <w:rsid w:val="5B7756EE"/>
    <w:rsid w:val="5B8C73EB"/>
    <w:rsid w:val="5BA858A7"/>
    <w:rsid w:val="5BBE50CA"/>
    <w:rsid w:val="5BDE1878"/>
    <w:rsid w:val="5C0056E3"/>
    <w:rsid w:val="5C270EC2"/>
    <w:rsid w:val="5C2F7D76"/>
    <w:rsid w:val="5C4557EC"/>
    <w:rsid w:val="5C5A1297"/>
    <w:rsid w:val="5C700CA7"/>
    <w:rsid w:val="5C8C51C9"/>
    <w:rsid w:val="5C961BA3"/>
    <w:rsid w:val="5CAD7D38"/>
    <w:rsid w:val="5CBB6C70"/>
    <w:rsid w:val="5CC36972"/>
    <w:rsid w:val="5CD526CC"/>
    <w:rsid w:val="5CFD4027"/>
    <w:rsid w:val="5D0163F1"/>
    <w:rsid w:val="5D231FC3"/>
    <w:rsid w:val="5D3812DB"/>
    <w:rsid w:val="5D5C2DED"/>
    <w:rsid w:val="5D6C2870"/>
    <w:rsid w:val="5D9F12A3"/>
    <w:rsid w:val="5DAA1DAA"/>
    <w:rsid w:val="5DBA1DF2"/>
    <w:rsid w:val="5DDB0322"/>
    <w:rsid w:val="5E08490C"/>
    <w:rsid w:val="5E431827"/>
    <w:rsid w:val="5E535813"/>
    <w:rsid w:val="5E5835B4"/>
    <w:rsid w:val="5E912F6A"/>
    <w:rsid w:val="5EBD3D5F"/>
    <w:rsid w:val="5EDC2437"/>
    <w:rsid w:val="5F0454EA"/>
    <w:rsid w:val="5F677827"/>
    <w:rsid w:val="5F797C86"/>
    <w:rsid w:val="5F8B3350"/>
    <w:rsid w:val="5FEA46E0"/>
    <w:rsid w:val="602F37F0"/>
    <w:rsid w:val="603040BD"/>
    <w:rsid w:val="603057B5"/>
    <w:rsid w:val="60553502"/>
    <w:rsid w:val="60673F83"/>
    <w:rsid w:val="6071095D"/>
    <w:rsid w:val="608143A4"/>
    <w:rsid w:val="60E303C2"/>
    <w:rsid w:val="60EA6962"/>
    <w:rsid w:val="60F56A97"/>
    <w:rsid w:val="610417D1"/>
    <w:rsid w:val="61204131"/>
    <w:rsid w:val="61227EAA"/>
    <w:rsid w:val="61693D2A"/>
    <w:rsid w:val="616C7FB6"/>
    <w:rsid w:val="618C33ED"/>
    <w:rsid w:val="61A42FB4"/>
    <w:rsid w:val="61AE798F"/>
    <w:rsid w:val="627025A0"/>
    <w:rsid w:val="62850378"/>
    <w:rsid w:val="62A9366C"/>
    <w:rsid w:val="62B15989"/>
    <w:rsid w:val="62C44768"/>
    <w:rsid w:val="633769A9"/>
    <w:rsid w:val="635D069E"/>
    <w:rsid w:val="635D095A"/>
    <w:rsid w:val="63AA2F6D"/>
    <w:rsid w:val="63B53257"/>
    <w:rsid w:val="63E94CAF"/>
    <w:rsid w:val="6417181C"/>
    <w:rsid w:val="64393E88"/>
    <w:rsid w:val="643C6AED"/>
    <w:rsid w:val="6485002B"/>
    <w:rsid w:val="64AF7CA6"/>
    <w:rsid w:val="64BA3F18"/>
    <w:rsid w:val="64BC2A24"/>
    <w:rsid w:val="64DE67DD"/>
    <w:rsid w:val="650D069A"/>
    <w:rsid w:val="6525440C"/>
    <w:rsid w:val="65293EFC"/>
    <w:rsid w:val="65444892"/>
    <w:rsid w:val="657F1D6E"/>
    <w:rsid w:val="65856C59"/>
    <w:rsid w:val="65D11E9E"/>
    <w:rsid w:val="66285F62"/>
    <w:rsid w:val="665A078F"/>
    <w:rsid w:val="670A5668"/>
    <w:rsid w:val="670E33AA"/>
    <w:rsid w:val="67786A75"/>
    <w:rsid w:val="677D5E3A"/>
    <w:rsid w:val="67DB7004"/>
    <w:rsid w:val="67E768AA"/>
    <w:rsid w:val="680F6B7F"/>
    <w:rsid w:val="683F57E5"/>
    <w:rsid w:val="68424832"/>
    <w:rsid w:val="686D2352"/>
    <w:rsid w:val="68E54AE2"/>
    <w:rsid w:val="68F77E6E"/>
    <w:rsid w:val="69036813"/>
    <w:rsid w:val="691F431B"/>
    <w:rsid w:val="69277AD1"/>
    <w:rsid w:val="69482477"/>
    <w:rsid w:val="694D7A8E"/>
    <w:rsid w:val="69507896"/>
    <w:rsid w:val="695452C0"/>
    <w:rsid w:val="697838BB"/>
    <w:rsid w:val="69992CD3"/>
    <w:rsid w:val="69A27DD9"/>
    <w:rsid w:val="69AC6C0B"/>
    <w:rsid w:val="69C9180A"/>
    <w:rsid w:val="69EB79D2"/>
    <w:rsid w:val="6A345616"/>
    <w:rsid w:val="6A8C42A6"/>
    <w:rsid w:val="6ABA55F7"/>
    <w:rsid w:val="6B243D66"/>
    <w:rsid w:val="6B405AFC"/>
    <w:rsid w:val="6BDF70C3"/>
    <w:rsid w:val="6BED4339"/>
    <w:rsid w:val="6BEF1186"/>
    <w:rsid w:val="6C2E0A25"/>
    <w:rsid w:val="6C3D4C22"/>
    <w:rsid w:val="6C564DD5"/>
    <w:rsid w:val="6C97174C"/>
    <w:rsid w:val="6CAE05A0"/>
    <w:rsid w:val="6CAF46B1"/>
    <w:rsid w:val="6D0C05F2"/>
    <w:rsid w:val="6D0D7DE6"/>
    <w:rsid w:val="6D5533B5"/>
    <w:rsid w:val="6D7B72BF"/>
    <w:rsid w:val="6DB93944"/>
    <w:rsid w:val="6E494CC8"/>
    <w:rsid w:val="6E4F0B95"/>
    <w:rsid w:val="6E6B222A"/>
    <w:rsid w:val="6EA30B96"/>
    <w:rsid w:val="6ED24CBD"/>
    <w:rsid w:val="6F405236"/>
    <w:rsid w:val="6F5979D7"/>
    <w:rsid w:val="6F79782E"/>
    <w:rsid w:val="6F806C87"/>
    <w:rsid w:val="6FA84376"/>
    <w:rsid w:val="6FBE0D36"/>
    <w:rsid w:val="6FD20CED"/>
    <w:rsid w:val="70087110"/>
    <w:rsid w:val="705A0826"/>
    <w:rsid w:val="70D17DAD"/>
    <w:rsid w:val="71070737"/>
    <w:rsid w:val="716D5171"/>
    <w:rsid w:val="718445AA"/>
    <w:rsid w:val="719B7F30"/>
    <w:rsid w:val="71AF7537"/>
    <w:rsid w:val="71B1539A"/>
    <w:rsid w:val="71B33DA4"/>
    <w:rsid w:val="726D78E9"/>
    <w:rsid w:val="72BD7A32"/>
    <w:rsid w:val="72DE0805"/>
    <w:rsid w:val="7337786F"/>
    <w:rsid w:val="735071F1"/>
    <w:rsid w:val="73685BF0"/>
    <w:rsid w:val="73702CF6"/>
    <w:rsid w:val="739E7864"/>
    <w:rsid w:val="742C4357"/>
    <w:rsid w:val="74324450"/>
    <w:rsid w:val="74BB140C"/>
    <w:rsid w:val="74CE5F27"/>
    <w:rsid w:val="74EE6F9F"/>
    <w:rsid w:val="752B5127"/>
    <w:rsid w:val="75377F70"/>
    <w:rsid w:val="75610B49"/>
    <w:rsid w:val="75D94865"/>
    <w:rsid w:val="760E4FCA"/>
    <w:rsid w:val="76275304"/>
    <w:rsid w:val="764346F2"/>
    <w:rsid w:val="765B5EE0"/>
    <w:rsid w:val="765C3B41"/>
    <w:rsid w:val="767945B8"/>
    <w:rsid w:val="76901DB2"/>
    <w:rsid w:val="76A4441B"/>
    <w:rsid w:val="76A64435"/>
    <w:rsid w:val="76FB1E6F"/>
    <w:rsid w:val="77130569"/>
    <w:rsid w:val="775070C7"/>
    <w:rsid w:val="77567AD2"/>
    <w:rsid w:val="77877F55"/>
    <w:rsid w:val="77A45665"/>
    <w:rsid w:val="780D3330"/>
    <w:rsid w:val="78212811"/>
    <w:rsid w:val="78216CB5"/>
    <w:rsid w:val="78283BA0"/>
    <w:rsid w:val="78373E56"/>
    <w:rsid w:val="785250C1"/>
    <w:rsid w:val="78882890"/>
    <w:rsid w:val="78911745"/>
    <w:rsid w:val="7892370F"/>
    <w:rsid w:val="78E57CE3"/>
    <w:rsid w:val="78EB3317"/>
    <w:rsid w:val="78F30652"/>
    <w:rsid w:val="7936053E"/>
    <w:rsid w:val="79570020"/>
    <w:rsid w:val="79674B9C"/>
    <w:rsid w:val="79B77DBE"/>
    <w:rsid w:val="79C61E7E"/>
    <w:rsid w:val="79D33FDF"/>
    <w:rsid w:val="79F0693F"/>
    <w:rsid w:val="7A186697"/>
    <w:rsid w:val="7A2931E5"/>
    <w:rsid w:val="7A5213A8"/>
    <w:rsid w:val="7A5B1910"/>
    <w:rsid w:val="7A9B4AFD"/>
    <w:rsid w:val="7AC83418"/>
    <w:rsid w:val="7B3C43AC"/>
    <w:rsid w:val="7B931C78"/>
    <w:rsid w:val="7B9F061D"/>
    <w:rsid w:val="7B9F3C35"/>
    <w:rsid w:val="7BBE1514"/>
    <w:rsid w:val="7BC02341"/>
    <w:rsid w:val="7BDD535C"/>
    <w:rsid w:val="7C694787"/>
    <w:rsid w:val="7CAA2823"/>
    <w:rsid w:val="7CC16371"/>
    <w:rsid w:val="7CDE6F23"/>
    <w:rsid w:val="7CF256C0"/>
    <w:rsid w:val="7CF46746"/>
    <w:rsid w:val="7D456F20"/>
    <w:rsid w:val="7D503FC1"/>
    <w:rsid w:val="7D5471E5"/>
    <w:rsid w:val="7D787377"/>
    <w:rsid w:val="7D8A0E59"/>
    <w:rsid w:val="7DBD598B"/>
    <w:rsid w:val="7DE62533"/>
    <w:rsid w:val="7DE7443E"/>
    <w:rsid w:val="7E0E1A8A"/>
    <w:rsid w:val="7E3C2153"/>
    <w:rsid w:val="7E3F39F1"/>
    <w:rsid w:val="7E492AC2"/>
    <w:rsid w:val="7E555ACA"/>
    <w:rsid w:val="7E5576B9"/>
    <w:rsid w:val="7E5E656D"/>
    <w:rsid w:val="7ECE4181"/>
    <w:rsid w:val="7EFC3D40"/>
    <w:rsid w:val="7F1F3593"/>
    <w:rsid w:val="7F9935D5"/>
    <w:rsid w:val="7F9E4FC7"/>
    <w:rsid w:val="7FD74F4A"/>
    <w:rsid w:val="7FE505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unhideWhenUsed/>
    <w:qFormat/>
    <w:uiPriority w:val="99"/>
    <w:pPr>
      <w:ind w:firstLine="420"/>
    </w:pPr>
    <w:rPr>
      <w:rFonts w:ascii="Times New Roman" w:hAnsi="Times New Roman"/>
      <w:szCs w:val="20"/>
    </w:rPr>
  </w:style>
  <w:style w:type="paragraph" w:styleId="4">
    <w:name w:val="Body Text"/>
    <w:basedOn w:val="1"/>
    <w:qFormat/>
    <w:uiPriority w:val="0"/>
    <w:pPr>
      <w:spacing w:after="120"/>
    </w:pPr>
    <w:rPr>
      <w:szCs w:val="24"/>
    </w:rPr>
  </w:style>
  <w:style w:type="paragraph" w:styleId="5">
    <w:name w:val="Balloon Text"/>
    <w:basedOn w:val="1"/>
    <w:link w:val="19"/>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Body Text First Indent 2"/>
    <w:basedOn w:val="1"/>
    <w:next w:val="1"/>
    <w:unhideWhenUsed/>
    <w:qFormat/>
    <w:uiPriority w:val="99"/>
    <w:pPr>
      <w:ind w:firstLine="420" w:firstLineChars="200"/>
    </w:pPr>
    <w:rPr>
      <w:szCs w:val="24"/>
    </w:rPr>
  </w:style>
  <w:style w:type="paragraph" w:styleId="8">
    <w:name w:val="header"/>
    <w:basedOn w:val="1"/>
    <w:next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Lines="0" w:beforeAutospacing="1" w:after="100" w:afterLines="0" w:afterAutospacing="1"/>
      <w:jc w:val="left"/>
    </w:pPr>
    <w:rPr>
      <w:rFonts w:ascii="宋体" w:hAnsi="宋体"/>
      <w:kern w:val="0"/>
      <w:sz w:val="24"/>
      <w:lang w:val="en-US"/>
    </w:rPr>
  </w:style>
  <w:style w:type="character" w:styleId="11">
    <w:name w:val="Strong"/>
    <w:basedOn w:val="10"/>
    <w:qFormat/>
    <w:uiPriority w:val="22"/>
    <w:rPr>
      <w:b/>
      <w:bCs/>
    </w:rPr>
  </w:style>
  <w:style w:type="character" w:styleId="12">
    <w:name w:val="Emphasis"/>
    <w:basedOn w:val="10"/>
    <w:qFormat/>
    <w:uiPriority w:val="20"/>
    <w:rPr>
      <w:i/>
      <w:iCs/>
    </w:rPr>
  </w:style>
  <w:style w:type="character" w:styleId="13">
    <w:name w:val="Hyperlink"/>
    <w:qFormat/>
    <w:uiPriority w:val="0"/>
    <w:rPr>
      <w:color w:val="338DE6"/>
      <w:u w:val="none"/>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
    <w:name w:val="正文 首行缩进:  2 字符"/>
    <w:basedOn w:val="1"/>
    <w:qFormat/>
    <w:uiPriority w:val="0"/>
    <w:pPr>
      <w:ind w:firstLine="200" w:firstLineChars="200"/>
    </w:pPr>
    <w:rPr>
      <w:rFonts w:cs="宋体"/>
      <w:sz w:val="24"/>
      <w:szCs w:val="20"/>
    </w:rPr>
  </w:style>
  <w:style w:type="character" w:customStyle="1" w:styleId="17">
    <w:name w:val="页眉 Char"/>
    <w:basedOn w:val="10"/>
    <w:link w:val="8"/>
    <w:qFormat/>
    <w:uiPriority w:val="99"/>
    <w:rPr>
      <w:rFonts w:ascii="Times New Roman" w:hAnsi="Times New Roman" w:eastAsia="宋体" w:cs="Times New Roman"/>
      <w:sz w:val="18"/>
      <w:szCs w:val="18"/>
    </w:rPr>
  </w:style>
  <w:style w:type="character" w:customStyle="1" w:styleId="18">
    <w:name w:val="页脚 Char"/>
    <w:basedOn w:val="10"/>
    <w:link w:val="6"/>
    <w:qFormat/>
    <w:uiPriority w:val="99"/>
    <w:rPr>
      <w:rFonts w:ascii="Times New Roman" w:hAnsi="Times New Roman" w:eastAsia="宋体" w:cs="Times New Roman"/>
      <w:sz w:val="18"/>
      <w:szCs w:val="18"/>
    </w:rPr>
  </w:style>
  <w:style w:type="character" w:customStyle="1" w:styleId="19">
    <w:name w:val="批注框文本 Char"/>
    <w:basedOn w:val="10"/>
    <w:link w:val="5"/>
    <w:semiHidden/>
    <w:qFormat/>
    <w:uiPriority w:val="99"/>
    <w:rPr>
      <w:rFonts w:ascii="Times New Roman" w:hAnsi="Times New Roman" w:eastAsia="宋体" w:cs="Times New Roman"/>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2">
    <w:name w:val="List Paragraph"/>
    <w:basedOn w:val="1"/>
    <w:qFormat/>
    <w:uiPriority w:val="99"/>
    <w:pPr>
      <w:ind w:firstLine="420" w:firstLineChars="200"/>
    </w:pPr>
  </w:style>
  <w:style w:type="paragraph" w:customStyle="1" w:styleId="23">
    <w:name w:val="cucd-0"/>
    <w:basedOn w:val="1"/>
    <w:qFormat/>
    <w:uiPriority w:val="0"/>
    <w:pPr>
      <w:keepNext w:val="0"/>
      <w:keepLines w:val="0"/>
      <w:widowControl/>
      <w:suppressLineNumbers w:val="0"/>
      <w:spacing w:before="0" w:beforeAutospacing="0" w:after="0" w:afterAutospacing="0" w:line="360" w:lineRule="auto"/>
      <w:ind w:left="0" w:right="0" w:firstLine="480" w:firstLineChars="200"/>
      <w:jc w:val="left"/>
    </w:pPr>
    <w:rPr>
      <w:rFonts w:hint="default" w:ascii="Times New Roman" w:hAnsi="Times New Roman" w:eastAsia="宋体" w:cs="Times New Roman"/>
      <w:kern w:val="2"/>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12115</Words>
  <Characters>13123</Characters>
  <Lines>1</Lines>
  <Paragraphs>1</Paragraphs>
  <ScaleCrop>false</ScaleCrop>
  <LinksUpToDate>false</LinksUpToDate>
  <CharactersWithSpaces>13618</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zwt</cp:lastModifiedBy>
  <dcterms:modified xsi:type="dcterms:W3CDTF">2022-12-10T22:01:42Z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2052-10.1.0.6875</vt:lpwstr>
  </property>
</Properties>
</file>