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jc w:val="left"/>
        <w:rPr>
          <w:rFonts w:ascii="宋体" w:hAnsi="宋体" w:cs="宋体"/>
          <w:b/>
          <w:bCs/>
          <w:color w:val="000000"/>
          <w:sz w:val="28"/>
          <w:szCs w:val="28"/>
          <w14:shadow w14:blurRad="50800" w14:dist="38100" w14:dir="2700000" w14:sx="100000" w14:sy="100000" w14:kx="0" w14:ky="0" w14:algn="tl">
            <w14:srgbClr w14:val="000000">
              <w14:alpha w14:val="60000"/>
            </w14:srgbClr>
          </w14:shadow>
        </w:rPr>
      </w:pPr>
      <w:r>
        <w:rPr>
          <w:rFonts w:hint="eastAsia" w:ascii="宋体" w:hAnsi="宋体" w:cs="宋体"/>
          <w:b/>
          <w:bCs/>
          <w:color w:val="000000"/>
          <w:sz w:val="28"/>
          <w:szCs w:val="28"/>
          <w14:shadow w14:blurRad="50800" w14:dist="38100" w14:dir="2700000" w14:sx="100000" w14:sy="100000" w14:kx="0" w14:ky="0" w14:algn="tl">
            <w14:srgbClr w14:val="000000">
              <w14:alpha w14:val="60000"/>
            </w14:srgbClr>
          </w14:shadow>
        </w:rPr>
        <w:t>附录A：</w:t>
      </w:r>
    </w:p>
    <w:p>
      <w:pPr>
        <w:pStyle w:val="3"/>
        <w:spacing w:line="240" w:lineRule="auto"/>
        <w:jc w:val="center"/>
        <w:rPr>
          <w:rFonts w:ascii="宋体" w:hAnsi="宋体" w:cs="宋体"/>
          <w:b/>
          <w:bCs/>
          <w:snapToGrid w:val="0"/>
          <w:color w:val="000000"/>
          <w:kern w:val="0"/>
          <w:sz w:val="28"/>
          <w:szCs w:val="28"/>
        </w:rPr>
      </w:pPr>
      <w:r>
        <w:rPr>
          <w:rFonts w:hint="eastAsia" w:cs="Times New Roman"/>
          <w:b/>
          <w:bCs/>
          <w:sz w:val="28"/>
          <w:szCs w:val="28"/>
          <w:lang w:eastAsia="zh-CN"/>
        </w:rPr>
        <w:t>钢结构墙梁檁托孔径</w:t>
      </w:r>
      <w:r>
        <w:rPr>
          <w:rFonts w:hint="default" w:ascii="Times New Roman" w:hAnsi="Times New Roman" w:eastAsia="宋体" w:cs="Times New Roman"/>
          <w:b/>
          <w:bCs/>
          <w:sz w:val="28"/>
          <w:szCs w:val="28"/>
          <w:lang w:val="en-US" w:eastAsia="zh-CN"/>
        </w:rPr>
        <w:t>测量</w:t>
      </w:r>
      <w:r>
        <w:rPr>
          <w:rFonts w:hint="eastAsia" w:ascii="宋体" w:hAnsi="宋体" w:cs="宋体"/>
          <w:b/>
          <w:bCs/>
          <w:snapToGrid w:val="0"/>
          <w:color w:val="000000"/>
          <w:kern w:val="0"/>
          <w:sz w:val="28"/>
          <w:szCs w:val="28"/>
        </w:rPr>
        <w:t>过程</w:t>
      </w:r>
      <w:r>
        <w:rPr>
          <w:rFonts w:hint="eastAsia" w:ascii="宋体" w:hAnsi="宋体" w:cs="宋体"/>
          <w:b/>
          <w:bCs/>
          <w:snapToGrid w:val="0"/>
          <w:color w:val="000000"/>
          <w:kern w:val="0"/>
          <w:sz w:val="28"/>
          <w:szCs w:val="28"/>
          <w:lang w:val="en-US" w:eastAsia="zh-CN"/>
        </w:rPr>
        <w:t>测量</w:t>
      </w:r>
      <w:r>
        <w:rPr>
          <w:rFonts w:hint="eastAsia" w:ascii="宋体" w:hAnsi="宋体" w:cs="宋体"/>
          <w:b/>
          <w:bCs/>
          <w:snapToGrid w:val="0"/>
          <w:color w:val="000000"/>
          <w:kern w:val="0"/>
          <w:sz w:val="28"/>
          <w:szCs w:val="28"/>
        </w:rPr>
        <w:t>不确定评定报告</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b/>
          <w:bCs/>
          <w:color w:val="000000"/>
          <w:sz w:val="21"/>
          <w:szCs w:val="21"/>
        </w:rPr>
        <w:t>1、测量过程</w:t>
      </w:r>
      <w:r>
        <w:rPr>
          <w:rFonts w:hint="default" w:ascii="Times New Roman" w:hAnsi="Times New Roman" w:eastAsia="宋体" w:cs="Times New Roman"/>
          <w:b/>
          <w:color w:val="000000"/>
          <w:sz w:val="21"/>
          <w:szCs w:val="21"/>
        </w:rPr>
        <w:br w:type="textWrapping"/>
      </w:r>
      <w:r>
        <w:rPr>
          <w:rFonts w:hint="default" w:ascii="Times New Roman" w:hAnsi="Times New Roman" w:eastAsia="宋体" w:cs="Times New Roman"/>
          <w:color w:val="000000"/>
          <w:sz w:val="21"/>
          <w:szCs w:val="21"/>
        </w:rPr>
        <w:t>1.1、</w:t>
      </w:r>
      <w:r>
        <w:rPr>
          <w:rFonts w:hint="default" w:ascii="Times New Roman" w:hAnsi="Times New Roman" w:eastAsia="宋体" w:cs="Times New Roman"/>
          <w:sz w:val="21"/>
          <w:szCs w:val="21"/>
        </w:rPr>
        <w:t>测量方法：</w:t>
      </w:r>
      <w:r>
        <w:rPr>
          <w:rFonts w:hint="eastAsia" w:cs="Times New Roman"/>
          <w:sz w:val="21"/>
          <w:szCs w:val="21"/>
          <w:lang w:val="en-US" w:eastAsia="zh-CN"/>
        </w:rPr>
        <w:t>HS</w:t>
      </w:r>
      <w:r>
        <w:rPr>
          <w:rFonts w:hint="eastAsia" w:ascii="Times New Roman" w:hAnsi="Times New Roman" w:eastAsia="宋体" w:cs="Times New Roman"/>
          <w:b w:val="0"/>
          <w:bCs w:val="0"/>
          <w:snapToGrid w:val="0"/>
          <w:color w:val="auto"/>
          <w:kern w:val="0"/>
          <w:sz w:val="21"/>
          <w:szCs w:val="21"/>
          <w:lang w:val="en-US" w:eastAsia="zh-CN"/>
        </w:rPr>
        <w:t>-ZD-202</w:t>
      </w:r>
      <w:r>
        <w:rPr>
          <w:rFonts w:hint="eastAsia" w:cs="Times New Roman"/>
          <w:b w:val="0"/>
          <w:bCs w:val="0"/>
          <w:snapToGrid w:val="0"/>
          <w:color w:val="auto"/>
          <w:kern w:val="0"/>
          <w:sz w:val="21"/>
          <w:szCs w:val="21"/>
          <w:lang w:val="en-US" w:eastAsia="zh-CN"/>
        </w:rPr>
        <w:t>1</w:t>
      </w:r>
      <w:r>
        <w:rPr>
          <w:rFonts w:hint="eastAsia" w:ascii="Times New Roman" w:hAnsi="Times New Roman" w:eastAsia="宋体" w:cs="Times New Roman"/>
          <w:b w:val="0"/>
          <w:bCs w:val="0"/>
          <w:snapToGrid w:val="0"/>
          <w:color w:val="auto"/>
          <w:kern w:val="0"/>
          <w:sz w:val="21"/>
          <w:szCs w:val="21"/>
          <w:lang w:val="en-US" w:eastAsia="zh-CN"/>
        </w:rPr>
        <w:t>01《游标卡尺测量作业指导书》</w:t>
      </w:r>
      <w:r>
        <w:rPr>
          <w:rFonts w:hint="default" w:ascii="Times New Roman" w:hAnsi="Times New Roman" w:eastAsia="宋体" w:cs="Times New Roman"/>
          <w:sz w:val="21"/>
          <w:szCs w:val="21"/>
        </w:rPr>
        <w:t>。　</w:t>
      </w:r>
      <w:r>
        <w:rPr>
          <w:rFonts w:hint="default" w:ascii="Times New Roman" w:hAnsi="Times New Roman" w:eastAsia="宋体" w:cs="Times New Roman"/>
          <w:color w:val="000000"/>
          <w:sz w:val="21"/>
          <w:szCs w:val="21"/>
        </w:rPr>
        <w:t xml:space="preserve"> </w:t>
      </w:r>
    </w:p>
    <w:p>
      <w:pPr>
        <w:spacing w:line="360" w:lineRule="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1.2、环境条件：</w:t>
      </w:r>
      <w:r>
        <w:rPr>
          <w:rFonts w:hint="default" w:ascii="Times New Roman" w:hAnsi="Times New Roman" w:eastAsia="宋体" w:cs="Times New Roman"/>
          <w:color w:val="000000"/>
          <w:sz w:val="21"/>
          <w:szCs w:val="21"/>
          <w:lang w:val="en-US" w:eastAsia="zh-CN"/>
        </w:rPr>
        <w:t>常温</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1.3、</w:t>
      </w:r>
      <w:r>
        <w:rPr>
          <w:rFonts w:hint="default" w:ascii="Times New Roman" w:hAnsi="Times New Roman" w:eastAsia="宋体" w:cs="Times New Roman"/>
          <w:color w:val="000000"/>
          <w:sz w:val="21"/>
          <w:szCs w:val="21"/>
          <w:lang w:val="en-US" w:eastAsia="zh-CN"/>
        </w:rPr>
        <w:t>测量</w:t>
      </w:r>
      <w:r>
        <w:rPr>
          <w:rFonts w:hint="default" w:ascii="Times New Roman" w:hAnsi="Times New Roman" w:eastAsia="宋体" w:cs="Times New Roman"/>
          <w:color w:val="000000"/>
          <w:sz w:val="21"/>
          <w:szCs w:val="21"/>
        </w:rPr>
        <w:t>设备：</w:t>
      </w:r>
      <w:r>
        <w:rPr>
          <w:rFonts w:hint="default" w:ascii="Times New Roman" w:hAnsi="Times New Roman" w:eastAsia="宋体" w:cs="Times New Roman"/>
          <w:color w:val="000000"/>
          <w:sz w:val="21"/>
          <w:szCs w:val="21"/>
          <w:lang w:val="en-US" w:eastAsia="zh-CN"/>
        </w:rPr>
        <w:t>游标卡尺</w:t>
      </w:r>
      <w:r>
        <w:rPr>
          <w:rFonts w:hint="default" w:ascii="Times New Roman" w:hAnsi="Times New Roman" w:eastAsia="宋体" w:cs="Times New Roman"/>
          <w:color w:val="0D0D0D" w:themeColor="text1" w:themeTint="F2"/>
          <w:sz w:val="21"/>
          <w:szCs w:val="21"/>
          <w14:textFill>
            <w14:solidFill>
              <w14:schemeClr w14:val="tx1">
                <w14:lumMod w14:val="95000"/>
                <w14:lumOff w14:val="5000"/>
              </w14:schemeClr>
            </w14:solidFill>
          </w14:textFill>
        </w:rPr>
        <w:t>，测量范围为（0-</w:t>
      </w:r>
      <w:r>
        <w:rPr>
          <w:rFonts w:hint="eastAsia" w:cs="Times New Roman"/>
          <w:color w:val="0D0D0D" w:themeColor="text1" w:themeTint="F2"/>
          <w:sz w:val="21"/>
          <w:szCs w:val="21"/>
          <w:lang w:val="en-US" w:eastAsia="zh-CN"/>
          <w14:textFill>
            <w14:solidFill>
              <w14:schemeClr w14:val="tx1">
                <w14:lumMod w14:val="95000"/>
                <w14:lumOff w14:val="5000"/>
              </w14:schemeClr>
            </w14:solidFill>
          </w14:textFill>
        </w:rPr>
        <w:t>15</w:t>
      </w:r>
      <w:r>
        <w:rPr>
          <w:rFonts w:hint="default" w:ascii="Times New Roman" w:hAnsi="Times New Roman" w:eastAsia="宋体" w:cs="Times New Roman"/>
          <w:color w:val="0D0D0D" w:themeColor="text1" w:themeTint="F2"/>
          <w:sz w:val="21"/>
          <w:szCs w:val="21"/>
          <w:lang w:val="en-US" w:eastAsia="zh-CN"/>
          <w14:textFill>
            <w14:solidFill>
              <w14:schemeClr w14:val="tx1">
                <w14:lumMod w14:val="95000"/>
                <w14:lumOff w14:val="5000"/>
              </w14:schemeClr>
            </w14:solidFill>
          </w14:textFill>
        </w:rPr>
        <w:t>0</w:t>
      </w:r>
      <w:r>
        <w:rPr>
          <w:rFonts w:hint="default" w:ascii="Times New Roman" w:hAnsi="Times New Roman" w:eastAsia="宋体" w:cs="Times New Roman"/>
          <w:color w:val="0D0D0D" w:themeColor="text1" w:themeTint="F2"/>
          <w:sz w:val="21"/>
          <w:szCs w:val="21"/>
          <w14:textFill>
            <w14:solidFill>
              <w14:schemeClr w14:val="tx1">
                <w14:lumMod w14:val="95000"/>
                <w14:lumOff w14:val="5000"/>
              </w14:schemeClr>
            </w14:solidFill>
          </w14:textFill>
        </w:rPr>
        <w:t>）mm,</w:t>
      </w:r>
      <w:r>
        <w:rPr>
          <w:rFonts w:hint="default" w:ascii="Times New Roman" w:hAnsi="Times New Roman" w:eastAsia="宋体" w:cs="Times New Roman"/>
          <w:color w:val="000000"/>
          <w:sz w:val="21"/>
          <w:szCs w:val="21"/>
        </w:rPr>
        <w:t>其</w:t>
      </w:r>
      <w:r>
        <w:rPr>
          <w:rFonts w:hint="default" w:ascii="Times New Roman" w:hAnsi="Times New Roman" w:eastAsia="宋体" w:cs="Times New Roman"/>
          <w:color w:val="000000"/>
          <w:sz w:val="21"/>
          <w:szCs w:val="21"/>
          <w:lang w:val="en-US" w:eastAsia="zh-CN"/>
        </w:rPr>
        <w:t>最大</w:t>
      </w:r>
      <w:r>
        <w:rPr>
          <w:rFonts w:hint="default" w:ascii="Times New Roman" w:hAnsi="Times New Roman" w:eastAsia="宋体" w:cs="Times New Roman"/>
          <w:color w:val="000000"/>
          <w:sz w:val="21"/>
          <w:szCs w:val="21"/>
        </w:rPr>
        <w:t>允</w:t>
      </w:r>
      <w:r>
        <w:rPr>
          <w:rFonts w:hint="default" w:ascii="Times New Roman" w:hAnsi="Times New Roman" w:eastAsia="宋体" w:cs="Times New Roman"/>
          <w:color w:val="000000"/>
          <w:sz w:val="21"/>
          <w:szCs w:val="21"/>
          <w:lang w:val="en-US" w:eastAsia="zh-CN"/>
        </w:rPr>
        <w:t>许误差</w:t>
      </w:r>
      <w:r>
        <w:rPr>
          <w:rFonts w:hint="default" w:ascii="Times New Roman" w:hAnsi="Times New Roman" w:eastAsia="宋体" w:cs="Times New Roman"/>
          <w:color w:val="000000"/>
          <w:sz w:val="21"/>
          <w:szCs w:val="21"/>
        </w:rPr>
        <w:t>为±0.</w:t>
      </w:r>
      <w:r>
        <w:rPr>
          <w:rFonts w:hint="default" w:ascii="Times New Roman" w:hAnsi="Times New Roman" w:eastAsia="宋体" w:cs="Times New Roman"/>
          <w:color w:val="000000"/>
          <w:sz w:val="21"/>
          <w:szCs w:val="21"/>
          <w:lang w:val="en-US" w:eastAsia="zh-CN"/>
        </w:rPr>
        <w:t>0</w:t>
      </w:r>
      <w:r>
        <w:rPr>
          <w:rFonts w:hint="eastAsia" w:cs="Times New Roman"/>
          <w:color w:val="000000"/>
          <w:sz w:val="21"/>
          <w:szCs w:val="21"/>
          <w:lang w:val="en-US" w:eastAsia="zh-CN"/>
        </w:rPr>
        <w:t>3</w:t>
      </w:r>
      <w:r>
        <w:rPr>
          <w:rFonts w:hint="default" w:ascii="Times New Roman" w:hAnsi="Times New Roman" w:eastAsia="宋体" w:cs="Times New Roman"/>
          <w:color w:val="000000"/>
          <w:sz w:val="21"/>
          <w:szCs w:val="21"/>
        </w:rPr>
        <w:t>mm。</w:t>
      </w:r>
    </w:p>
    <w:p>
      <w:pPr>
        <w:spacing w:line="360" w:lineRule="auto"/>
        <w:rPr>
          <w:rFonts w:hint="eastAsia" w:ascii="Times New Roman" w:hAnsi="Times New Roman" w:eastAsia="宋体" w:cs="Times New Roman"/>
          <w:b w:val="0"/>
          <w:bCs w:val="0"/>
          <w:sz w:val="21"/>
          <w:szCs w:val="21"/>
          <w:lang w:eastAsia="zh-CN"/>
        </w:rPr>
      </w:pPr>
      <w:r>
        <w:rPr>
          <w:rFonts w:hint="default" w:ascii="Times New Roman" w:hAnsi="Times New Roman" w:eastAsia="宋体" w:cs="Times New Roman"/>
          <w:color w:val="000000"/>
          <w:sz w:val="21"/>
          <w:szCs w:val="21"/>
        </w:rPr>
        <w:t>1.4、被测对象：</w:t>
      </w:r>
      <w:r>
        <w:rPr>
          <w:rFonts w:hint="eastAsia" w:cs="Times New Roman"/>
          <w:color w:val="000000"/>
          <w:sz w:val="21"/>
          <w:szCs w:val="21"/>
          <w:lang w:eastAsia="zh-CN"/>
        </w:rPr>
        <w:t>孔</w:t>
      </w:r>
      <w:r>
        <w:rPr>
          <w:rFonts w:hint="eastAsia" w:ascii="Times New Roman" w:hAnsi="Times New Roman" w:eastAsia="宋体" w:cs="Times New Roman"/>
          <w:b w:val="0"/>
          <w:bCs w:val="0"/>
          <w:sz w:val="21"/>
          <w:szCs w:val="21"/>
          <w:lang w:eastAsia="zh-CN"/>
        </w:rPr>
        <w:t>径尺寸</w:t>
      </w:r>
    </w:p>
    <w:p>
      <w:pPr>
        <w:spacing w:line="360" w:lineRule="auto"/>
        <w:rPr>
          <w:rFonts w:hint="default" w:ascii="Times New Roman" w:hAnsi="Times New Roman" w:eastAsia="宋体" w:cs="Times New Roman"/>
          <w:b/>
          <w:bCs/>
          <w:color w:val="000000"/>
          <w:sz w:val="21"/>
          <w:szCs w:val="21"/>
        </w:rPr>
      </w:pPr>
      <w:r>
        <w:rPr>
          <w:rFonts w:hint="default" w:ascii="Times New Roman" w:hAnsi="Times New Roman" w:eastAsia="宋体" w:cs="Times New Roman"/>
          <w:sz w:val="21"/>
          <w:szCs w:val="21"/>
        </w:rPr>
        <w:t>1.5、测量过程：用</w:t>
      </w:r>
      <w:r>
        <w:rPr>
          <w:rFonts w:hint="default" w:ascii="Times New Roman" w:hAnsi="Times New Roman" w:eastAsia="宋体" w:cs="Times New Roman"/>
          <w:sz w:val="21"/>
          <w:szCs w:val="21"/>
          <w:lang w:val="en-US" w:eastAsia="zh-CN"/>
        </w:rPr>
        <w:t>游标</w:t>
      </w:r>
      <w:r>
        <w:rPr>
          <w:rFonts w:hint="default" w:ascii="Times New Roman" w:hAnsi="Times New Roman" w:eastAsia="宋体" w:cs="Times New Roman"/>
          <w:b w:val="0"/>
          <w:bCs w:val="0"/>
          <w:sz w:val="21"/>
          <w:szCs w:val="21"/>
          <w:lang w:val="en-US" w:eastAsia="zh-CN"/>
        </w:rPr>
        <w:t>卡尺在被</w:t>
      </w:r>
      <w:r>
        <w:rPr>
          <w:rFonts w:hint="eastAsia" w:cs="Times New Roman"/>
          <w:b w:val="0"/>
          <w:bCs w:val="0"/>
          <w:sz w:val="21"/>
          <w:szCs w:val="21"/>
          <w:lang w:eastAsia="zh-CN"/>
        </w:rPr>
        <w:t>孔径</w:t>
      </w:r>
      <w:r>
        <w:rPr>
          <w:rFonts w:hint="default" w:ascii="Times New Roman" w:hAnsi="Times New Roman" w:eastAsia="宋体" w:cs="Times New Roman"/>
          <w:b w:val="0"/>
          <w:bCs w:val="0"/>
          <w:sz w:val="21"/>
          <w:szCs w:val="21"/>
          <w:lang w:val="en-US" w:eastAsia="zh-CN"/>
        </w:rPr>
        <w:t>上进行测量，并</w:t>
      </w:r>
      <w:r>
        <w:rPr>
          <w:rFonts w:hint="default" w:ascii="Times New Roman" w:hAnsi="Times New Roman" w:eastAsia="宋体" w:cs="Times New Roman"/>
          <w:sz w:val="21"/>
          <w:szCs w:val="21"/>
        </w:rPr>
        <w:t>直接读出数据。</w:t>
      </w:r>
    </w:p>
    <w:p>
      <w:pPr>
        <w:autoSpaceDE w:val="0"/>
        <w:autoSpaceDN w:val="0"/>
        <w:adjustRightInd w:val="0"/>
        <w:spacing w:line="360" w:lineRule="auto"/>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sz w:val="21"/>
          <w:szCs w:val="21"/>
        </w:rPr>
        <w:t>2、数学模型</w:t>
      </w:r>
      <w:r>
        <w:rPr>
          <w:rFonts w:hint="default" w:ascii="Times New Roman" w:hAnsi="Times New Roman" w:eastAsia="宋体" w:cs="Times New Roman"/>
          <w:sz w:val="21"/>
          <w:szCs w:val="21"/>
        </w:rPr>
        <w:t xml:space="preserve"> </w:t>
      </w:r>
    </w:p>
    <w:p>
      <w:pPr>
        <w:autoSpaceDE w:val="0"/>
        <w:autoSpaceDN w:val="0"/>
        <w:adjustRightInd w:val="0"/>
        <w:spacing w:line="360" w:lineRule="auto"/>
        <w:ind w:firstLine="1050" w:firstLineChars="5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f=m       </w:t>
      </w:r>
    </w:p>
    <w:p>
      <w:pPr>
        <w:autoSpaceDE w:val="0"/>
        <w:autoSpaceDN w:val="0"/>
        <w:adjustRightInd w:val="0"/>
        <w:spacing w:line="36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式中：f－为被</w:t>
      </w:r>
      <w:r>
        <w:rPr>
          <w:rFonts w:hint="default" w:ascii="Times New Roman" w:hAnsi="Times New Roman" w:eastAsia="宋体" w:cs="Times New Roman"/>
          <w:kern w:val="0"/>
          <w:sz w:val="21"/>
          <w:szCs w:val="21"/>
          <w:lang w:val="en-US" w:eastAsia="zh-CN"/>
        </w:rPr>
        <w:t>测上</w:t>
      </w:r>
      <w:r>
        <w:rPr>
          <w:rFonts w:hint="eastAsia" w:cs="Times New Roman"/>
          <w:kern w:val="0"/>
          <w:sz w:val="21"/>
          <w:szCs w:val="21"/>
          <w:lang w:val="en-US" w:eastAsia="zh-CN"/>
        </w:rPr>
        <w:t>孔径</w:t>
      </w:r>
      <w:r>
        <w:rPr>
          <w:rFonts w:hint="default" w:ascii="Times New Roman" w:hAnsi="Times New Roman" w:eastAsia="宋体" w:cs="Times New Roman"/>
          <w:kern w:val="0"/>
          <w:sz w:val="21"/>
          <w:szCs w:val="21"/>
          <w:lang w:val="en-US" w:eastAsia="zh-CN"/>
        </w:rPr>
        <w:t>尺寸</w:t>
      </w:r>
      <w:r>
        <w:rPr>
          <w:rFonts w:hint="default" w:ascii="Times New Roman" w:hAnsi="Times New Roman" w:eastAsia="宋体" w:cs="Times New Roman"/>
          <w:kern w:val="0"/>
          <w:sz w:val="21"/>
          <w:szCs w:val="21"/>
        </w:rPr>
        <w:t>；</w:t>
      </w:r>
    </w:p>
    <w:p>
      <w:pPr>
        <w:autoSpaceDE w:val="0"/>
        <w:autoSpaceDN w:val="0"/>
        <w:adjustRightInd w:val="0"/>
        <w:spacing w:line="360" w:lineRule="auto"/>
        <w:ind w:firstLine="1050" w:firstLineChars="500"/>
        <w:jc w:val="left"/>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m－为</w:t>
      </w:r>
      <w:r>
        <w:rPr>
          <w:rFonts w:hint="default" w:ascii="Times New Roman" w:hAnsi="Times New Roman" w:eastAsia="宋体" w:cs="Times New Roman"/>
          <w:kern w:val="0"/>
          <w:sz w:val="21"/>
          <w:szCs w:val="21"/>
          <w:lang w:val="en-US" w:eastAsia="zh-CN"/>
        </w:rPr>
        <w:t>游标卡尺的</w:t>
      </w:r>
      <w:r>
        <w:rPr>
          <w:rFonts w:hint="default" w:ascii="Times New Roman" w:hAnsi="Times New Roman" w:eastAsia="宋体" w:cs="Times New Roman"/>
          <w:kern w:val="0"/>
          <w:sz w:val="21"/>
          <w:szCs w:val="21"/>
        </w:rPr>
        <w:t>读数值。</w:t>
      </w:r>
    </w:p>
    <w:p>
      <w:pPr>
        <w:numPr>
          <w:ilvl w:val="0"/>
          <w:numId w:val="1"/>
        </w:num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输入量的标准不确定度评定</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输入量的不确定度来源主要是：测量重复性引起的不确定度u</w:t>
      </w:r>
      <w:r>
        <w:rPr>
          <w:rFonts w:hint="default" w:ascii="Times New Roman" w:hAnsi="Times New Roman" w:eastAsia="宋体" w:cs="Times New Roman"/>
          <w:sz w:val="21"/>
          <w:szCs w:val="21"/>
          <w:vertAlign w:val="subscript"/>
        </w:rPr>
        <w:t>1</w:t>
      </w:r>
      <w:r>
        <w:rPr>
          <w:rFonts w:hint="default" w:ascii="Times New Roman" w:hAnsi="Times New Roman" w:eastAsia="宋体" w:cs="Times New Roman"/>
          <w:b/>
          <w:bCs/>
          <w:sz w:val="21"/>
          <w:szCs w:val="21"/>
        </w:rPr>
        <w:t>；</w:t>
      </w:r>
      <w:r>
        <w:rPr>
          <w:rFonts w:hint="default" w:ascii="Times New Roman" w:hAnsi="Times New Roman" w:eastAsia="宋体" w:cs="Times New Roman"/>
          <w:bCs/>
          <w:sz w:val="21"/>
          <w:szCs w:val="21"/>
        </w:rPr>
        <w:t>测量设备</w:t>
      </w:r>
      <w:r>
        <w:rPr>
          <w:rFonts w:hint="default" w:ascii="Times New Roman" w:hAnsi="Times New Roman" w:eastAsia="宋体" w:cs="Times New Roman"/>
          <w:sz w:val="21"/>
          <w:szCs w:val="21"/>
        </w:rPr>
        <w:t>引入的标准不确定度u</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bCs/>
          <w:sz w:val="21"/>
          <w:szCs w:val="21"/>
        </w:rPr>
        <w:t>。</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3.1测量重复性引起的标准不确定度u</w:t>
      </w:r>
      <w:r>
        <w:rPr>
          <w:rFonts w:hint="default" w:ascii="Times New Roman" w:hAnsi="Times New Roman" w:eastAsia="宋体" w:cs="Times New Roman"/>
          <w:sz w:val="21"/>
          <w:szCs w:val="21"/>
          <w:vertAlign w:val="subscript"/>
        </w:rPr>
        <w:t>1</w:t>
      </w:r>
      <w:r>
        <w:rPr>
          <w:rFonts w:hint="default" w:ascii="Times New Roman" w:hAnsi="Times New Roman" w:eastAsia="宋体" w:cs="Times New Roman"/>
          <w:sz w:val="21"/>
          <w:szCs w:val="21"/>
        </w:rPr>
        <w:t>的评定</w:t>
      </w:r>
    </w:p>
    <w:p>
      <w:pPr>
        <w:spacing w:line="36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输入量测量重复性不确定度的来源主要是测量重复性引起的标准不确定度。</w:t>
      </w:r>
    </w:p>
    <w:p>
      <w:pPr>
        <w:spacing w:line="36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做A类评定测量：在</w:t>
      </w:r>
      <w:r>
        <w:rPr>
          <w:rFonts w:hint="default" w:ascii="Times New Roman" w:hAnsi="Times New Roman" w:eastAsia="宋体" w:cs="Times New Roman"/>
          <w:sz w:val="21"/>
          <w:szCs w:val="21"/>
          <w:lang w:val="en-US" w:eastAsia="zh-CN"/>
        </w:rPr>
        <w:t>游标卡尺</w:t>
      </w:r>
      <w:r>
        <w:rPr>
          <w:rFonts w:hint="default" w:ascii="Times New Roman" w:hAnsi="Times New Roman" w:eastAsia="宋体" w:cs="Times New Roman"/>
          <w:sz w:val="21"/>
          <w:szCs w:val="21"/>
        </w:rPr>
        <w:t>正常工作状态下，同一组人，用同一台设备，在相临近的时间内，对被测</w:t>
      </w:r>
      <w:r>
        <w:rPr>
          <w:rFonts w:hint="default" w:ascii="Times New Roman" w:hAnsi="Times New Roman" w:eastAsia="宋体" w:cs="Times New Roman"/>
          <w:sz w:val="21"/>
          <w:szCs w:val="21"/>
          <w:lang w:val="en-US" w:eastAsia="zh-CN"/>
        </w:rPr>
        <w:t>光缆</w:t>
      </w:r>
      <w:r>
        <w:rPr>
          <w:rFonts w:hint="default" w:ascii="Times New Roman" w:hAnsi="Times New Roman" w:eastAsia="宋体" w:cs="Times New Roman"/>
          <w:sz w:val="21"/>
          <w:szCs w:val="21"/>
        </w:rPr>
        <w:t>连续测量10次，得到10个数据汇于表1：</w:t>
      </w:r>
    </w:p>
    <w:p>
      <w:pPr>
        <w:spacing w:line="360" w:lineRule="auto"/>
        <w:ind w:firstLine="3150" w:firstLineChars="15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表1重复性数据</w:t>
      </w:r>
    </w:p>
    <w:tbl>
      <w:tblPr>
        <w:tblStyle w:val="6"/>
        <w:tblpPr w:leftFromText="180" w:rightFromText="180" w:vertAnchor="text" w:horzAnchor="page" w:tblpX="1485" w:tblpY="244"/>
        <w:tblOverlap w:val="never"/>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831"/>
        <w:gridCol w:w="694"/>
        <w:gridCol w:w="789"/>
        <w:gridCol w:w="746"/>
        <w:gridCol w:w="848"/>
        <w:gridCol w:w="763"/>
        <w:gridCol w:w="748"/>
        <w:gridCol w:w="812"/>
        <w:gridCol w:w="880"/>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672" w:type="dxa"/>
            <w:vAlign w:val="center"/>
          </w:tcPr>
          <w:p>
            <w:pPr>
              <w:widowControl/>
              <w:adjustRightInd w:val="0"/>
              <w:spacing w:line="360" w:lineRule="auto"/>
              <w:ind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831" w:type="dxa"/>
            <w:vAlign w:val="center"/>
          </w:tcPr>
          <w:p>
            <w:pPr>
              <w:widowControl/>
              <w:adjustRightInd w:val="0"/>
              <w:spacing w:line="360" w:lineRule="auto"/>
              <w:ind w:left="237" w:leftChars="11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694" w:type="dxa"/>
            <w:vAlign w:val="center"/>
          </w:tcPr>
          <w:p>
            <w:pPr>
              <w:widowControl/>
              <w:adjustRightInd w:val="0"/>
              <w:spacing w:line="360" w:lineRule="auto"/>
              <w:ind w:left="237"/>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789" w:type="dxa"/>
            <w:vAlign w:val="center"/>
          </w:tcPr>
          <w:p>
            <w:pPr>
              <w:widowControl/>
              <w:adjustRightInd w:val="0"/>
              <w:spacing w:line="360" w:lineRule="auto"/>
              <w:ind w:left="25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746" w:type="dxa"/>
            <w:vAlign w:val="center"/>
          </w:tcPr>
          <w:p>
            <w:pPr>
              <w:widowControl/>
              <w:adjustRightInd w:val="0"/>
              <w:spacing w:line="360" w:lineRule="auto"/>
              <w:ind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848" w:type="dxa"/>
            <w:vAlign w:val="center"/>
          </w:tcPr>
          <w:p>
            <w:pPr>
              <w:widowControl/>
              <w:adjustRightInd w:val="0"/>
              <w:spacing w:line="360" w:lineRule="auto"/>
              <w:ind w:left="103" w:leftChars="49"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763" w:type="dxa"/>
            <w:vAlign w:val="center"/>
          </w:tcPr>
          <w:p>
            <w:pPr>
              <w:widowControl/>
              <w:adjustRightInd w:val="0"/>
              <w:spacing w:line="360" w:lineRule="auto"/>
              <w:ind w:left="237" w:leftChars="11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748" w:type="dxa"/>
            <w:vAlign w:val="center"/>
          </w:tcPr>
          <w:p>
            <w:pPr>
              <w:widowControl/>
              <w:adjustRightInd w:val="0"/>
              <w:spacing w:line="360" w:lineRule="auto"/>
              <w:ind w:left="237"/>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812" w:type="dxa"/>
            <w:vAlign w:val="center"/>
          </w:tcPr>
          <w:p>
            <w:pPr>
              <w:widowControl/>
              <w:adjustRightInd w:val="0"/>
              <w:spacing w:line="360" w:lineRule="auto"/>
              <w:ind w:left="25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880" w:type="dxa"/>
            <w:vAlign w:val="center"/>
          </w:tcPr>
          <w:p>
            <w:pPr>
              <w:widowControl/>
              <w:adjustRightInd w:val="0"/>
              <w:spacing w:line="360" w:lineRule="auto"/>
              <w:ind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788" w:type="dxa"/>
            <w:vAlign w:val="center"/>
          </w:tcPr>
          <w:p>
            <w:pPr>
              <w:widowControl/>
              <w:adjustRightInd w:val="0"/>
              <w:spacing w:line="360" w:lineRule="auto"/>
              <w:ind w:left="103" w:leftChars="49"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672" w:type="dxa"/>
            <w:vAlign w:val="center"/>
          </w:tcPr>
          <w:p>
            <w:pPr>
              <w:widowControl/>
              <w:adjustRightInd w:val="0"/>
              <w:spacing w:line="36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m</w:t>
            </w:r>
            <w:r>
              <w:rPr>
                <w:rFonts w:hint="default" w:ascii="Times New Roman" w:hAnsi="Times New Roman" w:eastAsia="宋体" w:cs="Times New Roman"/>
                <w:sz w:val="21"/>
                <w:szCs w:val="21"/>
              </w:rPr>
              <w:t>读数值(mm)</w:t>
            </w:r>
          </w:p>
        </w:tc>
        <w:tc>
          <w:tcPr>
            <w:tcW w:w="831" w:type="dxa"/>
            <w:vAlign w:val="bottom"/>
          </w:tcPr>
          <w:p>
            <w:pPr>
              <w:keepNext w:val="0"/>
              <w:keepLines w:val="0"/>
              <w:widowControl/>
              <w:suppressLineNumbers w:val="0"/>
              <w:jc w:val="center"/>
              <w:textAlignment w:val="bottom"/>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C0C0C"/>
                <w:kern w:val="0"/>
                <w:sz w:val="21"/>
                <w:szCs w:val="21"/>
                <w:u w:val="none"/>
                <w:lang w:val="en-US" w:eastAsia="zh-CN" w:bidi="ar"/>
              </w:rPr>
              <w:t>13.22</w:t>
            </w:r>
          </w:p>
        </w:tc>
        <w:tc>
          <w:tcPr>
            <w:tcW w:w="694" w:type="dxa"/>
            <w:vAlign w:val="bottom"/>
          </w:tcPr>
          <w:p>
            <w:pPr>
              <w:keepNext w:val="0"/>
              <w:keepLines w:val="0"/>
              <w:widowControl/>
              <w:suppressLineNumbers w:val="0"/>
              <w:jc w:val="center"/>
              <w:textAlignment w:val="bottom"/>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C0C0C"/>
                <w:kern w:val="0"/>
                <w:sz w:val="21"/>
                <w:szCs w:val="21"/>
                <w:u w:val="none"/>
                <w:lang w:val="en-US" w:eastAsia="zh-CN" w:bidi="ar"/>
              </w:rPr>
              <w:t>13.24</w:t>
            </w:r>
          </w:p>
        </w:tc>
        <w:tc>
          <w:tcPr>
            <w:tcW w:w="789" w:type="dxa"/>
            <w:vAlign w:val="bottom"/>
          </w:tcPr>
          <w:p>
            <w:pPr>
              <w:keepNext w:val="0"/>
              <w:keepLines w:val="0"/>
              <w:widowControl/>
              <w:suppressLineNumbers w:val="0"/>
              <w:jc w:val="center"/>
              <w:textAlignment w:val="bottom"/>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C0C0C"/>
                <w:kern w:val="0"/>
                <w:sz w:val="21"/>
                <w:szCs w:val="21"/>
                <w:u w:val="none"/>
                <w:lang w:val="en-US" w:eastAsia="zh-CN" w:bidi="ar"/>
              </w:rPr>
              <w:t>13.26</w:t>
            </w:r>
          </w:p>
        </w:tc>
        <w:tc>
          <w:tcPr>
            <w:tcW w:w="746" w:type="dxa"/>
            <w:vAlign w:val="bottom"/>
          </w:tcPr>
          <w:p>
            <w:pPr>
              <w:keepNext w:val="0"/>
              <w:keepLines w:val="0"/>
              <w:widowControl/>
              <w:suppressLineNumbers w:val="0"/>
              <w:jc w:val="center"/>
              <w:textAlignment w:val="bottom"/>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C0C0C"/>
                <w:kern w:val="0"/>
                <w:sz w:val="21"/>
                <w:szCs w:val="21"/>
                <w:u w:val="none"/>
                <w:lang w:val="en-US" w:eastAsia="zh-CN" w:bidi="ar"/>
              </w:rPr>
              <w:t>13.22</w:t>
            </w:r>
          </w:p>
        </w:tc>
        <w:tc>
          <w:tcPr>
            <w:tcW w:w="848" w:type="dxa"/>
            <w:vAlign w:val="bottom"/>
          </w:tcPr>
          <w:p>
            <w:pPr>
              <w:keepNext w:val="0"/>
              <w:keepLines w:val="0"/>
              <w:widowControl/>
              <w:suppressLineNumbers w:val="0"/>
              <w:jc w:val="center"/>
              <w:textAlignment w:val="bottom"/>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C0C0C"/>
                <w:kern w:val="0"/>
                <w:sz w:val="21"/>
                <w:szCs w:val="21"/>
                <w:u w:val="none"/>
                <w:lang w:val="en-US" w:eastAsia="zh-CN" w:bidi="ar"/>
              </w:rPr>
              <w:t>13.26</w:t>
            </w:r>
          </w:p>
        </w:tc>
        <w:tc>
          <w:tcPr>
            <w:tcW w:w="763" w:type="dxa"/>
            <w:vAlign w:val="bottom"/>
          </w:tcPr>
          <w:p>
            <w:pPr>
              <w:keepNext w:val="0"/>
              <w:keepLines w:val="0"/>
              <w:widowControl/>
              <w:suppressLineNumbers w:val="0"/>
              <w:jc w:val="center"/>
              <w:textAlignment w:val="bottom"/>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C0C0C"/>
                <w:kern w:val="0"/>
                <w:sz w:val="21"/>
                <w:szCs w:val="21"/>
                <w:u w:val="none"/>
                <w:lang w:val="en-US" w:eastAsia="zh-CN" w:bidi="ar"/>
              </w:rPr>
              <w:t>13.24</w:t>
            </w:r>
          </w:p>
        </w:tc>
        <w:tc>
          <w:tcPr>
            <w:tcW w:w="748" w:type="dxa"/>
            <w:vAlign w:val="bottom"/>
          </w:tcPr>
          <w:p>
            <w:pPr>
              <w:keepNext w:val="0"/>
              <w:keepLines w:val="0"/>
              <w:widowControl/>
              <w:suppressLineNumbers w:val="0"/>
              <w:jc w:val="center"/>
              <w:textAlignment w:val="bottom"/>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C0C0C"/>
                <w:kern w:val="0"/>
                <w:sz w:val="21"/>
                <w:szCs w:val="21"/>
                <w:u w:val="none"/>
                <w:lang w:val="en-US" w:eastAsia="zh-CN" w:bidi="ar"/>
              </w:rPr>
              <w:t>13.44</w:t>
            </w:r>
          </w:p>
        </w:tc>
        <w:tc>
          <w:tcPr>
            <w:tcW w:w="812" w:type="dxa"/>
            <w:vAlign w:val="bottom"/>
          </w:tcPr>
          <w:p>
            <w:pPr>
              <w:keepNext w:val="0"/>
              <w:keepLines w:val="0"/>
              <w:widowControl/>
              <w:suppressLineNumbers w:val="0"/>
              <w:jc w:val="center"/>
              <w:textAlignment w:val="bottom"/>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C0C0C"/>
                <w:kern w:val="0"/>
                <w:sz w:val="21"/>
                <w:szCs w:val="21"/>
                <w:u w:val="none"/>
                <w:lang w:val="en-US" w:eastAsia="zh-CN" w:bidi="ar"/>
              </w:rPr>
              <w:t>13.24</w:t>
            </w:r>
          </w:p>
        </w:tc>
        <w:tc>
          <w:tcPr>
            <w:tcW w:w="880" w:type="dxa"/>
            <w:vAlign w:val="bottom"/>
          </w:tcPr>
          <w:p>
            <w:pPr>
              <w:keepNext w:val="0"/>
              <w:keepLines w:val="0"/>
              <w:widowControl/>
              <w:suppressLineNumbers w:val="0"/>
              <w:jc w:val="center"/>
              <w:textAlignment w:val="bottom"/>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C0C0C"/>
                <w:kern w:val="0"/>
                <w:sz w:val="21"/>
                <w:szCs w:val="21"/>
                <w:u w:val="none"/>
                <w:lang w:val="en-US" w:eastAsia="zh-CN" w:bidi="ar"/>
              </w:rPr>
              <w:t>13.24</w:t>
            </w:r>
          </w:p>
        </w:tc>
        <w:tc>
          <w:tcPr>
            <w:tcW w:w="788" w:type="dxa"/>
            <w:vAlign w:val="bottom"/>
          </w:tcPr>
          <w:p>
            <w:pPr>
              <w:keepNext w:val="0"/>
              <w:keepLines w:val="0"/>
              <w:widowControl/>
              <w:suppressLineNumbers w:val="0"/>
              <w:jc w:val="center"/>
              <w:textAlignment w:val="bottom"/>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C0C0C"/>
                <w:kern w:val="0"/>
                <w:sz w:val="21"/>
                <w:szCs w:val="21"/>
                <w:u w:val="none"/>
                <w:lang w:val="en-US" w:eastAsia="zh-CN" w:bidi="ar"/>
              </w:rPr>
              <w:t>13.24</w:t>
            </w:r>
          </w:p>
        </w:tc>
      </w:tr>
    </w:tbl>
    <w:p>
      <w:pPr>
        <w:spacing w:line="360" w:lineRule="auto"/>
        <w:ind w:firstLine="630" w:firstLineChars="300"/>
        <w:rPr>
          <w:rFonts w:hint="default" w:ascii="Times New Roman" w:hAnsi="Times New Roman" w:eastAsia="宋体" w:cs="Times New Roman"/>
          <w:color w:val="0D0D0D" w:themeColor="text1" w:themeTint="F2"/>
          <w:sz w:val="21"/>
          <w:szCs w:val="21"/>
          <w14:textFill>
            <w14:solidFill>
              <w14:schemeClr w14:val="tx1">
                <w14:lumMod w14:val="95000"/>
                <w14:lumOff w14:val="5000"/>
              </w14:schemeClr>
            </w14:solidFill>
          </w14:textFill>
        </w:rPr>
      </w:pPr>
      <w:r>
        <w:rPr>
          <w:rFonts w:hint="default" w:ascii="Times New Roman" w:hAnsi="Times New Roman" w:eastAsia="宋体" w:cs="Times New Roman"/>
          <w:sz w:val="21"/>
          <w:szCs w:val="21"/>
        </w:rPr>
        <w:t>样品测量值的平均值：</w:t>
      </w:r>
      <w:r>
        <w:rPr>
          <w:rFonts w:hint="default" w:ascii="Times New Roman" w:hAnsi="Times New Roman" w:eastAsia="宋体" w:cs="Times New Roman"/>
          <w:i/>
          <w:position w:val="-24"/>
          <w:sz w:val="21"/>
          <w:szCs w:val="21"/>
        </w:rPr>
        <w:object>
          <v:shape id="_x0000_i1025" o:spt="75" type="#_x0000_t75" style="height:37pt;width:125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p>
    <w:p>
      <w:pPr>
        <w:widowControl/>
        <w:tabs>
          <w:tab w:val="center" w:pos="4360"/>
          <w:tab w:val="right" w:pos="8300"/>
        </w:tabs>
        <w:spacing w:line="360" w:lineRule="auto"/>
        <w:ind w:firstLine="630" w:firstLineChars="300"/>
        <w:rPr>
          <w:rFonts w:hint="default" w:ascii="Times New Roman" w:hAnsi="Times New Roman" w:eastAsia="宋体" w:cs="Times New Roman"/>
          <w:kern w:val="0"/>
          <w:position w:val="-26"/>
          <w:sz w:val="21"/>
          <w:szCs w:val="21"/>
        </w:rPr>
      </w:pPr>
      <w:r>
        <w:rPr>
          <w:rFonts w:hint="default" w:ascii="Times New Roman" w:hAnsi="Times New Roman" w:eastAsia="宋体" w:cs="Times New Roman"/>
          <w:kern w:val="0"/>
          <w:sz w:val="21"/>
          <w:szCs w:val="21"/>
        </w:rPr>
        <w:t>实验标准差</w:t>
      </w:r>
      <w:r>
        <w:rPr>
          <w:rFonts w:hint="eastAsia" w:cs="Times New Roman"/>
          <w:kern w:val="0"/>
          <w:sz w:val="21"/>
          <w:szCs w:val="21"/>
          <w:lang w:eastAsia="zh-CN"/>
        </w:rPr>
        <w:t>：</w:t>
      </w:r>
      <w:r>
        <w:rPr>
          <w:rFonts w:hint="default" w:ascii="Times New Roman" w:hAnsi="Times New Roman" w:eastAsia="宋体" w:cs="Times New Roman"/>
          <w:kern w:val="0"/>
          <w:position w:val="-26"/>
          <w:sz w:val="21"/>
          <w:szCs w:val="21"/>
        </w:rPr>
        <w:object>
          <v:shape id="_x0000_i1026" o:spt="75" type="#_x0000_t75" style="height:42.95pt;width:159pt;" o:ole="t" filled="f" o:preferrelative="t" stroked="f" coordsize="21600,21600">
            <v:path/>
            <v:fill on="f" focussize="0,0"/>
            <v:stroke on="f"/>
            <v:imagedata r:id="rId8" o:title=""/>
            <o:lock v:ext="edit" aspectratio="t"/>
            <w10:wrap type="none"/>
            <w10:anchorlock/>
          </v:shape>
          <o:OLEObject Type="Embed" ProgID="Equation.KSEE3" ShapeID="_x0000_i1026" DrawAspect="Content" ObjectID="_1468075726" r:id="rId7">
            <o:LockedField>false</o:LockedField>
          </o:OLEObject>
        </w:object>
      </w:r>
    </w:p>
    <w:p>
      <w:pPr>
        <w:keepNext w:val="0"/>
        <w:keepLines w:val="0"/>
        <w:pageBreakBefore w:val="0"/>
        <w:widowControl/>
        <w:tabs>
          <w:tab w:val="center" w:pos="4360"/>
          <w:tab w:val="right" w:pos="8300"/>
        </w:tabs>
        <w:kinsoku/>
        <w:wordWrap/>
        <w:overflowPunct/>
        <w:topLinePunct w:val="0"/>
        <w:bidi w:val="0"/>
        <w:snapToGrid/>
        <w:spacing w:line="360" w:lineRule="auto"/>
        <w:ind w:firstLine="420" w:firstLineChars="200"/>
        <w:textAlignment w:val="auto"/>
        <w:rPr>
          <w:rFonts w:hint="default" w:ascii="Times New Roman" w:hAnsi="Times New Roman" w:eastAsia="宋体" w:cs="Times New Roman"/>
          <w:kern w:val="0"/>
          <w:position w:val="-26"/>
          <w:sz w:val="21"/>
          <w:szCs w:val="21"/>
          <w:lang w:val="en-US" w:eastAsia="zh-CN"/>
        </w:rPr>
      </w:pPr>
      <w:r>
        <w:rPr>
          <w:rFonts w:hint="default" w:ascii="Times New Roman" w:hAnsi="Times New Roman" w:eastAsia="宋体" w:cs="Times New Roman"/>
          <w:kern w:val="0"/>
          <w:position w:val="-26"/>
          <w:sz w:val="21"/>
          <w:szCs w:val="21"/>
          <w:lang w:val="en-US" w:eastAsia="zh-CN"/>
        </w:rPr>
        <w:t xml:space="preserve">  </w:t>
      </w:r>
      <w:r>
        <w:rPr>
          <w:rFonts w:hint="default" w:ascii="Times New Roman" w:hAnsi="Times New Roman" w:eastAsia="宋体" w:cs="Times New Roman"/>
          <w:color w:val="000000" w:themeColor="text1"/>
          <w:kern w:val="0"/>
          <w:sz w:val="21"/>
          <w:szCs w:val="21"/>
          <w14:textFill>
            <w14:solidFill>
              <w14:schemeClr w14:val="tx1"/>
            </w14:solidFill>
          </w14:textFill>
        </w:rPr>
        <w:t>被测量估计值（</w:t>
      </w:r>
      <w:r>
        <w:rPr>
          <w:rFonts w:hint="default" w:ascii="Times New Roman" w:hAnsi="Times New Roman" w:eastAsia="宋体" w:cs="Times New Roman"/>
          <w:color w:val="000000" w:themeColor="text1"/>
          <w:kern w:val="0"/>
          <w:position w:val="-4"/>
          <w:sz w:val="21"/>
          <w:szCs w:val="21"/>
          <w14:textFill>
            <w14:solidFill>
              <w14:schemeClr w14:val="tx1"/>
            </w14:solidFill>
          </w14:textFill>
        </w:rPr>
        <w:object>
          <v:shape id="_x0000_i1027" o:spt="75" type="#_x0000_t75" style="height:16pt;width:13pt;" o:ole="t" filled="f" o:preferrelative="t" stroked="f" coordsize="21600,21600">
            <v:path/>
            <v:fill on="f" focussize="0,0"/>
            <v:stroke on="f"/>
            <v:imagedata r:id="rId10" o:title=""/>
            <o:lock v:ext="edit" aspectratio="t"/>
            <w10:wrap type="none"/>
            <w10:anchorlock/>
          </v:shape>
          <o:OLEObject Type="Embed" ProgID="Equation.KSEE3" ShapeID="_x0000_i1027" DrawAspect="Content" ObjectID="_1468075727" r:id="rId9">
            <o:LockedField>false</o:LockedField>
          </o:OLEObject>
        </w:object>
      </w:r>
      <w:r>
        <w:rPr>
          <w:rFonts w:hint="default" w:ascii="Times New Roman" w:hAnsi="Times New Roman" w:eastAsia="宋体" w:cs="Times New Roman"/>
          <w:color w:val="000000" w:themeColor="text1"/>
          <w:kern w:val="0"/>
          <w:sz w:val="21"/>
          <w:szCs w:val="21"/>
          <w14:textFill>
            <w14:solidFill>
              <w14:schemeClr w14:val="tx1"/>
            </w14:solidFill>
          </w14:textFill>
        </w:rPr>
        <w:t>）标准不确定度分量</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u</w:t>
      </w:r>
      <w:r>
        <w:rPr>
          <w:rFonts w:hint="default" w:ascii="Times New Roman" w:hAnsi="Times New Roman" w:eastAsia="宋体" w:cs="Times New Roman"/>
          <w:color w:val="000000" w:themeColor="text1"/>
          <w:sz w:val="21"/>
          <w:szCs w:val="21"/>
          <w:vertAlign w:val="subscript"/>
          <w14:textFill>
            <w14:solidFill>
              <w14:schemeClr w14:val="tx1"/>
            </w14:solidFill>
          </w14:textFill>
        </w:rPr>
        <w:t>1</w:t>
      </w:r>
      <w:r>
        <w:rPr>
          <w:rFonts w:hint="default" w:ascii="Times New Roman" w:hAnsi="Times New Roman" w:eastAsia="宋体" w:cs="Times New Roman"/>
          <w:color w:val="000000" w:themeColor="text1"/>
          <w:kern w:val="0"/>
          <w:sz w:val="21"/>
          <w:szCs w:val="21"/>
          <w14:textFill>
            <w14:solidFill>
              <w14:schemeClr w14:val="tx1"/>
            </w14:solidFill>
          </w14:textFill>
        </w:rPr>
        <w:t>（</w:t>
      </w:r>
      <w:r>
        <w:rPr>
          <w:rFonts w:hint="default" w:ascii="Times New Roman" w:hAnsi="Times New Roman" w:eastAsia="宋体" w:cs="Times New Roman"/>
          <w:color w:val="000000" w:themeColor="text1"/>
          <w:kern w:val="0"/>
          <w:position w:val="-4"/>
          <w:sz w:val="21"/>
          <w:szCs w:val="21"/>
          <w14:textFill>
            <w14:solidFill>
              <w14:schemeClr w14:val="tx1"/>
            </w14:solidFill>
          </w14:textFill>
        </w:rPr>
        <w:object>
          <v:shape id="_x0000_i1028" o:spt="75" type="#_x0000_t75" style="height:16pt;width:13pt;" o:ole="t" filled="f" o:preferrelative="t" stroked="f" coordsize="21600,21600">
            <v:path/>
            <v:fill on="f" focussize="0,0"/>
            <v:stroke on="f"/>
            <v:imagedata r:id="rId12" o:title=""/>
            <o:lock v:ext="edit" aspectratio="t"/>
            <w10:wrap type="none"/>
            <w10:anchorlock/>
          </v:shape>
          <o:OLEObject Type="Embed" ProgID="Equation.KSEE3" ShapeID="_x0000_i1028" DrawAspect="Content" ObjectID="_1468075728" r:id="rId11">
            <o:LockedField>false</o:LockedField>
          </o:OLEObject>
        </w:object>
      </w:r>
      <w:r>
        <w:rPr>
          <w:rFonts w:hint="default" w:ascii="Times New Roman" w:hAnsi="Times New Roman" w:eastAsia="宋体" w:cs="Times New Roman"/>
          <w:color w:val="000000" w:themeColor="text1"/>
          <w:kern w:val="0"/>
          <w:sz w:val="21"/>
          <w:szCs w:val="21"/>
          <w14:textFill>
            <w14:solidFill>
              <w14:schemeClr w14:val="tx1"/>
            </w14:solidFill>
          </w14:textFill>
        </w:rPr>
        <w:t>为1组数据的平均值，取n=1）</w:t>
      </w:r>
    </w:p>
    <w:p>
      <w:pPr>
        <w:widowControl/>
        <w:tabs>
          <w:tab w:val="center" w:pos="4360"/>
          <w:tab w:val="right" w:pos="8300"/>
        </w:tabs>
        <w:spacing w:line="360" w:lineRule="auto"/>
        <w:ind w:firstLine="630" w:firstLineChars="300"/>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rPr>
        <w:t>则</w:t>
      </w:r>
      <w:r>
        <w:rPr>
          <w:rFonts w:hint="default" w:ascii="Times New Roman" w:hAnsi="Times New Roman" w:eastAsia="宋体" w:cs="Times New Roman"/>
          <w:kern w:val="0"/>
          <w:sz w:val="21"/>
          <w:szCs w:val="21"/>
        </w:rPr>
        <w:t>标准不确定度分量</w:t>
      </w:r>
      <w:r>
        <w:rPr>
          <w:rFonts w:hint="default" w:ascii="Times New Roman" w:hAnsi="Times New Roman" w:eastAsia="宋体" w:cs="Times New Roman"/>
          <w:kern w:val="0"/>
          <w:sz w:val="21"/>
          <w:szCs w:val="21"/>
          <w:lang w:eastAsia="zh-CN"/>
        </w:rPr>
        <w:t>：</w:t>
      </w:r>
      <w:r>
        <w:rPr>
          <w:rFonts w:hint="default" w:ascii="Times New Roman" w:hAnsi="Times New Roman" w:eastAsia="宋体" w:cs="Times New Roman"/>
          <w:color w:val="0D0D0D" w:themeColor="text1" w:themeTint="F2"/>
          <w:kern w:val="0"/>
          <w:sz w:val="21"/>
          <w:szCs w:val="21"/>
          <w14:textFill>
            <w14:solidFill>
              <w14:schemeClr w14:val="tx1">
                <w14:lumMod w14:val="95000"/>
                <w14:lumOff w14:val="5000"/>
              </w14:schemeClr>
            </w14:solidFill>
          </w14:textFill>
        </w:rPr>
        <w:t>u</w:t>
      </w:r>
      <w:r>
        <w:rPr>
          <w:rFonts w:hint="default" w:ascii="Times New Roman" w:hAnsi="Times New Roman" w:eastAsia="宋体" w:cs="Times New Roman"/>
          <w:color w:val="0D0D0D" w:themeColor="text1" w:themeTint="F2"/>
          <w:kern w:val="0"/>
          <w:sz w:val="21"/>
          <w:szCs w:val="21"/>
          <w:vertAlign w:val="subscript"/>
          <w14:textFill>
            <w14:solidFill>
              <w14:schemeClr w14:val="tx1">
                <w14:lumMod w14:val="95000"/>
                <w14:lumOff w14:val="5000"/>
              </w14:schemeClr>
            </w14:solidFill>
          </w14:textFill>
        </w:rPr>
        <w:t>1</w:t>
      </w:r>
      <w:r>
        <w:rPr>
          <w:rFonts w:hint="default" w:ascii="Times New Roman" w:hAnsi="Times New Roman" w:eastAsia="宋体" w:cs="Times New Roman"/>
          <w:color w:val="0D0D0D" w:themeColor="text1" w:themeTint="F2"/>
          <w:kern w:val="0"/>
          <w:sz w:val="21"/>
          <w:szCs w:val="21"/>
          <w14:textFill>
            <w14:solidFill>
              <w14:schemeClr w14:val="tx1">
                <w14:lumMod w14:val="95000"/>
                <w14:lumOff w14:val="5000"/>
              </w14:schemeClr>
            </w14:solidFill>
          </w14:textFill>
        </w:rPr>
        <w:t>=s=0.</w:t>
      </w: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06</w:t>
      </w:r>
      <w:r>
        <w:rPr>
          <w:rFonts w:hint="default" w:ascii="Times New Roman" w:hAnsi="Times New Roman" w:eastAsia="宋体" w:cs="Times New Roman"/>
          <w:color w:val="0D0D0D" w:themeColor="text1" w:themeTint="F2"/>
          <w:kern w:val="0"/>
          <w:sz w:val="21"/>
          <w:szCs w:val="21"/>
          <w14:textFill>
            <w14:solidFill>
              <w14:schemeClr w14:val="tx1">
                <w14:lumMod w14:val="95000"/>
                <w14:lumOff w14:val="5000"/>
              </w14:schemeClr>
            </w14:solidFill>
          </w14:textFill>
        </w:rPr>
        <w:t>mm</w:t>
      </w:r>
      <w:r>
        <w:rPr>
          <w:rFonts w:hint="default" w:ascii="Times New Roman" w:hAnsi="Times New Roman" w:eastAsia="宋体" w:cs="Times New Roman"/>
          <w:sz w:val="21"/>
          <w:szCs w:val="21"/>
        </w:rPr>
        <w:t xml:space="preserve">                                   </w:t>
      </w:r>
    </w:p>
    <w:p>
      <w:pPr>
        <w:widowControl/>
        <w:tabs>
          <w:tab w:val="center" w:pos="4360"/>
          <w:tab w:val="right" w:pos="8300"/>
        </w:tabs>
        <w:spacing w:line="360" w:lineRule="auto"/>
        <w:rPr>
          <w:rFonts w:hint="default" w:ascii="Times New Roman" w:hAnsi="Times New Roman" w:eastAsia="宋体" w:cs="Times New Roman"/>
          <w:kern w:val="0"/>
          <w:sz w:val="21"/>
          <w:szCs w:val="21"/>
          <w:vertAlign w:val="subscript"/>
        </w:rPr>
      </w:pPr>
      <w:r>
        <w:rPr>
          <w:rFonts w:hint="default" w:ascii="Times New Roman" w:hAnsi="Times New Roman" w:eastAsia="宋体" w:cs="Times New Roman"/>
          <w:kern w:val="0"/>
          <w:sz w:val="21"/>
          <w:szCs w:val="21"/>
        </w:rPr>
        <w:t>3.2、</w:t>
      </w:r>
      <w:r>
        <w:rPr>
          <w:rFonts w:hint="default" w:ascii="Times New Roman" w:hAnsi="Times New Roman" w:eastAsia="宋体" w:cs="Times New Roman"/>
          <w:sz w:val="21"/>
          <w:szCs w:val="21"/>
        </w:rPr>
        <w:t>测量设备示值误差引入的</w:t>
      </w:r>
      <w:r>
        <w:rPr>
          <w:rFonts w:hint="default" w:ascii="Times New Roman" w:hAnsi="Times New Roman" w:eastAsia="宋体" w:cs="Times New Roman"/>
          <w:kern w:val="0"/>
          <w:sz w:val="21"/>
          <w:szCs w:val="21"/>
        </w:rPr>
        <w:t>不确定度影响分量u</w:t>
      </w:r>
      <w:r>
        <w:rPr>
          <w:rFonts w:hint="default" w:ascii="Times New Roman" w:hAnsi="Times New Roman" w:eastAsia="宋体" w:cs="Times New Roman"/>
          <w:kern w:val="0"/>
          <w:sz w:val="21"/>
          <w:szCs w:val="21"/>
          <w:vertAlign w:val="subscript"/>
        </w:rPr>
        <w:t>2</w:t>
      </w:r>
    </w:p>
    <w:p>
      <w:pPr>
        <w:spacing w:line="360" w:lineRule="auto"/>
        <w:ind w:firstLine="420" w:firstLineChars="200"/>
        <w:rPr>
          <w:rFonts w:hint="default" w:ascii="Times New Roman" w:hAnsi="Times New Roman" w:eastAsia="宋体" w:cs="Times New Roman"/>
          <w:i/>
          <w:position w:val="-24"/>
          <w:sz w:val="21"/>
          <w:szCs w:val="21"/>
        </w:rPr>
      </w:pPr>
      <w:r>
        <w:rPr>
          <w:rFonts w:hint="default" w:ascii="Times New Roman" w:hAnsi="Times New Roman" w:eastAsia="宋体" w:cs="Times New Roman"/>
          <w:sz w:val="21"/>
          <w:szCs w:val="21"/>
        </w:rPr>
        <w:t>查</w:t>
      </w:r>
      <w:r>
        <w:rPr>
          <w:rFonts w:hint="default" w:ascii="Times New Roman" w:hAnsi="Times New Roman" w:eastAsia="宋体" w:cs="Times New Roman"/>
          <w:sz w:val="21"/>
          <w:szCs w:val="21"/>
          <w:lang w:val="en-US" w:eastAsia="zh-CN"/>
        </w:rPr>
        <w:t>游标卡尺</w:t>
      </w:r>
      <w:r>
        <w:rPr>
          <w:rFonts w:hint="default" w:ascii="Times New Roman" w:hAnsi="Times New Roman" w:eastAsia="宋体" w:cs="Times New Roman"/>
          <w:sz w:val="21"/>
          <w:szCs w:val="21"/>
        </w:rPr>
        <w:t>的校准证书，出具的</w:t>
      </w:r>
      <w:r>
        <w:rPr>
          <w:rFonts w:hint="default" w:ascii="Times New Roman" w:hAnsi="Times New Roman" w:eastAsia="宋体" w:cs="Times New Roman"/>
          <w:sz w:val="21"/>
          <w:szCs w:val="21"/>
          <w:lang w:val="en-US" w:eastAsia="zh-CN"/>
        </w:rPr>
        <w:t>最大允许误差±0.0</w:t>
      </w:r>
      <w:r>
        <w:rPr>
          <w:rFonts w:hint="eastAsia" w:cs="Times New Roman"/>
          <w:sz w:val="21"/>
          <w:szCs w:val="21"/>
          <w:lang w:val="en-US" w:eastAsia="zh-CN"/>
        </w:rPr>
        <w:t>3</w:t>
      </w:r>
      <w:r>
        <w:rPr>
          <w:rFonts w:hint="default" w:ascii="Times New Roman" w:hAnsi="Times New Roman" w:eastAsia="宋体" w:cs="Times New Roman"/>
          <w:sz w:val="21"/>
          <w:szCs w:val="21"/>
          <w:lang w:val="en-US" w:eastAsia="zh-CN"/>
        </w:rPr>
        <w:t>mm</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均匀分布，取k=</w:t>
      </w:r>
      <w:r>
        <w:rPr>
          <w:rFonts w:hint="default" w:ascii="Times New Roman" w:hAnsi="Times New Roman" w:eastAsia="宋体" w:cs="Times New Roman"/>
          <w:color w:val="000000"/>
          <w:position w:val="-8"/>
          <w:sz w:val="21"/>
          <w:szCs w:val="21"/>
          <w:lang w:val="en-US" w:eastAsia="zh-CN"/>
        </w:rPr>
        <w:object>
          <v:shape id="_x0000_i1029" o:spt="75" type="#_x0000_t75" style="height:18pt;width:18pt;" o:ole="t" filled="f" o:preferrelative="t" stroked="f" coordsize="21600,21600">
            <v:path/>
            <v:fill on="f" focussize="0,0"/>
            <v:stroke on="f"/>
            <v:imagedata r:id="rId14" o:title=""/>
            <o:lock v:ext="edit" aspectratio="t"/>
            <w10:wrap type="none"/>
            <w10:anchorlock/>
          </v:shape>
          <o:OLEObject Type="Embed" ProgID="Equation.KSEE3" ShapeID="_x0000_i1029" DrawAspect="Content" ObjectID="_1468075729" r:id="rId13">
            <o:LockedField>false</o:LockedField>
          </o:OLEObject>
        </w:object>
      </w:r>
      <w:r>
        <w:rPr>
          <w:rFonts w:hint="default" w:ascii="Times New Roman" w:hAnsi="Times New Roman" w:eastAsia="宋体" w:cs="Times New Roman"/>
          <w:sz w:val="21"/>
          <w:szCs w:val="21"/>
        </w:rPr>
        <w:t>则由设备示值误差引入的不确定分量为：</w:t>
      </w:r>
      <w:r>
        <w:rPr>
          <w:rFonts w:hint="default" w:ascii="Times New Roman" w:hAnsi="Times New Roman" w:eastAsia="宋体" w:cs="Times New Roman"/>
          <w:i/>
          <w:position w:val="-28"/>
          <w:sz w:val="21"/>
          <w:szCs w:val="21"/>
        </w:rPr>
        <w:object>
          <v:shape id="_x0000_i1030" o:spt="75" alt="" type="#_x0000_t75" style="height:32.85pt;width:127pt;" o:ole="t" filled="f" o:preferrelative="t" stroked="f" coordsize="21600,21600">
            <v:path/>
            <v:fill on="f" focussize="0,0"/>
            <v:stroke on="f"/>
            <v:imagedata r:id="rId16" o:title=""/>
            <o:lock v:ext="edit" aspectratio="t"/>
            <w10:wrap type="none"/>
            <w10:anchorlock/>
          </v:shape>
          <o:OLEObject Type="Embed" ProgID="Equation.KSEE3" ShapeID="_x0000_i1030" DrawAspect="Content" ObjectID="_1468075730" r:id="rId15">
            <o:LockedField>false</o:LockedField>
          </o:OLEObject>
        </w:object>
      </w:r>
    </w:p>
    <w:p>
      <w:pPr>
        <w:spacing w:line="360" w:lineRule="auto"/>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4、合成标准不确定度的评定</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4.1标准不确定度汇总表</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输入量的标准不确定度汇总于表2。</w:t>
      </w:r>
    </w:p>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表2   标准不确定度汇总表</w:t>
      </w:r>
    </w:p>
    <w:tbl>
      <w:tblPr>
        <w:tblStyle w:val="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4275"/>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405"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标准不确定度分量u</w:t>
            </w:r>
            <w:r>
              <w:rPr>
                <w:rFonts w:hint="default" w:ascii="Times New Roman" w:hAnsi="Times New Roman" w:eastAsia="宋体" w:cs="Times New Roman"/>
                <w:sz w:val="21"/>
                <w:szCs w:val="21"/>
                <w:vertAlign w:val="subscript"/>
              </w:rPr>
              <w:t>c</w:t>
            </w:r>
          </w:p>
        </w:tc>
        <w:tc>
          <w:tcPr>
            <w:tcW w:w="4275"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不确定度来源</w:t>
            </w:r>
          </w:p>
        </w:tc>
        <w:tc>
          <w:tcPr>
            <w:tcW w:w="2246"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不确定度值u（</w:t>
            </w:r>
            <w:r>
              <w:rPr>
                <w:rFonts w:hint="default" w:ascii="Times New Roman" w:hAnsi="Times New Roman" w:eastAsia="宋体" w:cs="Times New Roman"/>
                <w:sz w:val="21"/>
                <w:szCs w:val="21"/>
                <w:lang w:val="en-US" w:eastAsia="zh-CN"/>
              </w:rPr>
              <w:t>m</w:t>
            </w:r>
            <w:r>
              <w:rPr>
                <w:rFonts w:hint="default" w:ascii="Times New Roman" w:hAnsi="Times New Roman" w:eastAsia="宋体" w:cs="Times New Roman"/>
                <w:sz w:val="21"/>
                <w:szCs w:val="21"/>
                <w:vertAlign w:val="subscript"/>
              </w:rPr>
              <w:t>i</w:t>
            </w:r>
            <w:r>
              <w:rPr>
                <w:rFonts w:hint="default" w:ascii="Times New Roman" w:hAnsi="Times New Roman" w:eastAsia="宋体" w:cs="Times New Roman"/>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0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标准不确定度u</w:t>
            </w:r>
            <w:r>
              <w:rPr>
                <w:rFonts w:hint="default" w:ascii="Times New Roman" w:hAnsi="Times New Roman" w:eastAsia="宋体" w:cs="Times New Roman"/>
                <w:sz w:val="21"/>
                <w:szCs w:val="21"/>
                <w:vertAlign w:val="subscript"/>
              </w:rPr>
              <w:t>1</w:t>
            </w:r>
          </w:p>
        </w:tc>
        <w:tc>
          <w:tcPr>
            <w:tcW w:w="427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测量重复性所引入的不确定度</w:t>
            </w:r>
          </w:p>
        </w:tc>
        <w:tc>
          <w:tcPr>
            <w:tcW w:w="2246"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r>
              <w:rPr>
                <w:rFonts w:hint="eastAsia" w:cs="Times New Roman"/>
                <w:sz w:val="21"/>
                <w:szCs w:val="21"/>
                <w:lang w:val="en-US" w:eastAsia="zh-CN"/>
              </w:rPr>
              <w:t>06</w:t>
            </w:r>
            <w:r>
              <w:rPr>
                <w:rFonts w:hint="default" w:ascii="Times New Roman" w:hAnsi="Times New Roman" w:eastAsia="宋体" w:cs="Times New Roman"/>
                <w:sz w:val="21"/>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40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标准不确定度u</w:t>
            </w:r>
            <w:r>
              <w:rPr>
                <w:rFonts w:hint="default" w:ascii="Times New Roman" w:hAnsi="Times New Roman" w:eastAsia="宋体" w:cs="Times New Roman"/>
                <w:sz w:val="21"/>
                <w:szCs w:val="21"/>
                <w:vertAlign w:val="subscript"/>
              </w:rPr>
              <w:t>2</w:t>
            </w:r>
          </w:p>
        </w:tc>
        <w:tc>
          <w:tcPr>
            <w:tcW w:w="427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测量设备引入的不确定度</w:t>
            </w:r>
          </w:p>
        </w:tc>
        <w:tc>
          <w:tcPr>
            <w:tcW w:w="2246" w:type="dxa"/>
            <w:vAlign w:val="center"/>
          </w:tcPr>
          <w:p>
            <w:pPr>
              <w:widowControl/>
              <w:tabs>
                <w:tab w:val="center" w:pos="4612"/>
              </w:tabs>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w:t>
            </w:r>
            <w:r>
              <w:rPr>
                <w:rFonts w:hint="eastAsia" w:cs="Times New Roman"/>
                <w:sz w:val="21"/>
                <w:szCs w:val="21"/>
                <w:lang w:val="en-US" w:eastAsia="zh-CN"/>
              </w:rPr>
              <w:t>17</w:t>
            </w:r>
            <w:r>
              <w:rPr>
                <w:rFonts w:hint="default" w:ascii="Times New Roman" w:hAnsi="Times New Roman" w:eastAsia="宋体" w:cs="Times New Roman"/>
                <w:sz w:val="21"/>
                <w:szCs w:val="21"/>
              </w:rPr>
              <w:t>mm</w:t>
            </w:r>
          </w:p>
        </w:tc>
      </w:tr>
    </w:tbl>
    <w:p>
      <w:pPr>
        <w:spacing w:line="360" w:lineRule="auto"/>
        <w:rPr>
          <w:rFonts w:hint="default" w:ascii="Times New Roman" w:hAnsi="Times New Roman" w:eastAsia="宋体" w:cs="Times New Roman"/>
          <w:sz w:val="21"/>
          <w:szCs w:val="21"/>
        </w:rPr>
      </w:pP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4.2合成标准不确定度的计算</w:t>
      </w:r>
    </w:p>
    <w:p>
      <w:pPr>
        <w:spacing w:line="360" w:lineRule="auto"/>
        <w:ind w:firstLine="420" w:firstLineChars="200"/>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合成标准不确定度可按下式得到：</w:t>
      </w:r>
      <w:r>
        <w:rPr>
          <w:rFonts w:hint="default" w:ascii="Times New Roman" w:hAnsi="Times New Roman" w:eastAsia="宋体" w:cs="Times New Roman"/>
          <w:position w:val="-12"/>
          <w:sz w:val="21"/>
          <w:szCs w:val="21"/>
          <w:vertAlign w:val="subscript"/>
        </w:rPr>
        <w:object>
          <v:shape id="_x0000_i1032" o:spt="75" alt="" type="#_x0000_t75" style="height:22.35pt;width:214pt;" o:ole="t" filled="f" o:preferrelative="t" stroked="f" coordsize="21600,21600">
            <v:path/>
            <v:fill on="f" focussize="0,0"/>
            <v:stroke on="f"/>
            <v:imagedata r:id="rId18" o:title=""/>
            <o:lock v:ext="edit" aspectratio="t"/>
            <w10:wrap type="none"/>
            <w10:anchorlock/>
          </v:shape>
          <o:OLEObject Type="Embed" ProgID="Equation.KSEE3" ShapeID="_x0000_i1032" DrawAspect="Content" ObjectID="_1468075731" r:id="rId17">
            <o:LockedField>false</o:LockedField>
          </o:OLEObject>
        </w:object>
      </w:r>
    </w:p>
    <w:p>
      <w:pPr>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5、扩展不确定度的计算</w:t>
      </w:r>
    </w:p>
    <w:p>
      <w:pPr>
        <w:spacing w:line="360" w:lineRule="auto"/>
        <w:ind w:left="36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取</w:t>
      </w:r>
      <w:r>
        <w:rPr>
          <w:rFonts w:hint="default" w:ascii="Times New Roman" w:hAnsi="Times New Roman" w:eastAsia="宋体" w:cs="Times New Roman"/>
          <w:kern w:val="0"/>
          <w:sz w:val="21"/>
          <w:szCs w:val="21"/>
        </w:rPr>
        <w:t>包含因子</w:t>
      </w:r>
      <w:r>
        <w:rPr>
          <w:rFonts w:hint="default" w:ascii="Times New Roman" w:hAnsi="Times New Roman" w:eastAsia="宋体" w:cs="Times New Roman"/>
          <w:i/>
          <w:kern w:val="0"/>
          <w:sz w:val="21"/>
          <w:szCs w:val="21"/>
        </w:rPr>
        <w:t>k</w:t>
      </w:r>
      <w:r>
        <w:rPr>
          <w:rFonts w:hint="default" w:ascii="Times New Roman" w:hAnsi="Times New Roman" w:eastAsia="宋体" w:cs="Times New Roman"/>
          <w:i/>
          <w:iCs/>
          <w:kern w:val="0"/>
          <w:sz w:val="21"/>
          <w:szCs w:val="21"/>
        </w:rPr>
        <w:t xml:space="preserve"> </w:t>
      </w:r>
      <w:r>
        <w:rPr>
          <w:rFonts w:hint="default" w:ascii="Times New Roman" w:hAnsi="Times New Roman" w:eastAsia="宋体" w:cs="Times New Roman"/>
          <w:kern w:val="0"/>
          <w:sz w:val="21"/>
          <w:szCs w:val="21"/>
        </w:rPr>
        <w:t>= 2，</w:t>
      </w:r>
      <w:r>
        <w:rPr>
          <w:rFonts w:hint="default" w:ascii="Times New Roman" w:hAnsi="Times New Roman" w:eastAsia="宋体" w:cs="Times New Roman"/>
          <w:i/>
          <w:sz w:val="21"/>
          <w:szCs w:val="21"/>
        </w:rPr>
        <w:t xml:space="preserve"> </w:t>
      </w:r>
      <w:r>
        <w:rPr>
          <w:rFonts w:hint="default" w:ascii="Times New Roman" w:hAnsi="Times New Roman" w:eastAsia="宋体" w:cs="Times New Roman"/>
          <w:sz w:val="21"/>
          <w:szCs w:val="21"/>
        </w:rPr>
        <w:t>得</w:t>
      </w:r>
      <w:r>
        <w:rPr>
          <w:rFonts w:hint="default" w:ascii="Times New Roman" w:hAnsi="Times New Roman" w:eastAsia="宋体" w:cs="Times New Roman"/>
          <w:i/>
          <w:sz w:val="21"/>
          <w:szCs w:val="21"/>
        </w:rPr>
        <w:t>U＝</w:t>
      </w:r>
      <w:r>
        <w:rPr>
          <w:rFonts w:hint="default" w:ascii="Times New Roman" w:hAnsi="Times New Roman" w:eastAsia="宋体" w:cs="Times New Roman"/>
          <w:sz w:val="21"/>
          <w:szCs w:val="21"/>
        </w:rPr>
        <w:t xml:space="preserve"> </w:t>
      </w:r>
      <w:r>
        <w:rPr>
          <w:rFonts w:hint="default" w:ascii="Times New Roman" w:hAnsi="Times New Roman" w:eastAsia="宋体" w:cs="Times New Roman"/>
          <w:i/>
          <w:kern w:val="0"/>
          <w:sz w:val="21"/>
          <w:szCs w:val="21"/>
        </w:rPr>
        <w:t>k</w:t>
      </w:r>
      <w:r>
        <w:rPr>
          <w:rFonts w:hint="default" w:ascii="Times New Roman" w:hAnsi="Times New Roman" w:eastAsia="宋体" w:cs="Times New Roman"/>
          <w:sz w:val="21"/>
          <w:szCs w:val="21"/>
        </w:rPr>
        <w:t>u</w:t>
      </w:r>
      <w:r>
        <w:rPr>
          <w:rFonts w:hint="default" w:ascii="Times New Roman" w:hAnsi="Times New Roman" w:eastAsia="宋体" w:cs="Times New Roman"/>
          <w:sz w:val="21"/>
          <w:szCs w:val="21"/>
          <w:vertAlign w:val="subscript"/>
        </w:rPr>
        <w:t>c</w:t>
      </w:r>
      <w:r>
        <w:rPr>
          <w:rFonts w:hint="default" w:ascii="Times New Roman" w:hAnsi="Times New Roman" w:eastAsia="宋体" w:cs="Times New Roman"/>
          <w:sz w:val="21"/>
          <w:szCs w:val="21"/>
        </w:rPr>
        <w:t>＝2×0.</w:t>
      </w:r>
      <w:r>
        <w:rPr>
          <w:rFonts w:hint="eastAsia" w:cs="Times New Roman"/>
          <w:sz w:val="21"/>
          <w:szCs w:val="21"/>
          <w:lang w:val="en-US" w:eastAsia="zh-CN"/>
        </w:rPr>
        <w:t>06</w:t>
      </w:r>
      <w:r>
        <w:rPr>
          <w:rFonts w:hint="default" w:ascii="Times New Roman" w:hAnsi="Times New Roman" w:eastAsia="宋体" w:cs="Times New Roman"/>
          <w:sz w:val="21"/>
          <w:szCs w:val="21"/>
        </w:rPr>
        <w:t>＝0.</w:t>
      </w:r>
      <w:r>
        <w:rPr>
          <w:rFonts w:hint="eastAsia" w:cs="Times New Roman"/>
          <w:sz w:val="21"/>
          <w:szCs w:val="21"/>
          <w:lang w:val="en-US" w:eastAsia="zh-CN"/>
        </w:rPr>
        <w:t>12</w:t>
      </w:r>
      <w:r>
        <w:rPr>
          <w:rFonts w:hint="default" w:ascii="Times New Roman" w:hAnsi="Times New Roman" w:eastAsia="宋体" w:cs="Times New Roman"/>
          <w:sz w:val="21"/>
          <w:szCs w:val="21"/>
        </w:rPr>
        <w:t>mm</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 xml:space="preserve">6、测量不确定度的报告与表示   </w:t>
      </w:r>
      <w:r>
        <w:rPr>
          <w:rFonts w:hint="default" w:ascii="Times New Roman" w:hAnsi="Times New Roman" w:eastAsia="宋体" w:cs="Times New Roman"/>
          <w:sz w:val="21"/>
          <w:szCs w:val="21"/>
        </w:rPr>
        <w:t xml:space="preserve">  </w:t>
      </w:r>
    </w:p>
    <w:p>
      <w:pPr>
        <w:spacing w:line="360" w:lineRule="auto"/>
        <w:ind w:firstLine="420" w:firstLineChars="200"/>
        <w:rPr>
          <w:rFonts w:hint="eastAsia" w:cs="Times New Roman"/>
          <w:kern w:val="0"/>
          <w:sz w:val="21"/>
          <w:szCs w:val="21"/>
          <w:lang w:val="en-US" w:eastAsia="zh-CN"/>
        </w:rPr>
      </w:pPr>
      <w:r>
        <w:rPr>
          <w:rFonts w:hint="default" w:ascii="Times New Roman" w:hAnsi="Times New Roman" w:eastAsia="宋体" w:cs="Times New Roman"/>
          <w:i/>
          <w:sz w:val="21"/>
          <w:szCs w:val="21"/>
        </w:rPr>
        <w:t>U＝</w:t>
      </w:r>
      <w:r>
        <w:rPr>
          <w:rFonts w:hint="default" w:ascii="Times New Roman" w:hAnsi="Times New Roman" w:eastAsia="宋体" w:cs="Times New Roman"/>
          <w:iCs/>
          <w:sz w:val="21"/>
          <w:szCs w:val="21"/>
        </w:rPr>
        <w:t>0.</w:t>
      </w:r>
      <w:r>
        <w:rPr>
          <w:rFonts w:hint="eastAsia" w:cs="Times New Roman"/>
          <w:iCs/>
          <w:sz w:val="21"/>
          <w:szCs w:val="21"/>
          <w:lang w:val="en-US" w:eastAsia="zh-CN"/>
        </w:rPr>
        <w:t>12</w:t>
      </w:r>
      <w:r>
        <w:rPr>
          <w:rFonts w:hint="default" w:ascii="Times New Roman" w:hAnsi="Times New Roman" w:eastAsia="宋体" w:cs="Times New Roman"/>
          <w:iCs/>
          <w:sz w:val="21"/>
          <w:szCs w:val="21"/>
        </w:rPr>
        <w:t>mm</w:t>
      </w:r>
      <w:r>
        <w:rPr>
          <w:rFonts w:hint="default" w:ascii="Times New Roman" w:hAnsi="Times New Roman" w:eastAsia="宋体" w:cs="Times New Roman"/>
          <w:sz w:val="21"/>
          <w:szCs w:val="21"/>
        </w:rPr>
        <w:t xml:space="preserve">  </w:t>
      </w:r>
      <w:r>
        <w:rPr>
          <w:rFonts w:hint="default" w:ascii="Times New Roman" w:hAnsi="Times New Roman" w:eastAsia="宋体" w:cs="Times New Roman"/>
          <w:i/>
          <w:kern w:val="0"/>
          <w:sz w:val="21"/>
          <w:szCs w:val="21"/>
        </w:rPr>
        <w:t>k</w:t>
      </w:r>
      <w:r>
        <w:rPr>
          <w:rFonts w:hint="default" w:ascii="Times New Roman" w:hAnsi="Times New Roman" w:eastAsia="宋体" w:cs="Times New Roman"/>
          <w:i/>
          <w:iCs/>
          <w:kern w:val="0"/>
          <w:sz w:val="21"/>
          <w:szCs w:val="21"/>
        </w:rPr>
        <w:t xml:space="preserve"> </w:t>
      </w:r>
      <w:r>
        <w:rPr>
          <w:rFonts w:hint="default" w:ascii="Times New Roman" w:hAnsi="Times New Roman" w:eastAsia="宋体" w:cs="Times New Roman"/>
          <w:kern w:val="0"/>
          <w:sz w:val="21"/>
          <w:szCs w:val="21"/>
        </w:rPr>
        <w:t>= 2</w:t>
      </w:r>
      <w:r>
        <w:rPr>
          <w:rFonts w:hint="eastAsia" w:cs="Times New Roman"/>
          <w:kern w:val="0"/>
          <w:sz w:val="21"/>
          <w:szCs w:val="21"/>
          <w:lang w:val="en-US" w:eastAsia="zh-CN"/>
        </w:rPr>
        <w:t xml:space="preserve">                              </w:t>
      </w:r>
    </w:p>
    <w:p>
      <w:pPr>
        <w:spacing w:line="360" w:lineRule="auto"/>
        <w:ind w:firstLine="420" w:firstLineChars="200"/>
        <w:rPr>
          <w:rFonts w:hint="eastAsia" w:cs="Times New Roman"/>
          <w:kern w:val="0"/>
          <w:sz w:val="21"/>
          <w:szCs w:val="21"/>
          <w:lang w:val="en-US" w:eastAsia="zh-CN"/>
        </w:rPr>
      </w:pPr>
      <w:bookmarkStart w:id="0" w:name="_GoBack"/>
      <w:bookmarkEnd w:id="0"/>
    </w:p>
    <w:p>
      <w:pPr>
        <w:spacing w:line="360" w:lineRule="auto"/>
        <w:ind w:firstLine="5320" w:firstLineChars="1900"/>
        <w:rPr>
          <w:rFonts w:hint="default" w:ascii="Times New Roman" w:hAnsi="Times New Roman" w:eastAsia="宋体" w:cs="Times New Roman"/>
          <w:color w:val="000000"/>
          <w:sz w:val="28"/>
          <w:szCs w:val="28"/>
          <w:lang w:val="en-US" w:eastAsia="zh-CN"/>
        </w:rPr>
      </w:pPr>
      <w:r>
        <w:rPr>
          <w:rFonts w:hint="eastAsia" w:cs="Times New Roman"/>
          <w:kern w:val="0"/>
          <w:sz w:val="28"/>
          <w:szCs w:val="28"/>
          <w:lang w:val="en-US" w:eastAsia="zh-CN"/>
        </w:rPr>
        <w:t>评定人：</w:t>
      </w:r>
      <w:r>
        <w:rPr>
          <w:rFonts w:hint="eastAsia" w:eastAsiaTheme="minorEastAsia"/>
          <w:lang w:eastAsia="zh-CN"/>
        </w:rPr>
        <w:drawing>
          <wp:inline distT="0" distB="0" distL="114300" distR="114300">
            <wp:extent cx="742950" cy="422275"/>
            <wp:effectExtent l="0" t="0" r="0" b="15875"/>
            <wp:docPr id="3" name="图片 3" descr="c0827aee30729d37ecd21d5293dec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0827aee30729d37ecd21d5293decaa"/>
                    <pic:cNvPicPr>
                      <a:picLocks noChangeAspect="1"/>
                    </pic:cNvPicPr>
                  </pic:nvPicPr>
                  <pic:blipFill>
                    <a:blip r:embed="rId19"/>
                    <a:srcRect l="7047" r="27517" b="53280"/>
                    <a:stretch>
                      <a:fillRect/>
                    </a:stretch>
                  </pic:blipFill>
                  <pic:spPr>
                    <a:xfrm>
                      <a:off x="0" y="0"/>
                      <a:ext cx="742950" cy="422275"/>
                    </a:xfrm>
                    <a:prstGeom prst="rect">
                      <a:avLst/>
                    </a:prstGeom>
                  </pic:spPr>
                </pic:pic>
              </a:graphicData>
            </a:graphic>
          </wp:inline>
        </w:drawing>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2B07E"/>
    <w:multiLevelType w:val="singleLevel"/>
    <w:tmpl w:val="9032B07E"/>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jZGExZGEzM2I3NmQzYmU5Nzc3YTgwYjllMTVmOTUifQ=="/>
  </w:docVars>
  <w:rsids>
    <w:rsidRoot w:val="002674CB"/>
    <w:rsid w:val="00016E6D"/>
    <w:rsid w:val="0003227F"/>
    <w:rsid w:val="00085A5F"/>
    <w:rsid w:val="000A4AA5"/>
    <w:rsid w:val="000A6049"/>
    <w:rsid w:val="000A63D2"/>
    <w:rsid w:val="000E7B93"/>
    <w:rsid w:val="000F53AC"/>
    <w:rsid w:val="001011C2"/>
    <w:rsid w:val="00104588"/>
    <w:rsid w:val="0010623A"/>
    <w:rsid w:val="0011008B"/>
    <w:rsid w:val="00122F68"/>
    <w:rsid w:val="0012715F"/>
    <w:rsid w:val="001A51CD"/>
    <w:rsid w:val="001D0E7E"/>
    <w:rsid w:val="001E4B34"/>
    <w:rsid w:val="00201DB4"/>
    <w:rsid w:val="0020782B"/>
    <w:rsid w:val="002107AF"/>
    <w:rsid w:val="002674CB"/>
    <w:rsid w:val="002903BC"/>
    <w:rsid w:val="002C0A5E"/>
    <w:rsid w:val="00305008"/>
    <w:rsid w:val="00342DEA"/>
    <w:rsid w:val="003867FC"/>
    <w:rsid w:val="003E7DB7"/>
    <w:rsid w:val="00427C6F"/>
    <w:rsid w:val="00457A38"/>
    <w:rsid w:val="00474314"/>
    <w:rsid w:val="00485659"/>
    <w:rsid w:val="004F72D6"/>
    <w:rsid w:val="00500911"/>
    <w:rsid w:val="0051393E"/>
    <w:rsid w:val="005B1001"/>
    <w:rsid w:val="005B31F7"/>
    <w:rsid w:val="005D1F10"/>
    <w:rsid w:val="005D6B5E"/>
    <w:rsid w:val="005F1833"/>
    <w:rsid w:val="005F29E5"/>
    <w:rsid w:val="006307E9"/>
    <w:rsid w:val="0063207C"/>
    <w:rsid w:val="00632299"/>
    <w:rsid w:val="00635031"/>
    <w:rsid w:val="006375AE"/>
    <w:rsid w:val="00666500"/>
    <w:rsid w:val="006B586F"/>
    <w:rsid w:val="006C42A7"/>
    <w:rsid w:val="007041AF"/>
    <w:rsid w:val="007A4563"/>
    <w:rsid w:val="007B5237"/>
    <w:rsid w:val="007D5F08"/>
    <w:rsid w:val="007E6AF4"/>
    <w:rsid w:val="00853C4D"/>
    <w:rsid w:val="00864046"/>
    <w:rsid w:val="00892990"/>
    <w:rsid w:val="008A6A9A"/>
    <w:rsid w:val="008B68D1"/>
    <w:rsid w:val="008C1276"/>
    <w:rsid w:val="00905CBF"/>
    <w:rsid w:val="009145A0"/>
    <w:rsid w:val="00917AB6"/>
    <w:rsid w:val="00931C27"/>
    <w:rsid w:val="00945422"/>
    <w:rsid w:val="0096432D"/>
    <w:rsid w:val="009646DF"/>
    <w:rsid w:val="009663CA"/>
    <w:rsid w:val="00977C49"/>
    <w:rsid w:val="00996BFC"/>
    <w:rsid w:val="009A08D6"/>
    <w:rsid w:val="009C212D"/>
    <w:rsid w:val="009C4E52"/>
    <w:rsid w:val="009E727A"/>
    <w:rsid w:val="00A10C98"/>
    <w:rsid w:val="00A4183F"/>
    <w:rsid w:val="00A669D3"/>
    <w:rsid w:val="00A92912"/>
    <w:rsid w:val="00A9589B"/>
    <w:rsid w:val="00AC0468"/>
    <w:rsid w:val="00AC232C"/>
    <w:rsid w:val="00AE3E03"/>
    <w:rsid w:val="00AE6A78"/>
    <w:rsid w:val="00B1167D"/>
    <w:rsid w:val="00B30A5D"/>
    <w:rsid w:val="00B3623F"/>
    <w:rsid w:val="00B539D0"/>
    <w:rsid w:val="00B73F07"/>
    <w:rsid w:val="00BB4A6D"/>
    <w:rsid w:val="00C24F7E"/>
    <w:rsid w:val="00C27B1B"/>
    <w:rsid w:val="00C607FC"/>
    <w:rsid w:val="00C73C6A"/>
    <w:rsid w:val="00C86C25"/>
    <w:rsid w:val="00CA154F"/>
    <w:rsid w:val="00CB02A2"/>
    <w:rsid w:val="00CF3DD9"/>
    <w:rsid w:val="00D264C4"/>
    <w:rsid w:val="00D428D6"/>
    <w:rsid w:val="00D84080"/>
    <w:rsid w:val="00DA12EA"/>
    <w:rsid w:val="00E40954"/>
    <w:rsid w:val="00E527D8"/>
    <w:rsid w:val="00EA1332"/>
    <w:rsid w:val="00EA5452"/>
    <w:rsid w:val="00EA70DA"/>
    <w:rsid w:val="00EB3EBC"/>
    <w:rsid w:val="00F015B8"/>
    <w:rsid w:val="00F645B9"/>
    <w:rsid w:val="00FC5633"/>
    <w:rsid w:val="00FE7730"/>
    <w:rsid w:val="02313354"/>
    <w:rsid w:val="024423C4"/>
    <w:rsid w:val="02671BF7"/>
    <w:rsid w:val="0316364E"/>
    <w:rsid w:val="040850C3"/>
    <w:rsid w:val="044770B2"/>
    <w:rsid w:val="04523DB8"/>
    <w:rsid w:val="04F5786C"/>
    <w:rsid w:val="05C570E8"/>
    <w:rsid w:val="06184EC1"/>
    <w:rsid w:val="07B74904"/>
    <w:rsid w:val="07F3591A"/>
    <w:rsid w:val="08D13137"/>
    <w:rsid w:val="0959584B"/>
    <w:rsid w:val="09E66ED2"/>
    <w:rsid w:val="0ADB3FDF"/>
    <w:rsid w:val="0AE12F9B"/>
    <w:rsid w:val="0C445F4A"/>
    <w:rsid w:val="0CAF6225"/>
    <w:rsid w:val="0CDC1E1E"/>
    <w:rsid w:val="0D3120CE"/>
    <w:rsid w:val="0D782B28"/>
    <w:rsid w:val="0D946657"/>
    <w:rsid w:val="0E094F0A"/>
    <w:rsid w:val="0E77316D"/>
    <w:rsid w:val="0F6F6C10"/>
    <w:rsid w:val="0F9E2ADD"/>
    <w:rsid w:val="103546B6"/>
    <w:rsid w:val="106F3DD8"/>
    <w:rsid w:val="117523D5"/>
    <w:rsid w:val="12AD7BDB"/>
    <w:rsid w:val="15CD7DCC"/>
    <w:rsid w:val="168E01AB"/>
    <w:rsid w:val="17111B0C"/>
    <w:rsid w:val="176316DB"/>
    <w:rsid w:val="17702E31"/>
    <w:rsid w:val="178258F5"/>
    <w:rsid w:val="18791403"/>
    <w:rsid w:val="18CC1156"/>
    <w:rsid w:val="18F926D9"/>
    <w:rsid w:val="190D1749"/>
    <w:rsid w:val="197605FA"/>
    <w:rsid w:val="1A4B39BB"/>
    <w:rsid w:val="1A653E1C"/>
    <w:rsid w:val="1B26162B"/>
    <w:rsid w:val="1B9D388C"/>
    <w:rsid w:val="1BC76BD4"/>
    <w:rsid w:val="1E1E20D2"/>
    <w:rsid w:val="1EA1737C"/>
    <w:rsid w:val="1EB56195"/>
    <w:rsid w:val="1F4C4200"/>
    <w:rsid w:val="205D5817"/>
    <w:rsid w:val="21EF0DC2"/>
    <w:rsid w:val="22610C1B"/>
    <w:rsid w:val="234C6925"/>
    <w:rsid w:val="23D80F9B"/>
    <w:rsid w:val="23DE5448"/>
    <w:rsid w:val="23F800B3"/>
    <w:rsid w:val="243056A1"/>
    <w:rsid w:val="25312398"/>
    <w:rsid w:val="25BD5B23"/>
    <w:rsid w:val="25F34BD3"/>
    <w:rsid w:val="26DE416C"/>
    <w:rsid w:val="27390113"/>
    <w:rsid w:val="27BD57FB"/>
    <w:rsid w:val="27BE054C"/>
    <w:rsid w:val="281276AA"/>
    <w:rsid w:val="28FC4FC6"/>
    <w:rsid w:val="296A2352"/>
    <w:rsid w:val="29986DA0"/>
    <w:rsid w:val="2A525CA9"/>
    <w:rsid w:val="2AB8578C"/>
    <w:rsid w:val="2B286A0B"/>
    <w:rsid w:val="2B4B4BD4"/>
    <w:rsid w:val="2B751D34"/>
    <w:rsid w:val="2B756D56"/>
    <w:rsid w:val="2B9474ED"/>
    <w:rsid w:val="2C28712E"/>
    <w:rsid w:val="2C620D55"/>
    <w:rsid w:val="2CBE385D"/>
    <w:rsid w:val="2DA61C57"/>
    <w:rsid w:val="2E736B0E"/>
    <w:rsid w:val="2ECF1DA3"/>
    <w:rsid w:val="2F160B64"/>
    <w:rsid w:val="2F591F99"/>
    <w:rsid w:val="2FE72CCC"/>
    <w:rsid w:val="327849EF"/>
    <w:rsid w:val="343D137C"/>
    <w:rsid w:val="34DB14BC"/>
    <w:rsid w:val="351957ED"/>
    <w:rsid w:val="35AE7103"/>
    <w:rsid w:val="360719D2"/>
    <w:rsid w:val="37047311"/>
    <w:rsid w:val="373A5911"/>
    <w:rsid w:val="379A0F45"/>
    <w:rsid w:val="386D3BC3"/>
    <w:rsid w:val="389C0EE1"/>
    <w:rsid w:val="38B22018"/>
    <w:rsid w:val="38D43A13"/>
    <w:rsid w:val="39A35F89"/>
    <w:rsid w:val="3A297A88"/>
    <w:rsid w:val="3A5F7CB0"/>
    <w:rsid w:val="3B1C2FCD"/>
    <w:rsid w:val="3B3B6DF8"/>
    <w:rsid w:val="3BCF58EA"/>
    <w:rsid w:val="3CB83D07"/>
    <w:rsid w:val="3DEC22DB"/>
    <w:rsid w:val="3E19630B"/>
    <w:rsid w:val="3E494859"/>
    <w:rsid w:val="3F3E498D"/>
    <w:rsid w:val="3F764E59"/>
    <w:rsid w:val="3F7D1816"/>
    <w:rsid w:val="40197D69"/>
    <w:rsid w:val="40773E38"/>
    <w:rsid w:val="41473558"/>
    <w:rsid w:val="41510639"/>
    <w:rsid w:val="42732272"/>
    <w:rsid w:val="42A5168A"/>
    <w:rsid w:val="438506F6"/>
    <w:rsid w:val="454C4A39"/>
    <w:rsid w:val="45614AB1"/>
    <w:rsid w:val="463069A0"/>
    <w:rsid w:val="46EF1A47"/>
    <w:rsid w:val="47914BF4"/>
    <w:rsid w:val="47C376E7"/>
    <w:rsid w:val="48646DEF"/>
    <w:rsid w:val="490D14F4"/>
    <w:rsid w:val="490E5D78"/>
    <w:rsid w:val="4A02072C"/>
    <w:rsid w:val="4A3E282A"/>
    <w:rsid w:val="4A546E21"/>
    <w:rsid w:val="4A8C1680"/>
    <w:rsid w:val="4B8378D3"/>
    <w:rsid w:val="4D172196"/>
    <w:rsid w:val="4D63663A"/>
    <w:rsid w:val="4F745F83"/>
    <w:rsid w:val="4FE250B3"/>
    <w:rsid w:val="507E2ADE"/>
    <w:rsid w:val="50936960"/>
    <w:rsid w:val="517D5F39"/>
    <w:rsid w:val="520E18AC"/>
    <w:rsid w:val="52136D0A"/>
    <w:rsid w:val="52181816"/>
    <w:rsid w:val="52CE3434"/>
    <w:rsid w:val="538066BD"/>
    <w:rsid w:val="54A57465"/>
    <w:rsid w:val="552F2580"/>
    <w:rsid w:val="55300465"/>
    <w:rsid w:val="55423F4E"/>
    <w:rsid w:val="55464DF3"/>
    <w:rsid w:val="556A5505"/>
    <w:rsid w:val="5571359D"/>
    <w:rsid w:val="55B96904"/>
    <w:rsid w:val="55FD1495"/>
    <w:rsid w:val="561F0E99"/>
    <w:rsid w:val="57075210"/>
    <w:rsid w:val="57395B61"/>
    <w:rsid w:val="582D1BA2"/>
    <w:rsid w:val="59F10F93"/>
    <w:rsid w:val="5A34480A"/>
    <w:rsid w:val="5A4763F3"/>
    <w:rsid w:val="5A4C5D70"/>
    <w:rsid w:val="5B061C74"/>
    <w:rsid w:val="5B9642B7"/>
    <w:rsid w:val="5BDD60F3"/>
    <w:rsid w:val="5C422B9F"/>
    <w:rsid w:val="5CBA3FF0"/>
    <w:rsid w:val="5D052CE5"/>
    <w:rsid w:val="5D6E73AA"/>
    <w:rsid w:val="5D90517C"/>
    <w:rsid w:val="5DD75F7C"/>
    <w:rsid w:val="5E7B43FC"/>
    <w:rsid w:val="5EFF011E"/>
    <w:rsid w:val="601E2160"/>
    <w:rsid w:val="609F7046"/>
    <w:rsid w:val="614C60DF"/>
    <w:rsid w:val="627D3DDC"/>
    <w:rsid w:val="634250FA"/>
    <w:rsid w:val="636F7149"/>
    <w:rsid w:val="640E0FC4"/>
    <w:rsid w:val="64480900"/>
    <w:rsid w:val="654D515E"/>
    <w:rsid w:val="65A91047"/>
    <w:rsid w:val="661565EE"/>
    <w:rsid w:val="66366573"/>
    <w:rsid w:val="667306A8"/>
    <w:rsid w:val="67276265"/>
    <w:rsid w:val="6804744D"/>
    <w:rsid w:val="69274187"/>
    <w:rsid w:val="695828FB"/>
    <w:rsid w:val="6ADA5099"/>
    <w:rsid w:val="6B8C5D1C"/>
    <w:rsid w:val="6BC5084F"/>
    <w:rsid w:val="6BD477EC"/>
    <w:rsid w:val="6CEF600F"/>
    <w:rsid w:val="6DD52C22"/>
    <w:rsid w:val="6E827F52"/>
    <w:rsid w:val="6EC62117"/>
    <w:rsid w:val="6FCE3C4B"/>
    <w:rsid w:val="7083777C"/>
    <w:rsid w:val="71A73A3A"/>
    <w:rsid w:val="71A837F6"/>
    <w:rsid w:val="735A0ECB"/>
    <w:rsid w:val="739A109D"/>
    <w:rsid w:val="7415715D"/>
    <w:rsid w:val="744F372E"/>
    <w:rsid w:val="74DB26A4"/>
    <w:rsid w:val="75030E76"/>
    <w:rsid w:val="75441D6A"/>
    <w:rsid w:val="75902B0D"/>
    <w:rsid w:val="75CF2D51"/>
    <w:rsid w:val="761D2545"/>
    <w:rsid w:val="76782D4F"/>
    <w:rsid w:val="76D94A88"/>
    <w:rsid w:val="777A649B"/>
    <w:rsid w:val="780C0015"/>
    <w:rsid w:val="782E2298"/>
    <w:rsid w:val="7869696E"/>
    <w:rsid w:val="78B12BB5"/>
    <w:rsid w:val="78BF3772"/>
    <w:rsid w:val="78D1706D"/>
    <w:rsid w:val="78E777DC"/>
    <w:rsid w:val="79EB490D"/>
    <w:rsid w:val="7A0151B4"/>
    <w:rsid w:val="7A372269"/>
    <w:rsid w:val="7AB02F7C"/>
    <w:rsid w:val="7AD6108C"/>
    <w:rsid w:val="7B6F75BE"/>
    <w:rsid w:val="7D2B6D03"/>
    <w:rsid w:val="7D772168"/>
    <w:rsid w:val="7D7D52DA"/>
    <w:rsid w:val="7D8255E9"/>
    <w:rsid w:val="7D960784"/>
    <w:rsid w:val="7DC32556"/>
    <w:rsid w:val="7E1B7369"/>
    <w:rsid w:val="7E5C07A9"/>
    <w:rsid w:val="7E652938"/>
    <w:rsid w:val="7FB54320"/>
    <w:rsid w:val="7FCA5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spacing w:before="100" w:beforeAutospacing="1" w:after="100" w:afterAutospacing="1"/>
      <w:jc w:val="left"/>
      <w:outlineLvl w:val="2"/>
    </w:pPr>
    <w:rPr>
      <w:rFonts w:hint="eastAsia" w:ascii="宋体" w:hAnsi="宋体"/>
      <w:b/>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240" w:lineRule="exact"/>
    </w:pPr>
    <w:rPr>
      <w:sz w:val="18"/>
    </w:rPr>
  </w:style>
  <w:style w:type="paragraph" w:styleId="4">
    <w:name w:val="footer"/>
    <w:basedOn w:val="1"/>
    <w:link w:val="8"/>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字符"/>
    <w:link w:val="4"/>
    <w:qFormat/>
    <w:uiPriority w:val="0"/>
    <w:rPr>
      <w:rFonts w:eastAsia="宋体"/>
      <w:kern w:val="2"/>
      <w:sz w:val="18"/>
      <w:szCs w:val="18"/>
      <w:lang w:val="en-US" w:eastAsia="zh-CN" w:bidi="ar-SA"/>
    </w:rPr>
  </w:style>
  <w:style w:type="character" w:customStyle="1" w:styleId="9">
    <w:name w:val="页眉 字符"/>
    <w:link w:val="5"/>
    <w:qFormat/>
    <w:uiPriority w:val="0"/>
    <w:rPr>
      <w:kern w:val="2"/>
      <w:sz w:val="18"/>
      <w:szCs w:val="18"/>
    </w:rPr>
  </w:style>
  <w:style w:type="paragraph" w:customStyle="1" w:styleId="10">
    <w:name w:val="MTDisplayEquation"/>
    <w:basedOn w:val="1"/>
    <w:next w:val="1"/>
    <w:qFormat/>
    <w:uiPriority w:val="0"/>
    <w:pPr>
      <w:widowControl/>
      <w:tabs>
        <w:tab w:val="center" w:pos="4360"/>
        <w:tab w:val="right" w:pos="8300"/>
      </w:tabs>
      <w:ind w:left="420"/>
    </w:pPr>
    <w:rPr>
      <w:kern w:val="0"/>
      <w:sz w:val="24"/>
    </w:rPr>
  </w:style>
  <w:style w:type="character" w:styleId="11">
    <w:name w:val="Placeholder Text"/>
    <w:basedOn w:val="7"/>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2</Pages>
  <Words>694</Words>
  <Characters>839</Characters>
  <Lines>9</Lines>
  <Paragraphs>2</Paragraphs>
  <TotalTime>0</TotalTime>
  <ScaleCrop>false</ScaleCrop>
  <LinksUpToDate>false</LinksUpToDate>
  <CharactersWithSpaces>934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2020-02-26T00:13:00Z</dcterms:created>
  <dc:creator>MC SYSTEM</dc:creator>
  <cp:lastModifiedBy>hp</cp:lastModifiedBy>
  <cp:lastPrinted>2019-11-25T08:04:00Z</cp:lastPrinted>
  <dcterms:modified xsi:type="dcterms:W3CDTF">2022-11-21T02:10:57Z</dcterms:modified>
  <dc:title>直读光谱仪测量中低合金钢中锰含量的测量不确定度评定</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30F9979199C6428A903FEEA477D805AE</vt:lpwstr>
  </property>
</Properties>
</file>