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雪花啤酒（凉山）有限公司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西昌市宁远桥街宁星路2幢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西昌市宁远桥街宁星路2幢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邓雨琼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13618172510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吴宗奇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1320-2021-EO-2022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</w:rPr>
              <w:t>■</w:t>
            </w:r>
            <w:r>
              <w:rPr>
                <w:rFonts w:hint="eastAsia" w:ascii="宋体"/>
                <w:b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</w:rPr>
              <w:t>■</w:t>
            </w:r>
            <w:r>
              <w:rPr>
                <w:rFonts w:hint="eastAsia" w:ascii="宋体"/>
                <w:b/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</w:rPr>
              <w:t>■</w:t>
            </w:r>
            <w:r>
              <w:rPr>
                <w:rFonts w:hint="eastAsia" w:ascii="宋体"/>
                <w:b/>
                <w:color w:val="0000FF"/>
                <w:sz w:val="21"/>
                <w:szCs w:val="21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E：雪花啤酒的生产所涉及场所的相关环境管理活动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O：雪花啤酒的生产所涉及场所的相关职业健康安全管理活动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E：03.10.05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 xml:space="preserve">2022年11月30日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 xml:space="preserve">午至2022年12月01日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E:03.10.05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O:03.10.05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68580</wp:posOffset>
                  </wp:positionV>
                  <wp:extent cx="815340" cy="403860"/>
                  <wp:effectExtent l="0" t="0" r="3810" b="15240"/>
                  <wp:wrapNone/>
                  <wp:docPr id="1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="980" w:tblpY="624"/>
        <w:tblOverlap w:val="never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87"/>
        <w:gridCol w:w="1375"/>
        <w:gridCol w:w="545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8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5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8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825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1" w:hRule="atLeast"/>
        </w:trPr>
        <w:tc>
          <w:tcPr>
            <w:tcW w:w="68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5" w:type="dxa"/>
          </w:tcPr>
          <w:p>
            <w:pPr>
              <w:spacing w:line="24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含管代、员工代表）</w:t>
            </w:r>
          </w:p>
        </w:tc>
        <w:tc>
          <w:tcPr>
            <w:tcW w:w="545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总则；10.3持续改进。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9.1监视、测量、分析和评价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</w:rPr>
              <w:t>改进 总则；10.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持续改进。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范围的确认，资质的确认，管理体系变化情况、法律法规执行情况，重大环境事故及职业健康安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全投诉情况，认证证书及标识使用情况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上次不符合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验证。</w:t>
            </w:r>
          </w:p>
          <w:p>
            <w:pPr>
              <w:pStyle w:val="2"/>
            </w:pPr>
          </w:p>
        </w:tc>
        <w:tc>
          <w:tcPr>
            <w:tcW w:w="1159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冉景洲（手机、微信）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68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5" w:type="dxa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45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bookmarkStart w:id="36" w:name="_GoBack"/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 w:ascii="宋体" w:hAnsi="宋体" w:cs="新宋体"/>
                <w:sz w:val="21"/>
                <w:szCs w:val="21"/>
              </w:rPr>
              <w:t>.3组织的角色、职责和权限；6.1.2环境因素；6.1.3合规义务；6.2目标及其达成的策划；8.1运行策划和控制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；8.2应急准备和响应；9.1监视、测量、分析与评估；9.1.2符合性评估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9.2内部审核；10.2不符合和纠正措施；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9.2内部审核；10.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事件、不符合和纠正措施；</w:t>
            </w:r>
          </w:p>
          <w:bookmarkEnd w:id="36"/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159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杨珍全（手机、微信）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68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7" w:type="dxa"/>
            <w:vAlign w:val="top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1375" w:type="dxa"/>
            <w:vAlign w:val="top"/>
          </w:tcPr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酿造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450" w:type="dxa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EMS：</w:t>
            </w:r>
          </w:p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5.3组织的角色、职责和权限；6.1.2环境因素；6.2目标及其达成的策划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8.1运行策划和控制；8.2应急准备和响应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15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杨珍全（手机、微信）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</w:trPr>
        <w:tc>
          <w:tcPr>
            <w:tcW w:w="6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8:30-14:00</w:t>
            </w:r>
          </w:p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1375" w:type="dxa"/>
          </w:tcPr>
          <w:p>
            <w:pPr>
              <w:spacing w:line="24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营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运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450" w:type="dxa"/>
          </w:tcPr>
          <w:p>
            <w:pPr>
              <w:spacing w:line="240" w:lineRule="auto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EMS：</w:t>
            </w:r>
          </w:p>
          <w:p>
            <w:pPr>
              <w:spacing w:line="240" w:lineRule="auto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40" w:lineRule="auto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159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冉景洲（手机、微信）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6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7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财务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545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EMS：</w:t>
            </w:r>
          </w:p>
          <w:p>
            <w:pPr>
              <w:spacing w:line="240" w:lineRule="auto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5.3组织的角色、职责和权限；6.2目标及其达成的策划；8.1运行策划和控制；EMS运行控制相关财务支出证据。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5.3组织的角色、职责和权限；6.2目标及其达成的策划；8.1运行策划和控制；</w:t>
            </w:r>
            <w:r>
              <w:rPr>
                <w:rFonts w:hint="eastAsia" w:ascii="宋体" w:hAnsi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OHSMS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运行控制相关财务支出证据。</w:t>
            </w:r>
          </w:p>
          <w:p>
            <w:pPr>
              <w:pStyle w:val="2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9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68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25" w:type="dxa"/>
            <w:gridSpan w:val="2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159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40947B8"/>
    <w:rsid w:val="3FAB74DD"/>
    <w:rsid w:val="492434DC"/>
    <w:rsid w:val="5E3B6EA6"/>
    <w:rsid w:val="5EE74938"/>
    <w:rsid w:val="6EDA6267"/>
    <w:rsid w:val="70440E36"/>
    <w:rsid w:val="70485C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2148</Words>
  <Characters>3013</Characters>
  <Lines>37</Lines>
  <Paragraphs>10</Paragraphs>
  <TotalTime>10</TotalTime>
  <ScaleCrop>false</ScaleCrop>
  <LinksUpToDate>false</LinksUpToDate>
  <CharactersWithSpaces>3070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2022-11-30T07:27:09Z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