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49"/>
        <w:gridCol w:w="299"/>
        <w:gridCol w:w="855"/>
        <w:gridCol w:w="561"/>
        <w:gridCol w:w="86"/>
        <w:gridCol w:w="1004"/>
        <w:gridCol w:w="153"/>
        <w:gridCol w:w="1031"/>
        <w:gridCol w:w="237"/>
        <w:gridCol w:w="531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重庆易升电梯配件有限公司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重庆市永川区凤凰三路69号（重庆永川工业园区凤凰湖工业园内）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重庆市永川区凤凰三路69号（重庆永川工业园区凤凰湖工业园内）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苟国军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18302312399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翁菊方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1251-2021-Q-2022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电梯配件的生产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电梯配件的生产所涉及的相关职业健康安全管理活动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OHSMS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2022年11月18日 上午至2022年11月18日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马焕秋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2022-N0QMS-1296764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15966077050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肖禹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重庆市华菱电梯配件有限公司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O:18.02.02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18996019881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8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肖禹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重庆市华菱电梯配件有限公司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O:18.02.02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18996019881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/>
        </w:tc>
        <w:tc>
          <w:tcPr>
            <w:tcW w:w="1811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6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54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5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2022年11月1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2022年11月1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2022年11月1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78"/>
        <w:gridCol w:w="856"/>
        <w:gridCol w:w="6783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7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49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639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首次会议(视频会议)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6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856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83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总则；7.1.2人员；9.1监视、测量、分析和评价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；9.1.3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分析和评价；9.2内部审核；9.3管理评审；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0.1改进 总则；10.3持续改进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9.1监视、测量、分析和评价；9.2内部审核；9.3管理评审；10.1改进 总则；10.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范围的确认，资质的确认，管理体系变化情况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安全投诉，认证证书及标识使用情况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上次不符合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(制造部Q8.5.1)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冉景洲、</w:t>
            </w:r>
            <w:bookmarkStart w:id="36" w:name="_GoBack"/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de-DE" w:eastAsia="zh-CN"/>
              </w:rPr>
              <w:t>马焕秋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（手机、</w:t>
            </w:r>
            <w:bookmarkEnd w:id="36"/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制造部</w:t>
            </w:r>
          </w:p>
        </w:tc>
        <w:tc>
          <w:tcPr>
            <w:tcW w:w="678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；8.5.2标识和可追溯性；8.5.4防护；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张心、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de-DE" w:eastAsia="zh-CN"/>
              </w:rPr>
              <w:t>肖禹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7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制造部</w:t>
            </w:r>
          </w:p>
        </w:tc>
        <w:tc>
          <w:tcPr>
            <w:tcW w:w="6783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10:00-12:00</w:t>
            </w:r>
          </w:p>
        </w:tc>
        <w:tc>
          <w:tcPr>
            <w:tcW w:w="856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（含财务）</w:t>
            </w:r>
          </w:p>
        </w:tc>
        <w:tc>
          <w:tcPr>
            <w:tcW w:w="6783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6.2目标及其实现的策划；7.1资源；7.2能力；7.3意识；7.4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信息和沟通；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7.5文件化信息；8.1运行策划和控制；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8.2应急准备和响应；9.1.1监视、测量、分析和评价；9.1.2法律法规要求和其他要求的合规性评价；10.1事件、不符合和纠正措施；10.2持续改进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/OHSMS运行控制财务支出证据。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8600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部</w:t>
            </w:r>
          </w:p>
        </w:tc>
        <w:tc>
          <w:tcPr>
            <w:tcW w:w="678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/不适合验证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8.4外部提供供方的控制； 8.5.5交付后的活动；8.5.6更改控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8.6产品和服务放行；8.7不合格输出的控制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de-DE" w:eastAsia="zh-CN"/>
              </w:rPr>
              <w:t>马焕秋肖禹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（含财务）</w:t>
            </w:r>
          </w:p>
        </w:tc>
        <w:tc>
          <w:tcPr>
            <w:tcW w:w="678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pacing w:line="360" w:lineRule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目标及其实现的策划；7.1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资源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总则；7.1.2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人员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；7.2能力；7.3意识；7.4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信息和沟通；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7.5文件化信息；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10.2持续改进；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部</w:t>
            </w:r>
          </w:p>
        </w:tc>
        <w:tc>
          <w:tcPr>
            <w:tcW w:w="678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；8.5.3顾客或外部供方的财产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 xml:space="preserve">OHSMS: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6.2目标及其实现的策划；8.1运行策划和控制；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8.2应急准备和响应；</w:t>
            </w:r>
          </w:p>
        </w:tc>
        <w:tc>
          <w:tcPr>
            <w:tcW w:w="9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4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16:30-17:00</w:t>
            </w:r>
          </w:p>
        </w:tc>
        <w:tc>
          <w:tcPr>
            <w:tcW w:w="763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视频会议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1B83D20"/>
    <w:rsid w:val="1BF03B5D"/>
    <w:rsid w:val="29110660"/>
    <w:rsid w:val="29A72BFB"/>
    <w:rsid w:val="2BAB5833"/>
    <w:rsid w:val="300449D0"/>
    <w:rsid w:val="365776AD"/>
    <w:rsid w:val="521465DE"/>
    <w:rsid w:val="573A2114"/>
    <w:rsid w:val="70196FDF"/>
    <w:rsid w:val="73064192"/>
    <w:rsid w:val="7A847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2380</Words>
  <Characters>3418</Characters>
  <Lines>37</Lines>
  <Paragraphs>10</Paragraphs>
  <TotalTime>1</TotalTime>
  <ScaleCrop>false</ScaleCrop>
  <LinksUpToDate>false</LinksUpToDate>
  <CharactersWithSpaces>3483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2022-11-18T03:52:11Z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