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B3297E" w:rsidRDefault="0084257F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B3297E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009"/>
        <w:gridCol w:w="11076"/>
        <w:gridCol w:w="879"/>
      </w:tblGrid>
      <w:tr w:rsidR="00642669" w:rsidRPr="00E501D6">
        <w:trPr>
          <w:trHeight w:val="515"/>
        </w:trPr>
        <w:tc>
          <w:tcPr>
            <w:tcW w:w="1745" w:type="dxa"/>
            <w:vMerge w:val="restart"/>
            <w:vAlign w:val="center"/>
          </w:tcPr>
          <w:p w:rsidR="00642669" w:rsidRPr="00E501D6" w:rsidRDefault="0084257F" w:rsidP="00E501D6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42669" w:rsidRPr="00E501D6" w:rsidRDefault="0084257F" w:rsidP="00E501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009" w:type="dxa"/>
            <w:vMerge w:val="restart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Pr="00E501D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办公室  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主管领导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82C99">
              <w:rPr>
                <w:rFonts w:ascii="楷体" w:eastAsia="楷体" w:hAnsi="楷体" w:cs="Arial" w:hint="eastAsia"/>
                <w:sz w:val="24"/>
                <w:szCs w:val="24"/>
              </w:rPr>
              <w:t>曹凯</w:t>
            </w:r>
            <w:r w:rsidR="00965FAA"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42669" w:rsidRPr="00E501D6">
        <w:trPr>
          <w:trHeight w:val="403"/>
        </w:trPr>
        <w:tc>
          <w:tcPr>
            <w:tcW w:w="1745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E501D6" w:rsidRDefault="0084257F" w:rsidP="00582C9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             审核时间：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79" w:type="dxa"/>
            <w:vMerge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516"/>
        </w:trPr>
        <w:tc>
          <w:tcPr>
            <w:tcW w:w="1745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B3297E" w:rsidRDefault="0084257F" w:rsidP="00B3297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3297E"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Pr="00B3297E">
              <w:rPr>
                <w:rFonts w:ascii="楷体" w:eastAsia="楷体" w:hAnsi="楷体" w:cs="Arial" w:hint="eastAsia"/>
                <w:szCs w:val="21"/>
              </w:rPr>
              <w:t>EMS:6.1.2环境因素、6.1.3合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642669" w:rsidRPr="00B3297E" w:rsidRDefault="0084257F" w:rsidP="00B3297E">
            <w:pPr>
              <w:snapToGrid w:val="0"/>
              <w:rPr>
                <w:rFonts w:ascii="楷体" w:eastAsia="楷体" w:hAnsi="楷体"/>
                <w:szCs w:val="21"/>
              </w:rPr>
            </w:pPr>
            <w:r w:rsidRPr="00B3297E">
              <w:rPr>
                <w:rFonts w:ascii="楷体" w:eastAsia="楷体" w:hAnsi="楷体" w:cs="Arial" w:hint="eastAsia"/>
                <w:szCs w:val="21"/>
              </w:rPr>
              <w:t>OHSAS:4.3.1危险源的辨识与评价、4.3.2法律法规和其他要求、4.3.3目标、指标和方案、4.4.6运行控制、4.4.7应急准备和响应、4.5.1绩效测量、4.5.2合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性评价</w:t>
            </w:r>
            <w:r w:rsidR="002942A5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879" w:type="dxa"/>
            <w:vMerge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1255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Default="0084257F" w:rsidP="00E501D6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QE6.2</w:t>
            </w:r>
            <w:r w:rsidR="00C66E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</w:p>
          <w:p w:rsidR="00C66E1A" w:rsidRPr="00E501D6" w:rsidRDefault="00C66E1A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QE6.2.2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4.3.3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管理目标：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培训计划完成率100%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培训合格率100%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文件化信息受控率100%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固体废弃物有效处置率100%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火灾发生率0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642669" w:rsidRDefault="0084257F" w:rsidP="00320F2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目标均可量化可测量。考核周期半年，提供目标完成统计表，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019年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9月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管理目标均已完成。考核人：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="002942A5">
              <w:rPr>
                <w:rFonts w:ascii="楷体" w:eastAsia="楷体" w:hAnsi="楷体" w:hint="eastAsia"/>
                <w:sz w:val="24"/>
                <w:szCs w:val="24"/>
              </w:rPr>
              <w:t>、曹凯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6E1A" w:rsidRDefault="001A4918" w:rsidP="00320F2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企业</w:t>
            </w:r>
            <w:r w:rsidR="00C66E1A" w:rsidRPr="001A4918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为实现管理目标策划了</w:t>
            </w: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适当的</w:t>
            </w:r>
            <w:bookmarkStart w:id="0" w:name="_GoBack"/>
            <w:bookmarkEnd w:id="0"/>
            <w:r w:rsidRPr="001A4918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措施及管理方案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56053" w:rsidRDefault="00E52A8D" w:rsidP="00320F2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提供环境和职业健康安全</w:t>
            </w:r>
            <w:r w:rsidR="00856053">
              <w:rPr>
                <w:rFonts w:ascii="楷体" w:eastAsia="楷体" w:hAnsi="楷体" w:hint="eastAsia"/>
                <w:sz w:val="24"/>
                <w:szCs w:val="24"/>
              </w:rPr>
              <w:t>管理方案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2760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人身伤害发生率为</w:t>
            </w:r>
            <w:r w:rsidR="00D821E4" w:rsidRPr="00227600">
              <w:rPr>
                <w:rFonts w:ascii="楷体" w:eastAsia="楷体" w:hAnsi="楷体"/>
                <w:sz w:val="24"/>
                <w:szCs w:val="24"/>
              </w:rPr>
              <w:t>0</w:t>
            </w:r>
            <w:r w:rsidRPr="00227600">
              <w:rPr>
                <w:rFonts w:ascii="楷体" w:eastAsia="楷体" w:hAnsi="楷体"/>
                <w:sz w:val="24"/>
                <w:szCs w:val="24"/>
              </w:rPr>
              <w:t>管理方案</w:t>
            </w:r>
            <w:r w:rsidRPr="002276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52A8D" w:rsidRPr="00A60965" w:rsidRDefault="00E52A8D" w:rsidP="00D821E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27600">
              <w:rPr>
                <w:rFonts w:ascii="楷体" w:eastAsia="楷体" w:hAnsi="楷体" w:hint="eastAsia"/>
                <w:sz w:val="24"/>
                <w:szCs w:val="24"/>
              </w:rPr>
              <w:t>主要的技术方案和措施：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加强培训，加强车辆、机械的</w:t>
            </w:r>
            <w:r w:rsidR="00D821E4" w:rsidRPr="00D821E4">
              <w:rPr>
                <w:rFonts w:ascii="楷体" w:eastAsia="楷体" w:hAnsi="楷体" w:cs="宋体" w:hint="eastAsia"/>
                <w:sz w:val="24"/>
                <w:szCs w:val="24"/>
              </w:rPr>
              <w:t>检查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D821E4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9E2E47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E52A8D" w:rsidRPr="00A60965" w:rsidRDefault="00E52A8D" w:rsidP="00E52A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编制：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张永辉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56053" w:rsidRPr="00E501D6" w:rsidRDefault="00E52A8D" w:rsidP="00E52A8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110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环境因素识别、危险源辨识及控制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O4.3.1</w:t>
            </w: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1)按《环境因素识别评价管理程序</w:t>
            </w:r>
            <w:r w:rsidR="00747D89" w:rsidRPr="002D10D3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2D10D3">
              <w:rPr>
                <w:rFonts w:ascii="楷体" w:eastAsia="楷体" w:hAnsi="楷体" w:hint="eastAsia"/>
                <w:sz w:val="24"/>
                <w:szCs w:val="24"/>
              </w:rPr>
              <w:t>.CX19-2018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》进行环境因素的识别、登记评价，以确定重要环境因素以及对环境因素的定期更新，环境因素的识别和确定考虑生命周期观点。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提供了“环境因素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识别评价</w:t>
            </w:r>
            <w:r w:rsidR="000D19F5" w:rsidRPr="00E501D6">
              <w:rPr>
                <w:rFonts w:ascii="楷体" w:eastAsia="楷体" w:hAnsi="楷体" w:hint="eastAsia"/>
                <w:sz w:val="24"/>
                <w:szCs w:val="24"/>
              </w:rPr>
              <w:t>汇总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表”，识别的环境因素标明时态、状态和对环境的影响；识别出办公活动中产生的纸张等消耗、固废排放、生活废水排放等环境因素</w:t>
            </w:r>
            <w:r w:rsidR="00E620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620E7" w:rsidRPr="00E501D6">
              <w:rPr>
                <w:rFonts w:ascii="楷体" w:eastAsia="楷体" w:hAnsi="楷体" w:hint="eastAsia"/>
                <w:sz w:val="24"/>
                <w:szCs w:val="24"/>
              </w:rPr>
              <w:t>无变化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。  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提供了“重要环境因素清单”：本部门的重要环境因素：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固废排放、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="00046911"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2）提供了公司制定</w:t>
            </w:r>
            <w:r w:rsidR="00DD14C1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危险源辨识和风险评价控制程序</w:t>
            </w:r>
            <w:r w:rsidR="00747D89" w:rsidRPr="002D10D3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2D10D3">
              <w:rPr>
                <w:rFonts w:ascii="楷体" w:eastAsia="楷体" w:hAnsi="楷体" w:hint="eastAsia"/>
                <w:sz w:val="24"/>
                <w:szCs w:val="24"/>
              </w:rPr>
              <w:t>.CX22-2018</w:t>
            </w:r>
            <w:r w:rsidR="00DD14C1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确保公司在所有管理活动或服务过程中能最大限度、充分地进行危险源辨识与风险性评价，确定重大危险源并及时更新，实现对危险源与重大危险源的有效控制。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提供了“危险源辨识和风险评价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一览表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”，对</w:t>
            </w:r>
            <w:r w:rsidR="00684682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活动场所产生的危险源辨识并进行风险评价，以确定控制措施，</w:t>
            </w:r>
            <w:r w:rsidR="000E19E0">
              <w:rPr>
                <w:rFonts w:ascii="楷体" w:eastAsia="楷体" w:hAnsi="楷体" w:hint="eastAsia"/>
                <w:sz w:val="24"/>
                <w:szCs w:val="24"/>
              </w:rPr>
              <w:t>辨识出线路老化、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电线漏电、交通事故等情况产生的火灾、触电、意外伤害等危险因素</w:t>
            </w:r>
            <w:r w:rsidR="00E620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620E7" w:rsidRPr="00E501D6">
              <w:rPr>
                <w:rFonts w:ascii="楷体" w:eastAsia="楷体" w:hAnsi="楷体" w:hint="eastAsia"/>
                <w:sz w:val="24"/>
                <w:szCs w:val="24"/>
              </w:rPr>
              <w:t>无变化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E19E0" w:rsidRDefault="0084257F" w:rsidP="005344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提供了“重大危险源清单”涉及本部门的重大危险源有：火灾，</w:t>
            </w:r>
            <w:r w:rsidR="005344AB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42669" w:rsidRPr="00E501D6" w:rsidRDefault="0084257F" w:rsidP="00BB2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针对</w:t>
            </w:r>
            <w:r w:rsidR="000E19E0">
              <w:rPr>
                <w:rFonts w:ascii="楷体" w:eastAsia="楷体" w:hAnsi="楷体" w:hint="eastAsia"/>
                <w:sz w:val="24"/>
                <w:szCs w:val="24"/>
              </w:rPr>
              <w:t>重要环境因素、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重大危险源编制了</w:t>
            </w:r>
            <w:r w:rsidR="00BB2755">
              <w:rPr>
                <w:rFonts w:ascii="楷体" w:eastAsia="楷体" w:hAnsi="楷体" w:hint="eastAsia"/>
                <w:sz w:val="24"/>
                <w:szCs w:val="24"/>
              </w:rPr>
              <w:t>管理程序、加强培训、加强检查、配备消防器材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046911"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 w:rsidTr="00706D06">
        <w:trPr>
          <w:trHeight w:val="2235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O4.4.6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8D6617" w:rsidRDefault="00693621" w:rsidP="00E501D6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保持了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环境、安全管理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体系文件《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固体废弃物控制程序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.CX20-2018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能源资源管理程序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.CX21-2018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消防安全管理程序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.CX13-2018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环境管理办法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》等。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1、废水管控</w:t>
            </w:r>
          </w:p>
          <w:p w:rsidR="00642669" w:rsidRPr="00E501D6" w:rsidRDefault="00396DA3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无生产废水，生活废水排入园区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污水管网统一处理。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2、废气管控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396DA3">
              <w:rPr>
                <w:rFonts w:ascii="楷体" w:eastAsia="楷体" w:hAnsi="楷体" w:cs="宋体" w:hint="eastAsia"/>
                <w:sz w:val="24"/>
                <w:szCs w:val="24"/>
              </w:rPr>
              <w:t>及</w:t>
            </w:r>
            <w:r w:rsidR="00705EF3">
              <w:rPr>
                <w:rFonts w:ascii="楷体" w:eastAsia="楷体" w:hAnsi="楷体" w:cs="宋体" w:hint="eastAsia"/>
                <w:sz w:val="24"/>
                <w:szCs w:val="24"/>
              </w:rPr>
              <w:t>仓储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现场基本无废气排放。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3、噪声管控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办公噪声主要是</w:t>
            </w:r>
            <w:r w:rsidR="00705EF3">
              <w:rPr>
                <w:rFonts w:ascii="楷体" w:eastAsia="楷体" w:hAnsi="楷体" w:cs="宋体" w:hint="eastAsia"/>
                <w:sz w:val="24"/>
                <w:szCs w:val="24"/>
              </w:rPr>
              <w:t>打印机及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复印机运行，噪声较低，采取措施购置噪声小的产品，按时清洁保养。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</w:p>
          <w:p w:rsidR="007D7E51" w:rsidRDefault="0084257F" w:rsidP="00102D9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主要为生活垃圾</w:t>
            </w:r>
            <w:r w:rsidR="00102D94">
              <w:rPr>
                <w:rFonts w:ascii="楷体" w:eastAsia="楷体" w:hAnsi="楷体" w:cs="宋体" w:hint="eastAsia"/>
                <w:sz w:val="24"/>
                <w:szCs w:val="24"/>
              </w:rPr>
              <w:t>和办公固废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，办公室有垃圾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篓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集中倒入垃圾站由市政环卫运送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至统一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地点集中处理。</w:t>
            </w:r>
          </w:p>
          <w:p w:rsidR="00642669" w:rsidRPr="00E501D6" w:rsidRDefault="00102D94" w:rsidP="00B35A0B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废弃物处置统计表，抽查2019.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日处理：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>废办公用纸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ab/>
              <w:t>3kg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>包装物20kg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，处理方式回收或废品收购站处理，处理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统计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人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84257F" w:rsidP="00E501D6"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能源资源管控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销售过程注意节水、节电</w:t>
            </w:r>
            <w:r w:rsidR="006C68B6">
              <w:rPr>
                <w:rFonts w:ascii="楷体" w:eastAsia="楷体" w:hAnsi="楷体" w:cs="宋体" w:hint="eastAsia"/>
                <w:sz w:val="24"/>
                <w:szCs w:val="24"/>
              </w:rPr>
              <w:t>、节约包装材料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，人走关闭开关，现场未发现有漏水和浪费电能的现象。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6、潜在火灾管控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办公室所在办公区域公司配有灭火器，在有效期内。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7、安全防护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公司给员工发放工作服、口罩</w:t>
            </w:r>
            <w:r w:rsidR="00620A7D">
              <w:rPr>
                <w:rFonts w:ascii="楷体" w:eastAsia="楷体" w:hAnsi="楷体" w:cs="宋体" w:hint="eastAsia"/>
                <w:sz w:val="24"/>
                <w:szCs w:val="24"/>
              </w:rPr>
              <w:t>、手套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等劳保用品。</w:t>
            </w:r>
          </w:p>
          <w:p w:rsidR="00642669" w:rsidRPr="00E501D6" w:rsidRDefault="0084257F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为关键长期员工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自管理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体系运行以来每月交</w:t>
            </w:r>
            <w:r w:rsidR="00620A7D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社保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，员工饮用</w:t>
            </w:r>
            <w:r w:rsidR="00D15125">
              <w:rPr>
                <w:rFonts w:ascii="楷体" w:eastAsia="楷体" w:hAnsi="楷体" w:cs="宋体" w:hint="eastAsia"/>
                <w:sz w:val="24"/>
                <w:szCs w:val="24"/>
              </w:rPr>
              <w:t>净化水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Default="008215F4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定期组织环保及安全培训。</w:t>
            </w:r>
          </w:p>
          <w:p w:rsidR="00620A7D" w:rsidRPr="00E501D6" w:rsidRDefault="00620A7D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为体系运行及时提供了财务支持，查2019.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日统计支出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月4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万元，主要用于</w:t>
            </w:r>
            <w:r w:rsidR="001F564E">
              <w:rPr>
                <w:rFonts w:ascii="楷体" w:eastAsia="楷体" w:hAnsi="楷体" w:cs="宋体" w:hint="eastAsia"/>
                <w:sz w:val="24"/>
                <w:szCs w:val="24"/>
              </w:rPr>
              <w:t>消防器材、垃圾处理、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劳保用品、</w:t>
            </w:r>
            <w:r w:rsidR="001F564E">
              <w:rPr>
                <w:rFonts w:ascii="楷体" w:eastAsia="楷体" w:hAnsi="楷体" w:cs="宋体" w:hint="eastAsia"/>
                <w:sz w:val="24"/>
                <w:szCs w:val="24"/>
              </w:rPr>
              <w:t>防暑降温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运行控制基本符合要求。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211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O4.4.7</w:t>
            </w:r>
          </w:p>
        </w:tc>
        <w:tc>
          <w:tcPr>
            <w:tcW w:w="11076" w:type="dxa"/>
            <w:vAlign w:val="center"/>
          </w:tcPr>
          <w:p w:rsidR="00642669" w:rsidRPr="00E501D6" w:rsidRDefault="00706D06" w:rsidP="00E501D6">
            <w:pPr>
              <w:pStyle w:val="Style2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了《应急准备和响应程序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9D6EE3">
              <w:rPr>
                <w:rFonts w:ascii="楷体" w:eastAsia="楷体" w:hAnsi="楷体" w:hint="eastAsia"/>
                <w:sz w:val="24"/>
                <w:szCs w:val="24"/>
              </w:rPr>
              <w:t>.CX15-2018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》，查看内容基本符合要求。</w:t>
            </w:r>
          </w:p>
          <w:p w:rsidR="00642669" w:rsidRPr="00E501D6" w:rsidRDefault="0084257F" w:rsidP="00E501D6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策划了应急预案包括火灾、触电、意外伤害、食物中毒等意外伤害等应急预案，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明确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紧急处理的措施和设施，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642669" w:rsidRPr="00E501D6" w:rsidRDefault="0084257F" w:rsidP="00E501D6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4428A7" w:rsidRPr="00E501D6">
              <w:rPr>
                <w:rFonts w:ascii="楷体" w:eastAsia="楷体" w:hAnsi="楷体" w:hint="eastAsia"/>
                <w:sz w:val="24"/>
                <w:szCs w:val="24"/>
              </w:rPr>
              <w:t>应急演练记录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演练时间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2019.8.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，地点公司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仓库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门口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空地，对演练过程进行了描述。</w:t>
            </w:r>
          </w:p>
          <w:p w:rsidR="009A1262" w:rsidRDefault="0084257F" w:rsidP="006540AC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尚存在如下问题需要改进：</w:t>
            </w:r>
            <w:r w:rsidR="00315B62" w:rsidRPr="009A1262">
              <w:rPr>
                <w:rFonts w:ascii="楷体" w:eastAsia="楷体" w:hAnsi="楷体" w:hint="eastAsia"/>
                <w:sz w:val="24"/>
                <w:szCs w:val="24"/>
              </w:rPr>
              <w:t>有1人在演练时不够严肃，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加强</w:t>
            </w:r>
            <w:r w:rsidR="00315B62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对相应员工消防知识的培训。</w:t>
            </w:r>
          </w:p>
          <w:p w:rsidR="00642669" w:rsidRDefault="006540AC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查应急预案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评审记录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演练后对应急预案进行了评审，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应急预案的制定基本合理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不需修订，评审人：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张永辉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曹凯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南丽圆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D6C1C" w:rsidRPr="00E501D6" w:rsidRDefault="00BD6C1C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上次审核不符合经现场验证已关闭。</w:t>
            </w:r>
          </w:p>
          <w:p w:rsidR="00642669" w:rsidRPr="00E501D6" w:rsidRDefault="0084257F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目前未发生火灾、人身伤害等事故。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45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监视、测量、分析、评价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QE9.1.1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O4.5.1</w:t>
            </w:r>
          </w:p>
        </w:tc>
        <w:tc>
          <w:tcPr>
            <w:tcW w:w="11076" w:type="dxa"/>
            <w:vAlign w:val="center"/>
          </w:tcPr>
          <w:p w:rsidR="00642669" w:rsidRDefault="0084257F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管理体系目标考核按半年进行，查到2019年</w:t>
            </w:r>
            <w:r w:rsidR="00FB1C70">
              <w:rPr>
                <w:rFonts w:ascii="楷体" w:eastAsia="楷体" w:hAnsi="楷体" w:cs="宋体" w:hint="eastAsia"/>
                <w:sz w:val="24"/>
                <w:szCs w:val="24"/>
              </w:rPr>
              <w:t>9月</w:t>
            </w:r>
            <w:r w:rsidR="00A77457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 w:rsidR="00FB1C7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目标考核记录，办公室负责考核，公司和分解各部门管理目标均已完成。</w:t>
            </w:r>
          </w:p>
          <w:p w:rsidR="00276FFB" w:rsidRPr="00276FFB" w:rsidRDefault="00276FFB" w:rsidP="003769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查到管理方案检测表，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检查日期：2019年10月</w:t>
            </w:r>
            <w:r w:rsidR="00A7745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日，检查人：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，公司管理方案措施能按期完成。</w:t>
            </w:r>
          </w:p>
          <w:p w:rsidR="00506C94" w:rsidRPr="00276FFB" w:rsidRDefault="00506C94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506C94" w:rsidRDefault="00506C94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抽查2019.</w:t>
            </w:r>
            <w:r w:rsidR="004213BC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213BC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分，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 xml:space="preserve"> 2019.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，2019.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，检查人：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C3D37" w:rsidRPr="00276FFB" w:rsidRDefault="002C3D37" w:rsidP="009B34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3413">
              <w:rPr>
                <w:rFonts w:ascii="楷体" w:eastAsia="楷体" w:hAnsi="楷体" w:cs="宋体" w:hint="eastAsia"/>
                <w:sz w:val="24"/>
                <w:szCs w:val="24"/>
              </w:rPr>
              <w:t>查到“线路、消防器材检查记录”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每月</w:t>
            </w:r>
            <w:r w:rsidRPr="009B3413">
              <w:rPr>
                <w:rFonts w:ascii="楷体" w:eastAsia="楷体" w:hAnsi="楷体" w:cs="宋体" w:hint="eastAsia"/>
                <w:sz w:val="24"/>
                <w:szCs w:val="24"/>
              </w:rPr>
              <w:t>对办公室及仓库进行检查，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查2019.1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0.17日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检查记录，未发现异常，检查人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027FA0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部门介绍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上级环保、安</w:t>
            </w:r>
            <w:proofErr w:type="gramStart"/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监主管</w:t>
            </w:r>
            <w:proofErr w:type="gramEnd"/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部门到公司进行了监督检查，</w:t>
            </w:r>
            <w:r w:rsidR="00F057E4">
              <w:rPr>
                <w:rFonts w:ascii="楷体" w:eastAsia="楷体" w:hAnsi="楷体" w:cs="宋体" w:hint="eastAsia"/>
                <w:sz w:val="24"/>
                <w:szCs w:val="24"/>
              </w:rPr>
              <w:t>未发现问题，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未留书面文件。</w:t>
            </w:r>
          </w:p>
          <w:p w:rsidR="00642669" w:rsidRPr="00E501D6" w:rsidRDefault="0084257F" w:rsidP="00E501D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未有第三方对公司环境主要污染物排放</w:t>
            </w:r>
            <w:r w:rsidR="000C1EBD">
              <w:rPr>
                <w:rFonts w:ascii="楷体" w:eastAsia="楷体" w:hAnsi="楷体" w:cs="宋体" w:hint="eastAsia"/>
                <w:sz w:val="24"/>
                <w:szCs w:val="24"/>
              </w:rPr>
              <w:t>和作业场所职业危害因素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的监测</w:t>
            </w:r>
            <w:r w:rsidR="003769C0">
              <w:rPr>
                <w:rFonts w:ascii="楷体" w:eastAsia="楷体" w:hAnsi="楷体" w:cs="宋体" w:hint="eastAsia"/>
                <w:sz w:val="24"/>
                <w:szCs w:val="24"/>
              </w:rPr>
              <w:t>，没有环保及安全检测设备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84257F" w:rsidP="00E501D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公司经营能遵守相关的法律法规，没有违反质量、环境、职业健康安全法律法规现象，近期没有发生环境与安全的事故和违法情况。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 w:rsidTr="00B56A39">
        <w:trPr>
          <w:trHeight w:val="1101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E501D6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E501D6">
              <w:rPr>
                <w:rFonts w:ascii="楷体" w:eastAsia="楷体" w:hAnsi="楷体" w:hint="eastAsia"/>
                <w:sz w:val="24"/>
                <w:szCs w:val="24"/>
              </w:rPr>
              <w:t>义务、法律法规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E6.1.3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O4.3.2</w:t>
            </w:r>
          </w:p>
        </w:tc>
        <w:tc>
          <w:tcPr>
            <w:tcW w:w="11076" w:type="dxa"/>
          </w:tcPr>
          <w:p w:rsidR="00642669" w:rsidRPr="00E501D6" w:rsidRDefault="00AB589E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保持《</w:t>
            </w:r>
            <w:r w:rsidRPr="00AB589E">
              <w:rPr>
                <w:rFonts w:ascii="楷体" w:eastAsia="楷体" w:hAnsi="楷体" w:hint="eastAsia"/>
                <w:sz w:val="24"/>
                <w:szCs w:val="24"/>
              </w:rPr>
              <w:t>法律、法规和其他要求识别管理程序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Pr="00AB589E">
              <w:rPr>
                <w:rFonts w:ascii="楷体" w:eastAsia="楷体" w:hAnsi="楷体" w:hint="eastAsia"/>
                <w:sz w:val="24"/>
                <w:szCs w:val="24"/>
              </w:rPr>
              <w:t>.CX03-2018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公司法律法规和其它要求收集渠道有政府环保部门、安监部门、主管部门、国家网站等。法律法规和其它要求通过会议、培训等方式传达到相关方和公众，能够为其获取。</w:t>
            </w:r>
          </w:p>
          <w:p w:rsidR="00642669" w:rsidRPr="00E501D6" w:rsidRDefault="00121FD3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法律法规清单，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收集了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中华人民共和国劳动合同法、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中华人民共和国安全生产法、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中华人民共和国环境保护法、中华人民共和国固体废弃物污染环境防治法、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工伤保险条例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、女职工劳动保护规定、</w:t>
            </w:r>
            <w:r w:rsidR="00B56A39">
              <w:rPr>
                <w:rFonts w:ascii="楷体" w:eastAsia="楷体" w:hAnsi="楷体" w:hint="eastAsia"/>
                <w:sz w:val="24"/>
                <w:szCs w:val="24"/>
              </w:rPr>
              <w:t>山东省消防法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等环境、职业健康安全方面法律法规与其他要求均列入了清单，收集基本齐全，收集部门办公室。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89E" w:rsidRPr="00E501D6" w:rsidTr="00C3750F">
        <w:trPr>
          <w:trHeight w:val="2110"/>
        </w:trPr>
        <w:tc>
          <w:tcPr>
            <w:tcW w:w="1745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009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E9.1.2</w:t>
            </w:r>
          </w:p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O4.5.2</w:t>
            </w:r>
          </w:p>
        </w:tc>
        <w:tc>
          <w:tcPr>
            <w:tcW w:w="11076" w:type="dxa"/>
            <w:vAlign w:val="center"/>
          </w:tcPr>
          <w:p w:rsidR="00166748" w:rsidRDefault="00AB589E" w:rsidP="001667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保持《</w:t>
            </w:r>
            <w:r w:rsidRPr="00AB589E">
              <w:rPr>
                <w:rFonts w:ascii="楷体" w:eastAsia="楷体" w:hAnsi="楷体" w:cs="宋体" w:hint="eastAsia"/>
                <w:sz w:val="24"/>
                <w:szCs w:val="24"/>
              </w:rPr>
              <w:t>合规性评价程序</w:t>
            </w:r>
            <w:r w:rsidR="00747D89">
              <w:rPr>
                <w:rFonts w:ascii="楷体" w:eastAsia="楷体" w:hAnsi="楷体" w:cs="宋体" w:hint="eastAsia"/>
                <w:sz w:val="24"/>
                <w:szCs w:val="24"/>
              </w:rPr>
              <w:t>SDXW</w:t>
            </w:r>
            <w:r w:rsidRPr="00AB589E">
              <w:rPr>
                <w:rFonts w:ascii="楷体" w:eastAsia="楷体" w:hAnsi="楷体" w:cs="宋体" w:hint="eastAsia"/>
                <w:sz w:val="24"/>
                <w:szCs w:val="24"/>
              </w:rPr>
              <w:t>.CX17-2018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公司对法律法规和其他要求评价的主管部门、周期、检查等进行了规定。</w:t>
            </w:r>
          </w:p>
          <w:p w:rsidR="00166748" w:rsidRPr="00F44D4E" w:rsidRDefault="00C81499" w:rsidP="001667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性评价报告”、</w:t>
            </w:r>
            <w:r w:rsidR="00166748" w:rsidRPr="00F44D4E">
              <w:rPr>
                <w:rFonts w:ascii="楷体" w:eastAsia="楷体" w:hAnsi="楷体" w:cs="楷体" w:hint="eastAsia"/>
                <w:sz w:val="24"/>
                <w:szCs w:val="24"/>
              </w:rPr>
              <w:t>“职业康健安全法律法规符合性评价表”，对公司适用的法律法规和其他要求进行了评价，全部符合要求。</w:t>
            </w:r>
          </w:p>
          <w:p w:rsidR="00AB589E" w:rsidRPr="00E501D6" w:rsidRDefault="00166748" w:rsidP="00B84D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B84D65" w:rsidRPr="00B84D65">
              <w:rPr>
                <w:rFonts w:ascii="楷体" w:eastAsia="楷体" w:hAnsi="楷体" w:cs="楷体" w:hint="eastAsia"/>
                <w:sz w:val="24"/>
                <w:szCs w:val="24"/>
              </w:rPr>
              <w:t>王青、张永辉、曹凯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，日期：2019年</w:t>
            </w:r>
            <w:r w:rsidR="00B84D6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84D65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879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42669" w:rsidRPr="00E501D6" w:rsidRDefault="0084257F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501D6">
        <w:rPr>
          <w:rFonts w:ascii="楷体" w:eastAsia="楷体" w:hAnsi="楷体" w:hint="eastAsia"/>
          <w:sz w:val="24"/>
          <w:szCs w:val="24"/>
        </w:rPr>
        <w:t>说明：不符合标注N</w:t>
      </w:r>
    </w:p>
    <w:p w:rsidR="00642669" w:rsidRPr="00E501D6" w:rsidRDefault="00642669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642669" w:rsidRPr="00E501D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AC" w:rsidRDefault="001959AC">
      <w:r>
        <w:separator/>
      </w:r>
    </w:p>
  </w:endnote>
  <w:endnote w:type="continuationSeparator" w:id="0">
    <w:p w:rsidR="001959AC" w:rsidRDefault="0019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42669" w:rsidRDefault="008425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49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491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2669" w:rsidRDefault="00642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AC" w:rsidRDefault="001959AC">
      <w:r>
        <w:separator/>
      </w:r>
    </w:p>
  </w:footnote>
  <w:footnote w:type="continuationSeparator" w:id="0">
    <w:p w:rsidR="001959AC" w:rsidRDefault="0019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69" w:rsidRDefault="0084257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2669" w:rsidRDefault="0084257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42669" w:rsidRDefault="0084257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642669" w:rsidRDefault="0084257F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42669" w:rsidRDefault="006426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27FA0"/>
    <w:rsid w:val="0003373A"/>
    <w:rsid w:val="00046911"/>
    <w:rsid w:val="000B4982"/>
    <w:rsid w:val="000C0C7B"/>
    <w:rsid w:val="000C1EBD"/>
    <w:rsid w:val="000C2C4B"/>
    <w:rsid w:val="000D19F5"/>
    <w:rsid w:val="000D5D01"/>
    <w:rsid w:val="000E0245"/>
    <w:rsid w:val="000E19E0"/>
    <w:rsid w:val="000E2500"/>
    <w:rsid w:val="000F7C94"/>
    <w:rsid w:val="00102D94"/>
    <w:rsid w:val="00121FD3"/>
    <w:rsid w:val="00166748"/>
    <w:rsid w:val="00194DCB"/>
    <w:rsid w:val="001959AC"/>
    <w:rsid w:val="001A2D7F"/>
    <w:rsid w:val="001A4918"/>
    <w:rsid w:val="001D660E"/>
    <w:rsid w:val="001F564E"/>
    <w:rsid w:val="00227600"/>
    <w:rsid w:val="00276FFB"/>
    <w:rsid w:val="002942A5"/>
    <w:rsid w:val="002C3D37"/>
    <w:rsid w:val="002D10D3"/>
    <w:rsid w:val="002E4951"/>
    <w:rsid w:val="00315B62"/>
    <w:rsid w:val="00320F2D"/>
    <w:rsid w:val="00337922"/>
    <w:rsid w:val="00340867"/>
    <w:rsid w:val="003752D0"/>
    <w:rsid w:val="003769C0"/>
    <w:rsid w:val="00380837"/>
    <w:rsid w:val="00396DA3"/>
    <w:rsid w:val="00397E8C"/>
    <w:rsid w:val="003A198A"/>
    <w:rsid w:val="003C0A6F"/>
    <w:rsid w:val="003F7F98"/>
    <w:rsid w:val="00410914"/>
    <w:rsid w:val="004213BC"/>
    <w:rsid w:val="004337D8"/>
    <w:rsid w:val="004428A7"/>
    <w:rsid w:val="004D532C"/>
    <w:rsid w:val="00506C94"/>
    <w:rsid w:val="005344AB"/>
    <w:rsid w:val="00536930"/>
    <w:rsid w:val="00552945"/>
    <w:rsid w:val="00564E53"/>
    <w:rsid w:val="00576C95"/>
    <w:rsid w:val="00582C99"/>
    <w:rsid w:val="00595E10"/>
    <w:rsid w:val="00620A7D"/>
    <w:rsid w:val="006409D6"/>
    <w:rsid w:val="00642669"/>
    <w:rsid w:val="00644FE2"/>
    <w:rsid w:val="0064616B"/>
    <w:rsid w:val="006540AC"/>
    <w:rsid w:val="0067640C"/>
    <w:rsid w:val="00684682"/>
    <w:rsid w:val="00693621"/>
    <w:rsid w:val="006C68B6"/>
    <w:rsid w:val="006E678B"/>
    <w:rsid w:val="00705EF3"/>
    <w:rsid w:val="00706D06"/>
    <w:rsid w:val="007170F9"/>
    <w:rsid w:val="00747D89"/>
    <w:rsid w:val="007757F3"/>
    <w:rsid w:val="007B6AF1"/>
    <w:rsid w:val="007D7E51"/>
    <w:rsid w:val="007E6AEB"/>
    <w:rsid w:val="008215F4"/>
    <w:rsid w:val="0084257F"/>
    <w:rsid w:val="00856053"/>
    <w:rsid w:val="008973EE"/>
    <w:rsid w:val="008D6617"/>
    <w:rsid w:val="008D7CDA"/>
    <w:rsid w:val="00933515"/>
    <w:rsid w:val="00965FAA"/>
    <w:rsid w:val="00971600"/>
    <w:rsid w:val="00990718"/>
    <w:rsid w:val="00990AF0"/>
    <w:rsid w:val="009973B4"/>
    <w:rsid w:val="009A1262"/>
    <w:rsid w:val="009A4713"/>
    <w:rsid w:val="009B3413"/>
    <w:rsid w:val="009C28C1"/>
    <w:rsid w:val="009D6EE3"/>
    <w:rsid w:val="009E2E47"/>
    <w:rsid w:val="009F7EED"/>
    <w:rsid w:val="00A3230F"/>
    <w:rsid w:val="00A77457"/>
    <w:rsid w:val="00A85E4A"/>
    <w:rsid w:val="00AA543E"/>
    <w:rsid w:val="00AB589E"/>
    <w:rsid w:val="00AF0AAB"/>
    <w:rsid w:val="00B174FF"/>
    <w:rsid w:val="00B3297E"/>
    <w:rsid w:val="00B35A0B"/>
    <w:rsid w:val="00B56A39"/>
    <w:rsid w:val="00B84D65"/>
    <w:rsid w:val="00B927C8"/>
    <w:rsid w:val="00BB2755"/>
    <w:rsid w:val="00BD6C1C"/>
    <w:rsid w:val="00BF597E"/>
    <w:rsid w:val="00C51A36"/>
    <w:rsid w:val="00C5381C"/>
    <w:rsid w:val="00C54BF8"/>
    <w:rsid w:val="00C55228"/>
    <w:rsid w:val="00C66E1A"/>
    <w:rsid w:val="00C73A1A"/>
    <w:rsid w:val="00C81499"/>
    <w:rsid w:val="00CA6E86"/>
    <w:rsid w:val="00CD391A"/>
    <w:rsid w:val="00CE315A"/>
    <w:rsid w:val="00D06F59"/>
    <w:rsid w:val="00D12C53"/>
    <w:rsid w:val="00D15125"/>
    <w:rsid w:val="00D821E4"/>
    <w:rsid w:val="00D8388C"/>
    <w:rsid w:val="00DD14C1"/>
    <w:rsid w:val="00DD7CF8"/>
    <w:rsid w:val="00E501D6"/>
    <w:rsid w:val="00E52A8D"/>
    <w:rsid w:val="00E620E7"/>
    <w:rsid w:val="00E91B54"/>
    <w:rsid w:val="00EA447E"/>
    <w:rsid w:val="00EB0164"/>
    <w:rsid w:val="00EC3D71"/>
    <w:rsid w:val="00ED0F62"/>
    <w:rsid w:val="00EE075C"/>
    <w:rsid w:val="00F057E4"/>
    <w:rsid w:val="00F52380"/>
    <w:rsid w:val="00FB1C70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92</cp:revision>
  <dcterms:created xsi:type="dcterms:W3CDTF">2015-06-17T12:51:00Z</dcterms:created>
  <dcterms:modified xsi:type="dcterms:W3CDTF">2020-03-06T08:07:00Z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