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受审核部门：生产部     主管领</w:t>
            </w:r>
            <w:r>
              <w:rPr>
                <w:rFonts w:hint="eastAsia" w:ascii="楷体" w:hAnsi="楷体" w:eastAsia="楷体" w:cs="Arial"/>
                <w:szCs w:val="21"/>
              </w:rPr>
              <w:t>导：</w:t>
            </w:r>
            <w:r>
              <w:rPr>
                <w:rFonts w:hint="eastAsia" w:ascii="楷体" w:hAnsi="楷体" w:eastAsia="楷体"/>
                <w:sz w:val="24"/>
                <w:szCs w:val="24"/>
                <w:lang w:val="en-US" w:eastAsia="zh-CN"/>
              </w:rPr>
              <w:t>张康康</w:t>
            </w:r>
            <w:r>
              <w:rPr>
                <w:rFonts w:hint="eastAsia" w:ascii="楷体" w:hAnsi="楷体" w:eastAsia="楷体"/>
                <w:sz w:val="24"/>
                <w:szCs w:val="24"/>
              </w:rPr>
              <w:t xml:space="preserve">     陪同人员：</w:t>
            </w:r>
            <w:r>
              <w:rPr>
                <w:rFonts w:hint="eastAsia" w:eastAsia="楷体"/>
                <w:sz w:val="21"/>
                <w:szCs w:val="21"/>
                <w:lang w:val="en-US" w:eastAsia="zh-CN"/>
              </w:rPr>
              <w:t>杨月芬</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2022.12.09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ascii="楷体" w:hAnsi="楷体" w:eastAsia="楷体" w:cs="Arial"/>
                <w:szCs w:val="21"/>
              </w:rPr>
            </w:pPr>
            <w:r>
              <w:rPr>
                <w:rFonts w:hint="eastAsia" w:ascii="楷体" w:hAnsi="楷体" w:eastAsia="楷体"/>
                <w:szCs w:val="21"/>
              </w:rPr>
              <w:t>审核条款：</w:t>
            </w:r>
            <w:r>
              <w:rPr>
                <w:rFonts w:hint="eastAsia" w:ascii="楷体" w:hAnsi="楷体" w:eastAsia="楷体" w:cs="Arial"/>
                <w:szCs w:val="21"/>
              </w:rPr>
              <w:t>QMS:5.3组织的岗位、职责和权限、6.2质量目标、7.1.3基础设施、7.1.4过程运行环境、8.1运行策划和控制、8.5.1生产和服务提供的控制、8.5.2产品标识和可追朔性、8.5.4产品防护、8.5.6生产和服务提供的更改控制</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组织的岗位职责和权限</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5.3</w:t>
            </w:r>
          </w:p>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与部门负责人沟通，了解本部门的职责权限，暂无变化。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
                <w:sz w:val="24"/>
                <w:szCs w:val="24"/>
              </w:rPr>
            </w:pPr>
            <w:r>
              <w:rPr>
                <w:rFonts w:hint="eastAsia" w:ascii="楷体" w:hAnsi="楷体" w:eastAsia="楷体" w:cs="宋体"/>
                <w:color w:val="000000"/>
                <w:kern w:val="0"/>
                <w:sz w:val="24"/>
                <w:szCs w:val="24"/>
              </w:rPr>
              <w:t>目标及其实现的策划总要求</w:t>
            </w: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6.2</w:t>
            </w:r>
          </w:p>
          <w:p>
            <w:pPr>
              <w:spacing w:line="360" w:lineRule="auto"/>
              <w:rPr>
                <w:rFonts w:ascii="楷体" w:hAnsi="楷体" w:eastAsia="楷体" w:cs="宋体"/>
                <w:color w:val="000000"/>
                <w:kern w:val="0"/>
                <w:sz w:val="24"/>
                <w:szCs w:val="24"/>
              </w:rPr>
            </w:pPr>
          </w:p>
          <w:p>
            <w:pPr>
              <w:spacing w:line="360" w:lineRule="auto"/>
              <w:rPr>
                <w:rFonts w:ascii="楷体" w:hAnsi="楷体" w:eastAsia="楷体"/>
                <w:b/>
                <w:sz w:val="24"/>
                <w:szCs w:val="24"/>
              </w:rPr>
            </w:pPr>
          </w:p>
        </w:tc>
        <w:tc>
          <w:tcPr>
            <w:tcW w:w="10004" w:type="dxa"/>
            <w:vAlign w:val="center"/>
          </w:tcPr>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本部门的目标有:</w:t>
            </w:r>
          </w:p>
          <w:tbl>
            <w:tblPr>
              <w:tblStyle w:val="12"/>
              <w:tblpPr w:leftFromText="180" w:rightFromText="180" w:vertAnchor="text" w:horzAnchor="page" w:tblpXSpec="center" w:tblpY="4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2"/>
              <w:gridCol w:w="328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tcBorders>
                    <w:bottom w:val="single" w:color="auto" w:sz="4" w:space="0"/>
                  </w:tcBorders>
                  <w:noWrap w:val="0"/>
                  <w:vAlign w:val="center"/>
                </w:tcPr>
                <w:p>
                  <w:pPr>
                    <w:pStyle w:val="6"/>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分目标</w:t>
                  </w:r>
                </w:p>
              </w:tc>
              <w:tc>
                <w:tcPr>
                  <w:tcW w:w="0" w:type="auto"/>
                  <w:tcBorders>
                    <w:bottom w:val="single" w:color="auto" w:sz="4" w:space="0"/>
                  </w:tcBorders>
                  <w:noWrap w:val="0"/>
                  <w:vAlign w:val="center"/>
                </w:tcPr>
                <w:p>
                  <w:pPr>
                    <w:pStyle w:val="6"/>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考核方法</w:t>
                  </w:r>
                </w:p>
              </w:tc>
              <w:tc>
                <w:tcPr>
                  <w:tcW w:w="0" w:type="auto"/>
                  <w:tcBorders>
                    <w:bottom w:val="single" w:color="auto" w:sz="4" w:space="0"/>
                  </w:tcBorders>
                  <w:noWrap w:val="0"/>
                  <w:vAlign w:val="center"/>
                </w:tcPr>
                <w:p>
                  <w:pPr>
                    <w:pStyle w:val="6"/>
                    <w:spacing w:before="80" w:beforeLines="20" w:after="80" w:afterLines="20" w:line="320" w:lineRule="exact"/>
                    <w:ind w:left="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考核结果1-10月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1.生产计划按时完成率100%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完成率＝完成数量÷计划数量×100%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 产品出厂达标率≥100%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合格率＝合格数量÷不合格数量总数×100%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3.设备完好率≥98%</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完好率＝设备总数÷完好设备×100%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4．办公场所分类处理各类废弃物，有专门收集箱并标识，回收处理率≥99%.</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处理率＝应回收处理总数÷处理率×100%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5.废弃物请回收部门清运及时率100%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及时率＝应清运总数÷清运次数×100%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bl>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部门分解目标与公司方针一致，可测量，并传达到部门相关人员，必要时适时更新，目前无变化。</w:t>
            </w:r>
          </w:p>
          <w:p>
            <w:pPr>
              <w:pStyle w:val="2"/>
              <w:ind w:firstLine="480" w:firstLineChars="200"/>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如工作中的废边角料、废包装袋、废活性炭等废弃物严格按废弃物控制规范进行处理；配备有效的灭火器等消防设施，安全操作隐患检查每月至少1次、现场每天检查操作规范性，防止影响环境的操作等……</w:t>
            </w:r>
          </w:p>
          <w:p>
            <w:pPr>
              <w:spacing w:line="360" w:lineRule="auto"/>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提供</w:t>
            </w:r>
            <w:r>
              <w:rPr>
                <w:rFonts w:hint="eastAsia" w:ascii="楷体" w:hAnsi="楷体" w:eastAsia="楷体" w:cs="宋体"/>
                <w:color w:val="000000"/>
                <w:sz w:val="24"/>
                <w:szCs w:val="24"/>
                <w:lang w:val="en-US" w:eastAsia="zh-CN"/>
              </w:rPr>
              <w:t>2021年10月30号</w:t>
            </w:r>
            <w:r>
              <w:rPr>
                <w:rFonts w:hint="eastAsia" w:ascii="楷体" w:hAnsi="楷体" w:eastAsia="楷体" w:cs="宋体"/>
                <w:color w:val="000000"/>
                <w:sz w:val="24"/>
                <w:szCs w:val="24"/>
              </w:rPr>
              <w:t>《</w:t>
            </w:r>
            <w:r>
              <w:rPr>
                <w:rFonts w:hint="eastAsia" w:ascii="楷体" w:hAnsi="楷体" w:eastAsia="楷体" w:cs="宋体"/>
                <w:color w:val="000000"/>
                <w:sz w:val="24"/>
                <w:szCs w:val="24"/>
                <w:lang w:val="en-US" w:eastAsia="zh-CN"/>
              </w:rPr>
              <w:t>环境</w:t>
            </w:r>
            <w:r>
              <w:rPr>
                <w:rFonts w:hint="eastAsia" w:ascii="楷体" w:hAnsi="楷体" w:eastAsia="楷体" w:cs="宋体"/>
                <w:color w:val="000000"/>
                <w:sz w:val="24"/>
                <w:szCs w:val="24"/>
              </w:rPr>
              <w:t>目标、指标及管理方案执行情况检查》，</w:t>
            </w:r>
            <w:r>
              <w:rPr>
                <w:rFonts w:hint="eastAsia" w:ascii="楷体" w:hAnsi="楷体" w:eastAsia="楷体" w:cs="宋体"/>
                <w:color w:val="000000"/>
                <w:sz w:val="24"/>
                <w:szCs w:val="24"/>
                <w:lang w:val="en-US" w:eastAsia="zh-CN"/>
              </w:rPr>
              <w:t>统计时间：</w:t>
            </w:r>
            <w:r>
              <w:rPr>
                <w:rFonts w:hint="eastAsia" w:ascii="楷体" w:hAnsi="楷体" w:eastAsia="楷体" w:cs="宋体"/>
                <w:color w:val="000000"/>
                <w:sz w:val="24"/>
                <w:szCs w:val="24"/>
              </w:rPr>
              <w:t>21年1月至21年</w:t>
            </w:r>
            <w:r>
              <w:rPr>
                <w:rFonts w:hint="eastAsia" w:ascii="楷体" w:hAnsi="楷体" w:eastAsia="楷体" w:cs="宋体"/>
                <w:color w:val="000000"/>
                <w:sz w:val="24"/>
                <w:szCs w:val="24"/>
                <w:lang w:val="en-US" w:eastAsia="zh-CN"/>
              </w:rPr>
              <w:t>10</w:t>
            </w:r>
            <w:r>
              <w:rPr>
                <w:rFonts w:hint="eastAsia" w:ascii="楷体" w:hAnsi="楷体" w:eastAsia="楷体" w:cs="宋体"/>
                <w:color w:val="000000"/>
                <w:sz w:val="24"/>
                <w:szCs w:val="24"/>
              </w:rPr>
              <w:t xml:space="preserve">月 </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完成情况：以上各产品标均已达成。时间表：自管理体系运行以来持续进行，已按管理方案要求实施。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环境因素</w:t>
            </w:r>
          </w:p>
          <w:p>
            <w:pPr>
              <w:spacing w:before="120" w:line="320" w:lineRule="exact"/>
              <w:rPr>
                <w:rFonts w:hint="eastAsia" w:ascii="楷体" w:hAnsi="楷体" w:eastAsia="楷体" w:cs="宋体"/>
                <w:color w:val="000000"/>
                <w:kern w:val="0"/>
                <w:sz w:val="24"/>
                <w:szCs w:val="24"/>
              </w:rPr>
            </w:pP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E6.1.2</w:t>
            </w:r>
          </w:p>
          <w:p>
            <w:pPr>
              <w:spacing w:before="120" w:line="320" w:lineRule="exact"/>
              <w:rPr>
                <w:rFonts w:ascii="楷体" w:hAnsi="楷体" w:eastAsia="楷体"/>
                <w:b/>
                <w:sz w:val="24"/>
                <w:szCs w:val="24"/>
              </w:rPr>
            </w:pPr>
          </w:p>
        </w:tc>
        <w:tc>
          <w:tcPr>
            <w:tcW w:w="10004" w:type="dxa"/>
            <w:vAlign w:val="top"/>
          </w:tcPr>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提供了《环境因素的识别、评价控制程序》、《危险源辨识、风险评价和控制措施确定控制程序》，对环境因素、危险源的识别、评价结果、控制手段等做出了规定。</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部门负责人介绍了对环境因素、危险源进行了辨识，考虑了三种时态，过去、现在和将来，三种状态，正常、异常和紧急，按照办公区域及工作过程，另外按照区域及工作过程等进行了辨识。</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设备维修（废弃丢弃、漏油、更换新部件）、配电室（故障、操作不当、电线电路老化）等环境因素。</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查到：《重要环境因素清单》，公司涉及重要环境因素：电的消耗，固体废弃物的排放，用电不当导致火灾，危废，废气、噪声排放等，本部门涉及的重要环境因素：均有涉及。</w:t>
            </w:r>
          </w:p>
          <w:p>
            <w:pPr>
              <w:spacing w:line="400" w:lineRule="exact"/>
              <w:ind w:firstLine="480" w:firstLineChars="200"/>
              <w:rPr>
                <w:rFonts w:hint="eastAsia" w:ascii="楷体" w:hAnsi="楷体" w:eastAsia="楷体" w:cs="宋体"/>
                <w:color w:val="000000"/>
                <w:sz w:val="24"/>
                <w:szCs w:val="24"/>
              </w:rPr>
            </w:pPr>
            <w:r>
              <w:rPr>
                <w:rFonts w:hint="eastAsia" w:ascii="楷体" w:hAnsi="楷体" w:eastAsia="楷体" w:cs="宋体"/>
                <w:bCs w:val="0"/>
                <w:color w:val="000000"/>
                <w:spacing w:val="0"/>
                <w:kern w:val="2"/>
                <w:sz w:val="24"/>
                <w:szCs w:val="24"/>
                <w:lang w:val="en-US" w:eastAsia="zh-CN" w:bidi="ar-SA"/>
              </w:rPr>
              <w:t>生产部环境因素评价基本符合标准要求</w:t>
            </w:r>
            <w:r>
              <w:rPr>
                <w:rFonts w:hint="eastAsia" w:ascii="Times New Roman" w:hAnsi="Times New Roman" w:eastAsia="宋体" w:cs="Times New Roman"/>
                <w:lang w:val="en-US" w:eastAsia="zh-CN"/>
              </w:rPr>
              <w:t>。</w:t>
            </w:r>
          </w:p>
        </w:tc>
        <w:tc>
          <w:tcPr>
            <w:tcW w:w="1585" w:type="dxa"/>
            <w:vAlign w:val="top"/>
          </w:tcPr>
          <w:p>
            <w:pPr>
              <w:spacing w:before="120" w:line="32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ascii="楷体" w:hAnsi="楷体" w:eastAsia="楷体" w:cs="宋体"/>
                <w:color w:val="000000"/>
                <w:kern w:val="0"/>
                <w:sz w:val="24"/>
                <w:szCs w:val="24"/>
              </w:rPr>
            </w:pPr>
          </w:p>
        </w:tc>
        <w:tc>
          <w:tcPr>
            <w:tcW w:w="1311" w:type="dxa"/>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ascii="楷体" w:hAnsi="楷体" w:eastAsia="楷体"/>
                <w:sz w:val="24"/>
                <w:szCs w:val="24"/>
              </w:rPr>
            </w:pPr>
          </w:p>
        </w:tc>
        <w:tc>
          <w:tcPr>
            <w:tcW w:w="10004" w:type="dxa"/>
            <w:vAlign w:val="center"/>
          </w:tcPr>
          <w:p>
            <w:pPr>
              <w:spacing w:line="360" w:lineRule="auto"/>
              <w:ind w:firstLine="465"/>
              <w:rPr>
                <w:rFonts w:ascii="楷体" w:hAnsi="楷体" w:eastAsia="楷体"/>
                <w:sz w:val="24"/>
                <w:szCs w:val="24"/>
              </w:rPr>
            </w:pPr>
            <w:r>
              <w:rPr>
                <w:rFonts w:hint="eastAsia" w:ascii="楷体" w:hAnsi="楷体" w:eastAsia="楷体"/>
                <w:sz w:val="24"/>
                <w:szCs w:val="24"/>
              </w:rPr>
              <w:t>该公司编制《设备维护保养管理办法》、《生产设施安全管理制度》。规定了设备设施的维护保养要求。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查公司生产设备主要包括：</w:t>
            </w:r>
            <w:r>
              <w:rPr>
                <w:rFonts w:hint="eastAsia" w:ascii="楷体" w:hAnsi="楷体" w:eastAsia="楷体"/>
                <w:sz w:val="24"/>
                <w:szCs w:val="24"/>
                <w:lang w:val="en-US" w:eastAsia="zh-CN"/>
              </w:rPr>
              <w:t>逆变式弧焊机</w:t>
            </w:r>
            <w:r>
              <w:rPr>
                <w:rFonts w:hint="eastAsia" w:ascii="楷体" w:hAnsi="楷体" w:eastAsia="楷体"/>
                <w:sz w:val="24"/>
                <w:szCs w:val="24"/>
              </w:rPr>
              <w:t>、</w:t>
            </w:r>
            <w:r>
              <w:rPr>
                <w:rFonts w:hint="eastAsia" w:ascii="楷体" w:hAnsi="楷体" w:eastAsia="楷体"/>
                <w:sz w:val="24"/>
                <w:szCs w:val="24"/>
                <w:lang w:val="en-US" w:eastAsia="zh-CN"/>
              </w:rPr>
              <w:t>数控切割机</w:t>
            </w:r>
            <w:r>
              <w:rPr>
                <w:rFonts w:hint="eastAsia" w:ascii="楷体" w:hAnsi="楷体" w:eastAsia="楷体"/>
                <w:sz w:val="24"/>
                <w:szCs w:val="24"/>
              </w:rPr>
              <w:t>、</w:t>
            </w:r>
            <w:r>
              <w:rPr>
                <w:rFonts w:hint="eastAsia" w:ascii="楷体" w:hAnsi="楷体" w:eastAsia="楷体"/>
                <w:sz w:val="24"/>
                <w:szCs w:val="24"/>
                <w:lang w:val="en-US" w:eastAsia="zh-CN"/>
              </w:rPr>
              <w:t>车床</w:t>
            </w:r>
            <w:r>
              <w:rPr>
                <w:rFonts w:hint="eastAsia" w:ascii="楷体" w:hAnsi="楷体" w:eastAsia="楷体"/>
                <w:sz w:val="24"/>
                <w:szCs w:val="24"/>
              </w:rPr>
              <w:t>等；办公设备有电脑、电话、传真机、打印/复印/扫描机。有厂房、办公楼，基础设施能够满足办公及生产的需求。</w:t>
            </w:r>
          </w:p>
          <w:p>
            <w:pPr>
              <w:tabs>
                <w:tab w:val="left" w:pos="6597"/>
              </w:tabs>
              <w:spacing w:line="360" w:lineRule="auto"/>
              <w:rPr>
                <w:rFonts w:ascii="楷体" w:hAnsi="楷体" w:eastAsia="楷体"/>
                <w:sz w:val="24"/>
                <w:szCs w:val="24"/>
              </w:rPr>
            </w:pPr>
            <w:r>
              <w:rPr>
                <w:rFonts w:hint="eastAsia" w:ascii="楷体" w:hAnsi="楷体" w:eastAsia="楷体"/>
                <w:sz w:val="24"/>
                <w:szCs w:val="24"/>
              </w:rPr>
              <w:t>组织按照《设备定期</w:t>
            </w:r>
            <w:r>
              <w:rPr>
                <w:rFonts w:hint="eastAsia" w:ascii="楷体" w:hAnsi="楷体" w:eastAsia="楷体"/>
                <w:sz w:val="24"/>
                <w:szCs w:val="24"/>
                <w:lang w:val="en-US" w:eastAsia="zh-CN"/>
              </w:rPr>
              <w:t>保养</w:t>
            </w:r>
            <w:r>
              <w:rPr>
                <w:rFonts w:hint="eastAsia" w:ascii="楷体" w:hAnsi="楷体" w:eastAsia="楷体"/>
                <w:sz w:val="24"/>
                <w:szCs w:val="24"/>
              </w:rPr>
              <w:t>记录》中的项目和频次进行维护，并做记录。</w:t>
            </w:r>
          </w:p>
          <w:p>
            <w:pPr>
              <w:tabs>
                <w:tab w:val="left" w:pos="6597"/>
              </w:tabs>
              <w:spacing w:line="360" w:lineRule="auto"/>
              <w:rPr>
                <w:rFonts w:hint="default" w:ascii="楷体" w:hAnsi="楷体" w:eastAsia="楷体"/>
                <w:sz w:val="24"/>
                <w:szCs w:val="24"/>
                <w:lang w:val="en-US" w:eastAsia="zh-CN"/>
              </w:rPr>
            </w:pPr>
            <w:r>
              <w:rPr>
                <w:rFonts w:hint="eastAsia" w:ascii="楷体" w:hAnsi="楷体" w:eastAsia="楷体"/>
                <w:sz w:val="24"/>
                <w:szCs w:val="24"/>
              </w:rPr>
              <w:t>抽：</w:t>
            </w:r>
            <w:r>
              <w:rPr>
                <w:rFonts w:hint="eastAsia" w:ascii="楷体" w:hAnsi="楷体" w:eastAsia="楷体"/>
                <w:sz w:val="24"/>
                <w:szCs w:val="24"/>
                <w:lang w:val="en-US" w:eastAsia="zh-CN"/>
              </w:rPr>
              <w:t>锯床</w:t>
            </w:r>
            <w:r>
              <w:rPr>
                <w:rFonts w:hint="eastAsia" w:ascii="楷体" w:hAnsi="楷体" w:eastAsia="楷体"/>
                <w:sz w:val="24"/>
                <w:szCs w:val="24"/>
              </w:rPr>
              <w:t>、</w:t>
            </w:r>
            <w:r>
              <w:rPr>
                <w:rFonts w:hint="eastAsia" w:ascii="楷体" w:hAnsi="楷体" w:eastAsia="楷体"/>
                <w:sz w:val="24"/>
                <w:szCs w:val="24"/>
                <w:lang w:val="en-US" w:eastAsia="zh-CN"/>
              </w:rPr>
              <w:t>行车、数控车床</w:t>
            </w:r>
            <w:r>
              <w:rPr>
                <w:rFonts w:hint="eastAsia" w:ascii="楷体" w:hAnsi="楷体" w:eastAsia="楷体"/>
                <w:sz w:val="24"/>
                <w:szCs w:val="24"/>
              </w:rPr>
              <w:t>的《设备</w:t>
            </w:r>
            <w:r>
              <w:rPr>
                <w:rFonts w:hint="eastAsia" w:ascii="楷体" w:hAnsi="楷体" w:eastAsia="楷体"/>
                <w:sz w:val="24"/>
                <w:szCs w:val="24"/>
                <w:lang w:val="en-US" w:eastAsia="zh-CN"/>
              </w:rPr>
              <w:t>维修/保养记录》，记录完善，保存有效</w:t>
            </w:r>
            <w:bookmarkStart w:id="0" w:name="_GoBack"/>
            <w:bookmarkEnd w:id="0"/>
            <w:r>
              <w:rPr>
                <w:rFonts w:hint="eastAsia" w:ascii="楷体" w:hAnsi="楷体" w:eastAsia="楷体"/>
                <w:sz w:val="24"/>
                <w:szCs w:val="24"/>
                <w:lang w:val="en-US" w:eastAsia="zh-CN"/>
              </w:rPr>
              <w:t>：</w:t>
            </w:r>
          </w:p>
          <w:p>
            <w:pPr>
              <w:pStyle w:val="2"/>
              <w:rPr>
                <w:rFonts w:hint="default" w:ascii="楷体" w:hAnsi="楷体" w:eastAsia="楷体"/>
                <w:sz w:val="24"/>
                <w:szCs w:val="24"/>
                <w:lang w:val="en-US" w:eastAsia="zh-CN"/>
              </w:rPr>
            </w:pPr>
            <w:r>
              <w:rPr>
                <w:rFonts w:hint="eastAsia"/>
                <w:lang w:val="en-US" w:eastAsia="zh-CN"/>
              </w:rPr>
              <w:t>、</w:t>
            </w:r>
          </w:p>
          <w:p>
            <w:pPr>
              <w:tabs>
                <w:tab w:val="left" w:pos="6597"/>
              </w:tabs>
              <w:spacing w:line="360" w:lineRule="auto"/>
              <w:rPr>
                <w:rFonts w:hint="eastAsia" w:ascii="楷体" w:hAnsi="楷体" w:eastAsia="楷体"/>
                <w:sz w:val="24"/>
                <w:szCs w:val="24"/>
              </w:rPr>
            </w:pPr>
            <w:r>
              <w:rPr>
                <w:rFonts w:hint="eastAsia" w:ascii="楷体" w:hAnsi="楷体" w:eastAsia="楷体"/>
                <w:sz w:val="24"/>
                <w:szCs w:val="24"/>
              </w:rPr>
              <w:t xml:space="preserve"> 特种设备：</w:t>
            </w:r>
          </w:p>
          <w:p>
            <w:pPr>
              <w:tabs>
                <w:tab w:val="left" w:pos="6597"/>
              </w:tabs>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特种设备控制</w:t>
            </w:r>
          </w:p>
          <w:p>
            <w:pPr>
              <w:tabs>
                <w:tab w:val="left" w:pos="6597"/>
              </w:tabs>
              <w:spacing w:line="360" w:lineRule="auto"/>
              <w:rPr>
                <w:rFonts w:hint="eastAsia"/>
                <w:highlight w:val="none"/>
                <w:vertAlign w:val="baseline"/>
                <w:lang w:val="en-US" w:eastAsia="zh-CN"/>
              </w:rPr>
            </w:pPr>
            <w:r>
              <w:rPr>
                <w:rFonts w:hint="eastAsia" w:ascii="楷体" w:hAnsi="楷体" w:eastAsia="楷体"/>
                <w:sz w:val="24"/>
                <w:szCs w:val="24"/>
                <w:lang w:val="en-US" w:eastAsia="zh-CN"/>
              </w:rPr>
              <w:t>特种设备种类：</w:t>
            </w:r>
            <w:r>
              <w:rPr>
                <w:rFonts w:hint="eastAsia" w:ascii="楷体" w:hAnsi="楷体" w:eastAsia="楷体"/>
                <w:sz w:val="24"/>
                <w:szCs w:val="24"/>
                <w:lang w:val="en-US" w:eastAsia="zh-CN"/>
              </w:rPr>
              <w:sym w:font="Wingdings" w:char="00FE"/>
            </w:r>
            <w:r>
              <w:rPr>
                <w:rFonts w:hint="eastAsia" w:ascii="楷体" w:hAnsi="楷体" w:eastAsia="楷体"/>
                <w:sz w:val="24"/>
                <w:szCs w:val="24"/>
                <w:lang w:val="en-US" w:eastAsia="zh-CN"/>
              </w:rPr>
              <w:t xml:space="preserve">叉车 </w:t>
            </w:r>
            <w:r>
              <w:rPr>
                <w:rFonts w:hint="eastAsia" w:ascii="楷体" w:hAnsi="楷体" w:eastAsia="楷体"/>
                <w:sz w:val="24"/>
                <w:szCs w:val="24"/>
                <w:lang w:val="en-US" w:eastAsia="zh-CN"/>
              </w:rPr>
              <w:sym w:font="Wingdings" w:char="00FE"/>
            </w:r>
            <w:r>
              <w:rPr>
                <w:rFonts w:hint="eastAsia" w:ascii="楷体" w:hAnsi="楷体" w:eastAsia="楷体"/>
                <w:sz w:val="24"/>
                <w:szCs w:val="24"/>
                <w:lang w:val="en-US" w:eastAsia="zh-CN"/>
              </w:rPr>
              <w:t xml:space="preserve">行车 </w:t>
            </w:r>
            <w:r>
              <w:rPr>
                <w:rFonts w:hint="eastAsia" w:ascii="楷体" w:hAnsi="楷体" w:eastAsia="楷体"/>
                <w:sz w:val="24"/>
                <w:szCs w:val="24"/>
                <w:lang w:val="en-US" w:eastAsia="zh-CN"/>
              </w:rPr>
              <w:sym w:font="Wingdings" w:char="00A8"/>
            </w:r>
            <w:r>
              <w:rPr>
                <w:rFonts w:hint="eastAsia" w:ascii="楷体" w:hAnsi="楷体" w:eastAsia="楷体"/>
                <w:sz w:val="24"/>
                <w:szCs w:val="24"/>
                <w:lang w:val="en-US" w:eastAsia="zh-CN"/>
              </w:rPr>
              <w:t xml:space="preserve">锅炉 </w:t>
            </w:r>
            <w:r>
              <w:rPr>
                <w:rFonts w:hint="eastAsia" w:ascii="楷体" w:hAnsi="楷体" w:eastAsia="楷体"/>
                <w:sz w:val="24"/>
                <w:szCs w:val="24"/>
                <w:lang w:val="en-US" w:eastAsia="zh-CN"/>
              </w:rPr>
              <w:sym w:font="Wingdings" w:char="00A8"/>
            </w:r>
            <w:r>
              <w:rPr>
                <w:rFonts w:hint="eastAsia" w:ascii="楷体" w:hAnsi="楷体" w:eastAsia="楷体"/>
                <w:sz w:val="24"/>
                <w:szCs w:val="24"/>
                <w:lang w:val="en-US" w:eastAsia="zh-CN"/>
              </w:rPr>
              <w:t xml:space="preserve">电梯 </w:t>
            </w:r>
          </w:p>
          <w:tbl>
            <w:tblPr>
              <w:tblStyle w:val="13"/>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20"/>
              <w:gridCol w:w="1870"/>
              <w:gridCol w:w="1890"/>
              <w:gridCol w:w="159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4" w:type="dxa"/>
                </w:tcPr>
                <w:p>
                  <w:pPr>
                    <w:spacing w:after="0" w:line="240" w:lineRule="auto"/>
                    <w:rPr>
                      <w:rFonts w:hint="eastAsia" w:eastAsia="宋体"/>
                      <w:highlight w:val="none"/>
                      <w:lang w:val="en-US" w:eastAsia="zh-CN"/>
                    </w:rPr>
                  </w:pPr>
                  <w:r>
                    <w:rPr>
                      <w:rFonts w:hint="eastAsia"/>
                      <w:highlight w:val="none"/>
                    </w:rPr>
                    <w:t>设备</w:t>
                  </w:r>
                  <w:r>
                    <w:rPr>
                      <w:rFonts w:hint="eastAsia"/>
                      <w:highlight w:val="none"/>
                      <w:lang w:val="en-US" w:eastAsia="zh-CN"/>
                    </w:rPr>
                    <w:t>名称</w:t>
                  </w:r>
                </w:p>
              </w:tc>
              <w:tc>
                <w:tcPr>
                  <w:tcW w:w="2220" w:type="dxa"/>
                </w:tcPr>
                <w:p>
                  <w:pPr>
                    <w:spacing w:after="0" w:line="240" w:lineRule="auto"/>
                    <w:rPr>
                      <w:rFonts w:hint="eastAsia"/>
                      <w:highlight w:val="none"/>
                    </w:rPr>
                  </w:pPr>
                  <w:r>
                    <w:rPr>
                      <w:rFonts w:hint="eastAsia"/>
                      <w:highlight w:val="none"/>
                      <w:lang w:val="en-US" w:eastAsia="zh-CN"/>
                    </w:rPr>
                    <w:t>使用等级证</w:t>
                  </w:r>
                  <w:r>
                    <w:rPr>
                      <w:rFonts w:hint="eastAsia"/>
                      <w:highlight w:val="none"/>
                    </w:rPr>
                    <w:t>编号</w:t>
                  </w:r>
                </w:p>
              </w:tc>
              <w:tc>
                <w:tcPr>
                  <w:tcW w:w="1870" w:type="dxa"/>
                </w:tcPr>
                <w:p>
                  <w:pPr>
                    <w:spacing w:after="0" w:line="240" w:lineRule="auto"/>
                    <w:rPr>
                      <w:highlight w:val="none"/>
                    </w:rPr>
                  </w:pPr>
                  <w:r>
                    <w:rPr>
                      <w:rFonts w:hint="eastAsia"/>
                      <w:highlight w:val="none"/>
                    </w:rPr>
                    <w:t>检测报告编号</w:t>
                  </w:r>
                </w:p>
              </w:tc>
              <w:tc>
                <w:tcPr>
                  <w:tcW w:w="1890" w:type="dxa"/>
                </w:tcPr>
                <w:p>
                  <w:pPr>
                    <w:spacing w:after="0" w:line="240" w:lineRule="auto"/>
                    <w:rPr>
                      <w:highlight w:val="none"/>
                    </w:rPr>
                  </w:pPr>
                  <w:r>
                    <w:rPr>
                      <w:rFonts w:hint="eastAsia"/>
                      <w:highlight w:val="none"/>
                    </w:rPr>
                    <w:t>有效期期限</w:t>
                  </w:r>
                </w:p>
              </w:tc>
              <w:tc>
                <w:tcPr>
                  <w:tcW w:w="1590" w:type="dxa"/>
                </w:tcPr>
                <w:p>
                  <w:pPr>
                    <w:spacing w:after="0" w:line="240" w:lineRule="auto"/>
                    <w:rPr>
                      <w:highlight w:val="none"/>
                    </w:rPr>
                  </w:pPr>
                  <w:r>
                    <w:rPr>
                      <w:rFonts w:hint="eastAsia"/>
                      <w:highlight w:val="none"/>
                    </w:rPr>
                    <w:t>结论</w:t>
                  </w:r>
                </w:p>
              </w:tc>
              <w:tc>
                <w:tcPr>
                  <w:tcW w:w="1300" w:type="dxa"/>
                </w:tcPr>
                <w:p>
                  <w:pPr>
                    <w:spacing w:after="0" w:line="240" w:lineRule="auto"/>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94" w:type="dxa"/>
                </w:tcPr>
                <w:p>
                  <w:pPr>
                    <w:spacing w:after="0" w:line="240" w:lineRule="auto"/>
                    <w:rPr>
                      <w:highlight w:val="none"/>
                    </w:rPr>
                  </w:pPr>
                  <w:r>
                    <w:rPr>
                      <w:rFonts w:hint="eastAsia"/>
                      <w:highlight w:val="none"/>
                    </w:rPr>
                    <w:t>叉车</w:t>
                  </w:r>
                </w:p>
              </w:tc>
              <w:tc>
                <w:tcPr>
                  <w:tcW w:w="2220" w:type="dxa"/>
                </w:tcPr>
                <w:p>
                  <w:pPr>
                    <w:spacing w:after="0" w:line="240" w:lineRule="auto"/>
                    <w:rPr>
                      <w:rFonts w:hint="default" w:eastAsia="宋体"/>
                      <w:highlight w:val="none"/>
                      <w:lang w:val="en-US" w:eastAsia="zh-CN"/>
                    </w:rPr>
                  </w:pPr>
                  <w:r>
                    <w:rPr>
                      <w:rFonts w:hint="eastAsia"/>
                      <w:highlight w:val="none"/>
                      <w:u w:val="single"/>
                      <w:lang w:val="en-US" w:eastAsia="zh-CN"/>
                    </w:rPr>
                    <w:t>场内浙E90241</w:t>
                  </w:r>
                </w:p>
              </w:tc>
              <w:tc>
                <w:tcPr>
                  <w:tcW w:w="1870"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CJD202101000</w:t>
                  </w:r>
                </w:p>
              </w:tc>
              <w:tc>
                <w:tcPr>
                  <w:tcW w:w="1890" w:type="dxa"/>
                </w:tcPr>
                <w:p>
                  <w:pPr>
                    <w:spacing w:after="0" w:line="240" w:lineRule="auto"/>
                    <w:rPr>
                      <w:rFonts w:hint="eastAsia" w:eastAsia="宋体"/>
                      <w:highlight w:val="none"/>
                      <w:lang w:val="en-US" w:eastAsia="zh-CN"/>
                    </w:rPr>
                  </w:pPr>
                  <w:r>
                    <w:rPr>
                      <w:rFonts w:hint="eastAsia"/>
                      <w:highlight w:val="none"/>
                      <w:lang w:val="en-US" w:eastAsia="zh-CN"/>
                    </w:rPr>
                    <w:t>2023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tcPr>
                <w:p>
                  <w:pPr>
                    <w:spacing w:after="0" w:line="240" w:lineRule="auto"/>
                    <w:rPr>
                      <w:highlight w:val="none"/>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4" w:type="dxa"/>
                  <w:vAlign w:val="top"/>
                </w:tcPr>
                <w:p>
                  <w:pPr>
                    <w:spacing w:after="0" w:line="240" w:lineRule="auto"/>
                    <w:rPr>
                      <w:rFonts w:hint="default" w:eastAsia="宋体"/>
                      <w:highlight w:val="none"/>
                      <w:lang w:val="en-US" w:eastAsia="zh-CN"/>
                    </w:rPr>
                  </w:pPr>
                  <w:r>
                    <w:rPr>
                      <w:rFonts w:hint="eastAsia"/>
                      <w:highlight w:val="none"/>
                    </w:rPr>
                    <w:t>叉车</w:t>
                  </w:r>
                </w:p>
              </w:tc>
              <w:tc>
                <w:tcPr>
                  <w:tcW w:w="2220" w:type="dxa"/>
                  <w:vAlign w:val="top"/>
                </w:tcPr>
                <w:p>
                  <w:pPr>
                    <w:spacing w:after="0" w:line="240" w:lineRule="auto"/>
                    <w:rPr>
                      <w:rFonts w:hint="default"/>
                      <w:highlight w:val="none"/>
                      <w:lang w:val="en-US" w:eastAsia="zh-CN"/>
                    </w:rPr>
                  </w:pPr>
                  <w:r>
                    <w:rPr>
                      <w:rFonts w:hint="eastAsia"/>
                      <w:highlight w:val="none"/>
                      <w:u w:val="single"/>
                      <w:lang w:val="en-US" w:eastAsia="zh-CN"/>
                    </w:rPr>
                    <w:t>车11浙ED01626(20)</w:t>
                  </w:r>
                </w:p>
              </w:tc>
              <w:tc>
                <w:tcPr>
                  <w:tcW w:w="1870"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CJD202213943</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2023</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highlight w:val="none"/>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4" w:type="dxa"/>
                  <w:vAlign w:val="top"/>
                </w:tcPr>
                <w:p>
                  <w:pPr>
                    <w:spacing w:after="0" w:line="240" w:lineRule="auto"/>
                    <w:rPr>
                      <w:rFonts w:hint="eastAsia"/>
                      <w:highlight w:val="none"/>
                    </w:rPr>
                  </w:pPr>
                  <w:r>
                    <w:rPr>
                      <w:rFonts w:hint="eastAsia"/>
                      <w:highlight w:val="none"/>
                    </w:rPr>
                    <w:t>叉车</w:t>
                  </w:r>
                </w:p>
              </w:tc>
              <w:tc>
                <w:tcPr>
                  <w:tcW w:w="2220" w:type="dxa"/>
                  <w:vAlign w:val="top"/>
                </w:tcPr>
                <w:p>
                  <w:pPr>
                    <w:spacing w:after="0" w:line="240" w:lineRule="auto"/>
                    <w:rPr>
                      <w:rFonts w:hint="eastAsia"/>
                      <w:highlight w:val="none"/>
                      <w:u w:val="single"/>
                      <w:lang w:val="en-US" w:eastAsia="zh-CN"/>
                    </w:rPr>
                  </w:pPr>
                  <w:r>
                    <w:rPr>
                      <w:rFonts w:hint="eastAsia"/>
                      <w:highlight w:val="none"/>
                      <w:u w:val="single"/>
                      <w:lang w:val="en-US" w:eastAsia="zh-CN"/>
                    </w:rPr>
                    <w:t>车11浙ED01407(20)</w:t>
                  </w:r>
                </w:p>
              </w:tc>
              <w:tc>
                <w:tcPr>
                  <w:tcW w:w="1870" w:type="dxa"/>
                  <w:vAlign w:val="top"/>
                </w:tcPr>
                <w:p>
                  <w:pPr>
                    <w:spacing w:after="0" w:line="240" w:lineRule="auto"/>
                    <w:rPr>
                      <w:rFonts w:hint="default"/>
                      <w:highlight w:val="none"/>
                      <w:lang w:val="en-US" w:eastAsia="zh-CN"/>
                    </w:rPr>
                  </w:pPr>
                  <w:r>
                    <w:rPr>
                      <w:rFonts w:hint="eastAsia"/>
                      <w:highlight w:val="none"/>
                      <w:lang w:val="en-US" w:eastAsia="zh-CN"/>
                    </w:rPr>
                    <w:t>CJD202206249</w:t>
                  </w:r>
                </w:p>
              </w:tc>
              <w:tc>
                <w:tcPr>
                  <w:tcW w:w="1890" w:type="dxa"/>
                  <w:vAlign w:val="top"/>
                </w:tcPr>
                <w:p>
                  <w:pPr>
                    <w:spacing w:after="0" w:line="240" w:lineRule="auto"/>
                    <w:rPr>
                      <w:rFonts w:hint="eastAsia"/>
                      <w:highlight w:val="none"/>
                      <w:lang w:val="en-US" w:eastAsia="zh-CN"/>
                    </w:rPr>
                  </w:pPr>
                  <w:r>
                    <w:rPr>
                      <w:rFonts w:hint="eastAsia"/>
                      <w:highlight w:val="none"/>
                      <w:lang w:val="en-US" w:eastAsia="zh-CN"/>
                    </w:rPr>
                    <w:t>2023</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4" w:type="dxa"/>
                </w:tcPr>
                <w:p>
                  <w:pPr>
                    <w:spacing w:after="0" w:line="240" w:lineRule="auto"/>
                    <w:rPr>
                      <w:rFonts w:hint="default"/>
                      <w:highlight w:val="none"/>
                      <w:lang w:val="en-US" w:eastAsia="zh-CN"/>
                    </w:rPr>
                  </w:pPr>
                  <w:r>
                    <w:rPr>
                      <w:rFonts w:hint="eastAsia"/>
                      <w:highlight w:val="none"/>
                      <w:lang w:val="en-US" w:eastAsia="zh-CN"/>
                    </w:rPr>
                    <w:t>行车</w:t>
                  </w:r>
                </w:p>
              </w:tc>
              <w:tc>
                <w:tcPr>
                  <w:tcW w:w="2220" w:type="dxa"/>
                </w:tcPr>
                <w:p>
                  <w:pPr>
                    <w:spacing w:after="0" w:line="240" w:lineRule="auto"/>
                    <w:rPr>
                      <w:rFonts w:hint="default"/>
                      <w:highlight w:val="none"/>
                      <w:lang w:val="en-US" w:eastAsia="zh-CN"/>
                    </w:rPr>
                  </w:pPr>
                  <w:r>
                    <w:rPr>
                      <w:rFonts w:hint="eastAsia"/>
                      <w:highlight w:val="none"/>
                      <w:lang w:val="en-US" w:eastAsia="zh-CN"/>
                    </w:rPr>
                    <w:t>起1700038（18）</w:t>
                  </w:r>
                </w:p>
              </w:tc>
              <w:tc>
                <w:tcPr>
                  <w:tcW w:w="1870" w:type="dxa"/>
                </w:tcPr>
                <w:p>
                  <w:pPr>
                    <w:spacing w:after="0" w:line="240" w:lineRule="auto"/>
                    <w:rPr>
                      <w:rFonts w:hint="default" w:eastAsia="宋体"/>
                      <w:highlight w:val="none"/>
                      <w:lang w:val="en-US" w:eastAsia="zh-CN"/>
                    </w:rPr>
                  </w:pPr>
                  <w:r>
                    <w:rPr>
                      <w:rFonts w:hint="eastAsia"/>
                      <w:highlight w:val="none"/>
                      <w:lang w:val="en-US" w:eastAsia="zh-CN"/>
                    </w:rPr>
                    <w:t>QQD202204108</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4" w:type="dxa"/>
                  <w:vAlign w:val="top"/>
                </w:tcPr>
                <w:p>
                  <w:pPr>
                    <w:spacing w:after="0" w:line="240" w:lineRule="auto"/>
                    <w:rPr>
                      <w:rFonts w:hint="eastAsia"/>
                      <w:highlight w:val="none"/>
                      <w:lang w:val="en-US" w:eastAsia="zh-CN"/>
                    </w:rPr>
                  </w:pPr>
                  <w:r>
                    <w:rPr>
                      <w:rFonts w:hint="eastAsia"/>
                      <w:highlight w:val="none"/>
                      <w:lang w:val="en-US" w:eastAsia="zh-CN"/>
                    </w:rPr>
                    <w:t>行车</w:t>
                  </w:r>
                </w:p>
              </w:tc>
              <w:tc>
                <w:tcPr>
                  <w:tcW w:w="2220" w:type="dxa"/>
                  <w:vAlign w:val="top"/>
                </w:tcPr>
                <w:p>
                  <w:pPr>
                    <w:spacing w:after="0" w:line="240" w:lineRule="auto"/>
                    <w:rPr>
                      <w:rFonts w:hint="eastAsia"/>
                      <w:highlight w:val="none"/>
                      <w:lang w:val="en-US" w:eastAsia="zh-CN"/>
                    </w:rPr>
                  </w:pPr>
                  <w:r>
                    <w:rPr>
                      <w:rFonts w:hint="eastAsia"/>
                      <w:highlight w:val="none"/>
                      <w:lang w:val="en-US" w:eastAsia="zh-CN"/>
                    </w:rPr>
                    <w:t>起1700039（18）</w:t>
                  </w:r>
                </w:p>
              </w:tc>
              <w:tc>
                <w:tcPr>
                  <w:tcW w:w="1870" w:type="dxa"/>
                  <w:vAlign w:val="top"/>
                </w:tcPr>
                <w:p>
                  <w:pPr>
                    <w:spacing w:after="0" w:line="240" w:lineRule="auto"/>
                    <w:rPr>
                      <w:rFonts w:hint="eastAsia"/>
                      <w:highlight w:val="none"/>
                      <w:lang w:val="en-US" w:eastAsia="zh-CN"/>
                    </w:rPr>
                  </w:pPr>
                  <w:r>
                    <w:rPr>
                      <w:rFonts w:hint="eastAsia"/>
                      <w:highlight w:val="none"/>
                      <w:lang w:val="en-US" w:eastAsia="zh-CN"/>
                    </w:rPr>
                    <w:t>QQD202204109</w:t>
                  </w:r>
                </w:p>
              </w:tc>
              <w:tc>
                <w:tcPr>
                  <w:tcW w:w="1890" w:type="dxa"/>
                  <w:vAlign w:val="top"/>
                </w:tcPr>
                <w:p>
                  <w:pPr>
                    <w:spacing w:after="0" w:line="240" w:lineRule="auto"/>
                    <w:rPr>
                      <w:rFonts w:hint="eastAsia"/>
                      <w:highlight w:val="none"/>
                      <w:lang w:val="en-US" w:eastAsia="zh-CN"/>
                    </w:rPr>
                  </w:pPr>
                  <w:r>
                    <w:rPr>
                      <w:rFonts w:hint="eastAsia"/>
                      <w:highlight w:val="none"/>
                      <w:lang w:val="en-US" w:eastAsia="zh-CN"/>
                    </w:rPr>
                    <w:t>2024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4" w:type="dxa"/>
                  <w:vAlign w:val="top"/>
                </w:tcPr>
                <w:p>
                  <w:pPr>
                    <w:spacing w:after="0" w:line="240" w:lineRule="auto"/>
                    <w:rPr>
                      <w:rFonts w:hint="default"/>
                      <w:highlight w:val="none"/>
                      <w:lang w:val="en-US" w:eastAsia="zh-CN"/>
                    </w:rPr>
                  </w:pPr>
                  <w:r>
                    <w:rPr>
                      <w:rFonts w:hint="eastAsia"/>
                      <w:highlight w:val="none"/>
                      <w:lang w:val="en-US" w:eastAsia="zh-CN"/>
                    </w:rPr>
                    <w:t>行车</w:t>
                  </w:r>
                </w:p>
              </w:tc>
              <w:tc>
                <w:tcPr>
                  <w:tcW w:w="2220" w:type="dxa"/>
                  <w:vAlign w:val="top"/>
                </w:tcPr>
                <w:p>
                  <w:pPr>
                    <w:spacing w:after="0" w:line="240" w:lineRule="auto"/>
                    <w:rPr>
                      <w:rFonts w:hint="eastAsia"/>
                      <w:highlight w:val="none"/>
                      <w:lang w:val="en-US" w:eastAsia="zh-CN"/>
                    </w:rPr>
                  </w:pPr>
                  <w:r>
                    <w:rPr>
                      <w:rFonts w:hint="eastAsia"/>
                      <w:highlight w:val="none"/>
                      <w:lang w:val="en-US" w:eastAsia="zh-CN"/>
                    </w:rPr>
                    <w:t>起17浙ED00250（21）</w:t>
                  </w:r>
                </w:p>
              </w:tc>
              <w:tc>
                <w:tcPr>
                  <w:tcW w:w="1870" w:type="dxa"/>
                  <w:vAlign w:val="top"/>
                </w:tcPr>
                <w:p>
                  <w:pPr>
                    <w:spacing w:after="0" w:line="240" w:lineRule="auto"/>
                    <w:rPr>
                      <w:rFonts w:hint="default"/>
                      <w:highlight w:val="none"/>
                      <w:lang w:val="en-US" w:eastAsia="zh-CN"/>
                    </w:rPr>
                  </w:pPr>
                  <w:r>
                    <w:rPr>
                      <w:rFonts w:hint="eastAsia"/>
                      <w:highlight w:val="none"/>
                      <w:lang w:val="en-US" w:eastAsia="zh-CN"/>
                    </w:rPr>
                    <w:t>QQD202102379</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2023</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6</w:t>
                  </w:r>
                  <w:r>
                    <w:rPr>
                      <w:rFonts w:hint="eastAsia"/>
                      <w:highlight w:val="none"/>
                    </w:rPr>
                    <w:t>日</w:t>
                  </w:r>
                </w:p>
              </w:tc>
              <w:tc>
                <w:tcPr>
                  <w:tcW w:w="15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bl>
          <w:p>
            <w:pPr>
              <w:pStyle w:val="2"/>
            </w:pPr>
          </w:p>
          <w:p>
            <w:pPr>
              <w:spacing w:line="360" w:lineRule="auto"/>
              <w:ind w:firstLine="240" w:firstLineChars="100"/>
              <w:rPr>
                <w:rFonts w:ascii="楷体" w:hAnsi="楷体" w:eastAsia="楷体"/>
                <w:sz w:val="24"/>
                <w:szCs w:val="24"/>
              </w:rPr>
            </w:pPr>
            <w:r>
              <w:rPr>
                <w:rFonts w:hint="eastAsia" w:ascii="楷体" w:hAnsi="楷体" w:eastAsia="楷体"/>
                <w:sz w:val="24"/>
                <w:szCs w:val="24"/>
              </w:rPr>
              <w:t>以上基础设施基本可以满足体系运行的需要。</w:t>
            </w:r>
          </w:p>
        </w:tc>
        <w:tc>
          <w:tcPr>
            <w:tcW w:w="1585" w:type="dxa"/>
          </w:tcPr>
          <w:p>
            <w:pPr>
              <w:spacing w:line="360" w:lineRule="auto"/>
              <w:rPr>
                <w:rFonts w:ascii="宋体" w:hAnsi="宋体" w:cs="Arial"/>
                <w:sz w:val="24"/>
                <w:szCs w:val="24"/>
              </w:rPr>
            </w:pPr>
            <w:r>
              <w:rPr>
                <w:rFonts w:hint="eastAsia" w:ascii="宋体" w:hAnsi="宋体" w:cs="Arial"/>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过程运行环境</w:t>
            </w:r>
          </w:p>
          <w:p>
            <w:pPr>
              <w:spacing w:line="360" w:lineRule="auto"/>
              <w:rPr>
                <w:rFonts w:ascii="楷体" w:hAnsi="楷体" w:eastAsia="楷体"/>
                <w:b/>
                <w:sz w:val="24"/>
                <w:szCs w:val="24"/>
              </w:rPr>
            </w:pP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Q7.1.4</w:t>
            </w:r>
          </w:p>
          <w:p>
            <w:pPr>
              <w:spacing w:line="360" w:lineRule="auto"/>
              <w:jc w:val="center"/>
              <w:rPr>
                <w:rFonts w:ascii="楷体" w:hAnsi="楷体" w:eastAsia="楷体"/>
                <w:sz w:val="24"/>
                <w:szCs w:val="24"/>
              </w:rPr>
            </w:pPr>
          </w:p>
        </w:tc>
        <w:tc>
          <w:tcPr>
            <w:tcW w:w="10004" w:type="dxa"/>
            <w:vAlign w:val="center"/>
          </w:tcPr>
          <w:p>
            <w:pPr>
              <w:snapToGrid w:val="0"/>
              <w:spacing w:line="400" w:lineRule="exact"/>
              <w:ind w:right="392" w:firstLine="405"/>
              <w:rPr>
                <w:rFonts w:ascii="楷体" w:hAnsi="楷体" w:eastAsia="楷体"/>
                <w:sz w:val="24"/>
                <w:szCs w:val="24"/>
              </w:rPr>
            </w:pPr>
            <w:r>
              <w:rPr>
                <w:rFonts w:hint="eastAsia" w:ascii="楷体" w:hAnsi="楷体" w:eastAsia="楷体"/>
                <w:sz w:val="24"/>
                <w:szCs w:val="24"/>
              </w:rPr>
              <w:t xml:space="preserve">生产部负责工作环境的管理，组织确定并提供了产品要求所需的工作环境。 </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 xml:space="preserve">部门负责人介绍了生产车间现场管理、生产加工、物资摆放、现场卫生等的要求。 </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每个工序均有看板控制要求。</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每天班前班后由班长组织按照规定要求，对生产车间进行清理，满足要求后下班；发现问题及时解决。</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lang w:val="en-US" w:eastAsia="zh-CN"/>
              </w:rPr>
              <w:t>现场</w:t>
            </w:r>
            <w:r>
              <w:rPr>
                <w:rFonts w:hint="eastAsia" w:ascii="楷体" w:hAnsi="楷体" w:eastAsia="楷体"/>
                <w:sz w:val="24"/>
                <w:szCs w:val="24"/>
              </w:rPr>
              <w:t>查看：</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生产环境适宜，生产车间面积较大，产品摆放场地宽敞平整，车间内设备安装合理，通风、采光效果良好；库房内原材料、成品分区存放，均按规定高度码放，通风、采光良好；生产车间，配备灭火设施，有防火、用电等警示标志。</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组织进行的</w:t>
            </w:r>
            <w:r>
              <w:rPr>
                <w:rFonts w:hint="eastAsia" w:ascii="楷体" w:hAnsi="楷体" w:eastAsia="楷体"/>
                <w:sz w:val="24"/>
                <w:szCs w:val="24"/>
                <w:lang w:val="en-US" w:eastAsia="zh-CN"/>
              </w:rPr>
              <w:t>焊接、切割</w:t>
            </w:r>
            <w:r>
              <w:rPr>
                <w:rFonts w:hint="eastAsia" w:ascii="楷体" w:hAnsi="楷体" w:eastAsia="楷体"/>
                <w:sz w:val="24"/>
                <w:szCs w:val="24"/>
              </w:rPr>
              <w:t>，产生</w:t>
            </w:r>
            <w:r>
              <w:rPr>
                <w:rFonts w:hint="eastAsia" w:ascii="楷体" w:hAnsi="楷体" w:eastAsia="楷体"/>
                <w:sz w:val="24"/>
                <w:szCs w:val="24"/>
                <w:lang w:val="en-US" w:eastAsia="zh-CN"/>
              </w:rPr>
              <w:t>烟尘、</w:t>
            </w:r>
            <w:r>
              <w:rPr>
                <w:rFonts w:hint="eastAsia" w:ascii="楷体" w:hAnsi="楷体" w:eastAsia="楷体"/>
                <w:sz w:val="24"/>
                <w:szCs w:val="24"/>
              </w:rPr>
              <w:t>粉尘、噪声，通过戴口罩和减震措施的实施，</w:t>
            </w:r>
            <w:r>
              <w:rPr>
                <w:rFonts w:hint="eastAsia" w:ascii="楷体" w:hAnsi="楷体" w:eastAsia="楷体"/>
                <w:sz w:val="24"/>
                <w:szCs w:val="24"/>
                <w:lang w:val="en-US" w:eastAsia="zh-CN"/>
              </w:rPr>
              <w:t>减少</w:t>
            </w:r>
            <w:r>
              <w:rPr>
                <w:rFonts w:hint="eastAsia" w:ascii="楷体" w:hAnsi="楷体" w:eastAsia="楷体"/>
                <w:sz w:val="24"/>
                <w:szCs w:val="24"/>
              </w:rPr>
              <w:t>对人员产生不利影响。</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员工根据工种的不同，配有相关的劳动防护用品（工作服、手套、口罩等），并且佩戴合理。</w:t>
            </w:r>
          </w:p>
          <w:p>
            <w:pPr>
              <w:spacing w:line="360" w:lineRule="auto"/>
              <w:ind w:firstLine="465"/>
              <w:rPr>
                <w:rFonts w:ascii="楷体" w:hAnsi="楷体" w:eastAsia="楷体"/>
                <w:sz w:val="24"/>
                <w:szCs w:val="24"/>
              </w:rPr>
            </w:pPr>
            <w:r>
              <w:rPr>
                <w:rFonts w:hint="eastAsia" w:ascii="楷体" w:hAnsi="楷体" w:eastAsia="楷体"/>
                <w:sz w:val="24"/>
                <w:szCs w:val="24"/>
              </w:rPr>
              <w:t>工作环境均能满足生产合格产品的要求，未发现有不良的环境因素。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sz w:val="24"/>
                <w:szCs w:val="24"/>
              </w:rPr>
            </w:pPr>
            <w:r>
              <w:rPr>
                <w:rFonts w:hint="eastAsia" w:ascii="楷体" w:hAnsi="楷体" w:eastAsia="楷体" w:cs="宋体"/>
                <w:bCs/>
                <w:sz w:val="24"/>
                <w:szCs w:val="24"/>
              </w:rPr>
              <w:t>运行的策划和控制</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b/>
                <w:sz w:val="24"/>
                <w:szCs w:val="24"/>
              </w:rPr>
            </w:pPr>
            <w:r>
              <w:rPr>
                <w:rFonts w:hint="eastAsia" w:ascii="楷体" w:hAnsi="楷体" w:eastAsia="楷体"/>
                <w:bCs/>
                <w:sz w:val="24"/>
                <w:szCs w:val="24"/>
              </w:rPr>
              <w:t>Q8.1</w:t>
            </w:r>
          </w:p>
        </w:tc>
        <w:tc>
          <w:tcPr>
            <w:tcW w:w="10004" w:type="dxa"/>
          </w:tcPr>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组织对智能物流设备</w:t>
            </w:r>
            <w:r>
              <w:rPr>
                <w:rFonts w:hint="eastAsia" w:ascii="楷体" w:hAnsi="楷体" w:eastAsia="楷体"/>
                <w:sz w:val="24"/>
                <w:szCs w:val="24"/>
                <w:lang w:eastAsia="zh-CN"/>
              </w:rPr>
              <w:t>、</w:t>
            </w:r>
            <w:r>
              <w:rPr>
                <w:rFonts w:hint="eastAsia" w:ascii="楷体" w:hAnsi="楷体" w:eastAsia="楷体"/>
                <w:sz w:val="24"/>
                <w:szCs w:val="24"/>
              </w:rPr>
              <w:t>智能包装设备的生产和服务；过程进行了策划。</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工艺流程：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钢材 → 切割 → 剪折→冲压→焊接 →组装→调试→入库</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其中： 焊接为特殊过程。</w:t>
            </w:r>
          </w:p>
          <w:p>
            <w:pPr>
              <w:pStyle w:val="2"/>
              <w:rPr>
                <w:rFonts w:hint="eastAsia" w:ascii="楷体" w:hAnsi="楷体" w:eastAsia="楷体"/>
                <w:sz w:val="24"/>
                <w:szCs w:val="24"/>
                <w:lang w:val="en-US" w:eastAsia="zh-CN"/>
              </w:rPr>
            </w:pPr>
          </w:p>
          <w:p>
            <w:pPr>
              <w:pStyle w:val="2"/>
              <w:rPr>
                <w:rFonts w:hint="default" w:ascii="楷体" w:hAnsi="楷体" w:eastAsia="楷体"/>
                <w:sz w:val="24"/>
                <w:szCs w:val="24"/>
                <w:lang w:val="en-US" w:eastAsia="zh-CN"/>
              </w:rPr>
            </w:pPr>
            <w:r>
              <w:rPr>
                <w:rFonts w:hint="eastAsia" w:ascii="楷体" w:hAnsi="楷体" w:eastAsia="楷体"/>
                <w:sz w:val="24"/>
                <w:szCs w:val="24"/>
                <w:lang w:val="en-US" w:eastAsia="zh-CN"/>
              </w:rPr>
              <w:t>质量关键过程（工序）：组装、调试；相关控制参数：功能检测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需要确认的过程（工序）：焊接</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外包过程：喷塑    </w:t>
            </w:r>
          </w:p>
          <w:p>
            <w:pPr>
              <w:rPr>
                <w:rFonts w:hint="eastAsia"/>
                <w:highlight w:val="none"/>
                <w:lang w:val="en-US" w:eastAsia="zh-CN"/>
              </w:rPr>
            </w:pPr>
            <w:r>
              <w:rPr>
                <w:rFonts w:hint="eastAsia"/>
                <w:highlight w:val="none"/>
                <w:lang w:val="en-US" w:eastAsia="zh-CN"/>
              </w:rPr>
              <w:t>查看需要确认的过程控制：</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《特殊(关键)过程确认表》</w:t>
            </w:r>
          </w:p>
          <w:p>
            <w:pPr>
              <w:pStyle w:val="2"/>
              <w:rPr>
                <w:rFonts w:hint="eastAsia" w:ascii="楷体" w:hAnsi="楷体" w:eastAsia="楷体"/>
                <w:sz w:val="24"/>
                <w:szCs w:val="24"/>
                <w:lang w:val="en-US" w:eastAsia="zh-CN"/>
              </w:rPr>
            </w:pPr>
          </w:p>
          <w:tbl>
            <w:tblPr>
              <w:tblStyle w:val="13"/>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确认日期</w:t>
                  </w:r>
                </w:p>
              </w:tc>
              <w:tc>
                <w:tcPr>
                  <w:tcW w:w="7988" w:type="dxa"/>
                  <w:vAlign w:val="center"/>
                </w:tcPr>
                <w:p>
                  <w:pPr>
                    <w:jc w:val="center"/>
                    <w:rPr>
                      <w:rFonts w:hint="default"/>
                      <w:color w:val="auto"/>
                      <w:vertAlign w:val="baseline"/>
                      <w:lang w:val="en-US" w:eastAsia="zh-CN"/>
                    </w:rPr>
                  </w:pPr>
                  <w:r>
                    <w:rPr>
                      <w:rFonts w:hint="eastAsia" w:ascii="楷体" w:hAnsi="楷体" w:eastAsia="楷体" w:cs="宋体"/>
                      <w:color w:val="000000"/>
                      <w:kern w:val="2"/>
                      <w:sz w:val="24"/>
                      <w:szCs w:val="24"/>
                      <w:lang w:val="en-US" w:eastAsia="zh-CN" w:bidi="ar-SA"/>
                    </w:rPr>
                    <w:t>2022.7.30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确认过程</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人员确认</w:t>
                  </w:r>
                </w:p>
              </w:tc>
              <w:tc>
                <w:tcPr>
                  <w:tcW w:w="7988" w:type="dxa"/>
                  <w:vAlign w:val="center"/>
                </w:tcPr>
                <w:p>
                  <w:pPr>
                    <w:jc w:val="center"/>
                    <w:rPr>
                      <w:rFonts w:hint="default"/>
                      <w:color w:val="auto"/>
                      <w:vertAlign w:val="baseline"/>
                      <w:lang w:val="en-US" w:eastAsia="zh-CN"/>
                    </w:rPr>
                  </w:pPr>
                  <w:r>
                    <w:rPr>
                      <w:rFonts w:hint="eastAsia" w:ascii="仿宋" w:hAnsi="仿宋" w:eastAsia="仿宋" w:cs="仿宋"/>
                      <w:color w:val="auto"/>
                      <w:sz w:val="24"/>
                      <w:lang w:val="en-US" w:eastAsia="zh-CN"/>
                    </w:rPr>
                    <w:t>王中旭、孙如友、耿国有具有专业技术人员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olor w:val="auto"/>
                      <w:vertAlign w:val="baseline"/>
                      <w:lang w:val="en-US" w:eastAsia="zh-CN"/>
                    </w:rPr>
                  </w:pPr>
                  <w:r>
                    <w:rPr>
                      <w:rFonts w:hint="eastAsia" w:cs="Times New Roman"/>
                      <w:b w:val="0"/>
                      <w:bCs w:val="0"/>
                      <w:color w:val="auto"/>
                      <w:kern w:val="2"/>
                      <w:sz w:val="21"/>
                      <w:vertAlign w:val="baseline"/>
                      <w:lang w:val="en-US" w:eastAsia="zh-CN" w:bidi="ar-SA"/>
                    </w:rPr>
                    <w:t>设备确认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焊接机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olor w:val="auto"/>
                      <w:vertAlign w:val="baseline"/>
                      <w:lang w:val="en-US" w:eastAsia="zh-CN"/>
                    </w:rPr>
                  </w:pPr>
                  <w:r>
                    <w:rPr>
                      <w:rFonts w:hint="eastAsia" w:cs="Times New Roman"/>
                      <w:color w:val="auto"/>
                      <w:kern w:val="2"/>
                      <w:sz w:val="21"/>
                      <w:vertAlign w:val="baseline"/>
                      <w:lang w:val="en-US" w:eastAsia="zh-CN" w:bidi="ar-SA"/>
                    </w:rPr>
                    <w:t>原材料确认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经检验或供应商检测报告均符合产品验收标准，或有供方提供的产品检测报告，其产品质量均符合国家标准或省份和企业标准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工艺确认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作业指导书，技术协议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环境确认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提供适宜办公环境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破坏性试验</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olor w:val="auto"/>
                      <w:vertAlign w:val="baseline"/>
                      <w:lang w:val="en-US" w:eastAsia="zh-CN"/>
                    </w:rPr>
                    <w:t>确认结论</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符合要求</w:t>
                  </w:r>
                </w:p>
              </w:tc>
            </w:tr>
          </w:tbl>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参照的技术规范如下：</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3785.2-2010 电声学 声级计  第2部分：型式实验评价</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5226.1-2008 机械电气安全  机械电气设备第1部分：通用技术条件</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16798  食品机械安全卫生</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QB/T 1588.1-1992  轻工机械  焊接件通用技术条件</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JB 7233 包装机械安全要求</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等标准及顾客要求等，并作为产品的质量目标和要求。</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制定的产品生产工艺图和销售流程图清晰地描述了产品生产和销售服务的过程。</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组织确定了《工艺流程卡》、《图纸》、《作业指导书》、《安全操作规程》、《工艺守则》、《产品检验规范》、《销售服务作业指导书》等文件，描述了产品实现的方法和接收准则。</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体系覆盖的产品为：智能物流设备</w:t>
            </w:r>
            <w:r>
              <w:rPr>
                <w:rFonts w:hint="eastAsia" w:ascii="楷体" w:hAnsi="楷体" w:eastAsia="楷体"/>
                <w:sz w:val="24"/>
                <w:szCs w:val="24"/>
                <w:lang w:eastAsia="zh-CN"/>
              </w:rPr>
              <w:t>、</w:t>
            </w:r>
            <w:r>
              <w:rPr>
                <w:rFonts w:hint="eastAsia" w:ascii="楷体" w:hAnsi="楷体" w:eastAsia="楷体"/>
                <w:sz w:val="24"/>
                <w:szCs w:val="24"/>
              </w:rPr>
              <w:t>智能包装设备。</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公司为产品实现提供了充足的资源，如：设备、人员、工厂车间、物料等。</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为提供证据公司确定了有关产品实现的记录，如《原材料验收记录》、《过程检验记录》、《成品检验单》、《产品质量合格证明书》、《销售服务过程检查记录表》等。</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与部门负责人沟通，在产品实现过程中，当生产工艺、条件、环境或人员等因素发生非预期变更，对产品质量有影响或不满足顾客要求时，生产技术部根据实际情况组织技术人员、</w:t>
            </w:r>
            <w:r>
              <w:rPr>
                <w:rFonts w:hint="eastAsia" w:ascii="楷体" w:hAnsi="楷体" w:eastAsia="楷体"/>
                <w:sz w:val="24"/>
                <w:szCs w:val="24"/>
                <w:lang w:eastAsia="zh-CN"/>
              </w:rPr>
              <w:t>销售部</w:t>
            </w:r>
            <w:r>
              <w:rPr>
                <w:rFonts w:hint="eastAsia" w:ascii="楷体" w:hAnsi="楷体" w:eastAsia="楷体"/>
                <w:sz w:val="24"/>
                <w:szCs w:val="24"/>
              </w:rPr>
              <w:t>、</w:t>
            </w:r>
            <w:r>
              <w:rPr>
                <w:rFonts w:hint="eastAsia" w:ascii="楷体" w:hAnsi="楷体" w:eastAsia="楷体"/>
                <w:sz w:val="24"/>
                <w:szCs w:val="24"/>
                <w:lang w:eastAsia="zh-CN"/>
              </w:rPr>
              <w:t>质检部</w:t>
            </w:r>
            <w:r>
              <w:rPr>
                <w:rFonts w:hint="eastAsia" w:ascii="楷体" w:hAnsi="楷体" w:eastAsia="楷体"/>
                <w:sz w:val="24"/>
                <w:szCs w:val="24"/>
              </w:rPr>
              <w:t>负责人员商议生产更改事项，减轻不利影响，并将结果及时通报相关部门。目前暂无更改情况。</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组织对</w:t>
            </w:r>
            <w:r>
              <w:rPr>
                <w:rFonts w:hint="eastAsia" w:ascii="楷体" w:hAnsi="楷体" w:eastAsia="楷体"/>
                <w:sz w:val="24"/>
                <w:szCs w:val="24"/>
                <w:lang w:val="en-US" w:eastAsia="zh-CN"/>
              </w:rPr>
              <w:t>产品组装</w:t>
            </w:r>
            <w:r>
              <w:rPr>
                <w:rFonts w:hint="eastAsia" w:ascii="楷体" w:hAnsi="楷体" w:eastAsia="楷体"/>
                <w:sz w:val="24"/>
                <w:szCs w:val="24"/>
              </w:rPr>
              <w:t>过程外包过程的控制详见8.4审核记录。</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组织对产品实现的策划管理符合标准的要求。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生产和服务提供的控制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Q8.5.1</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组织在手册中规定了生产服务的具体控制要求，符合标准要求。</w:t>
            </w:r>
          </w:p>
          <w:p>
            <w:pPr>
              <w:pStyle w:val="2"/>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公司目前从事的是“</w:t>
            </w:r>
            <w:r>
              <w:rPr>
                <w:rFonts w:hint="eastAsia" w:ascii="楷体" w:hAnsi="楷体" w:eastAsia="楷体"/>
                <w:sz w:val="24"/>
                <w:szCs w:val="24"/>
              </w:rPr>
              <w:t>智能物流设备</w:t>
            </w:r>
            <w:r>
              <w:rPr>
                <w:rFonts w:hint="eastAsia" w:ascii="楷体" w:hAnsi="楷体" w:eastAsia="楷体"/>
                <w:sz w:val="24"/>
                <w:szCs w:val="24"/>
                <w:lang w:eastAsia="zh-CN"/>
              </w:rPr>
              <w:t>、</w:t>
            </w:r>
            <w:r>
              <w:rPr>
                <w:rFonts w:hint="eastAsia" w:ascii="楷体" w:hAnsi="楷体" w:eastAsia="楷体"/>
                <w:sz w:val="24"/>
                <w:szCs w:val="24"/>
              </w:rPr>
              <w:t>智能包装设备的生产和服务</w:t>
            </w:r>
            <w:r>
              <w:rPr>
                <w:rFonts w:hint="eastAsia" w:ascii="楷体" w:hAnsi="楷体" w:eastAsia="楷体" w:cs="宋体"/>
                <w:color w:val="000000"/>
                <w:kern w:val="2"/>
                <w:sz w:val="24"/>
                <w:szCs w:val="24"/>
                <w:lang w:val="en-US" w:eastAsia="zh-CN" w:bidi="ar-SA"/>
              </w:rPr>
              <w:t>”，通常依据客户的订货计划来确定需要生产“</w:t>
            </w:r>
            <w:r>
              <w:rPr>
                <w:rFonts w:hint="eastAsia" w:ascii="楷体" w:hAnsi="楷体" w:eastAsia="楷体"/>
                <w:sz w:val="24"/>
                <w:szCs w:val="24"/>
              </w:rPr>
              <w:t>组织对智能物流设备</w:t>
            </w:r>
            <w:r>
              <w:rPr>
                <w:rFonts w:hint="eastAsia" w:ascii="楷体" w:hAnsi="楷体" w:eastAsia="楷体"/>
                <w:sz w:val="24"/>
                <w:szCs w:val="24"/>
                <w:lang w:eastAsia="zh-CN"/>
              </w:rPr>
              <w:t>、</w:t>
            </w:r>
            <w:r>
              <w:rPr>
                <w:rFonts w:hint="eastAsia" w:ascii="楷体" w:hAnsi="楷体" w:eastAsia="楷体"/>
                <w:sz w:val="24"/>
                <w:szCs w:val="24"/>
              </w:rPr>
              <w:t>智能包装设备</w:t>
            </w:r>
            <w:r>
              <w:rPr>
                <w:rFonts w:hint="eastAsia" w:ascii="楷体" w:hAnsi="楷体" w:eastAsia="楷体" w:cs="宋体"/>
                <w:color w:val="000000"/>
                <w:kern w:val="2"/>
                <w:sz w:val="24"/>
                <w:szCs w:val="24"/>
                <w:lang w:val="en-US" w:eastAsia="zh-CN" w:bidi="ar-SA"/>
              </w:rPr>
              <w:t>” 的数量、规格、型号、交货期，从而控制生产和销售的有序进行。</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工艺流程：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钢材 → 切割 → 剪折→冲压→焊接 →组装→调试→入库</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其中： 焊接为特殊过程。</w:t>
            </w:r>
          </w:p>
          <w:p>
            <w:pPr>
              <w:pStyle w:val="2"/>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关键过程：组装、调试</w:t>
            </w:r>
          </w:p>
          <w:p>
            <w:pPr>
              <w:pStyle w:val="2"/>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特殊过程：焊接成型</w:t>
            </w:r>
          </w:p>
          <w:p>
            <w:pPr>
              <w:pStyle w:val="2"/>
              <w:rPr>
                <w:rFonts w:hint="default"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t>操作过程制定《作业指导书》、《操作规程》，提供《生产过程控制记录》对特殊工序进行过程监控，生产结束后对成品进行成品检测，检测合格方能入库销售。</w:t>
            </w:r>
            <w:r>
              <w:rPr>
                <w:rFonts w:hint="eastAsia" w:ascii="楷体" w:hAnsi="楷体" w:eastAsia="楷体" w:cs="宋体"/>
                <w:color w:val="000000"/>
                <w:kern w:val="2"/>
                <w:sz w:val="24"/>
                <w:szCs w:val="24"/>
                <w:lang w:val="en-US" w:eastAsia="zh-CN" w:bidi="ar-SA"/>
              </w:rPr>
              <w:t>生产过程监控放行详见Q8.6</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a) 组织通过图纸、产品型号、产品标准描述产品特性，生产车间通过下达的《生产计划任务单》获得表述产品特性的信息。</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b) 组织编制了产品的《工艺流程卡》、《检验规范》、《车间作业指导书》等文件，文件中描述了各工序的工艺内容和控制指标，作为操作人员的作业指南。</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c) 组织为生产配备了适宜的生产设备，现场查看观察所有生产设备工作正常。</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d) 组织为各工序配备了</w:t>
            </w:r>
            <w:r>
              <w:rPr>
                <w:rFonts w:hint="eastAsia" w:ascii="楷体" w:hAnsi="楷体" w:eastAsia="楷体" w:cs="宋体"/>
                <w:color w:val="000000"/>
                <w:sz w:val="24"/>
                <w:szCs w:val="24"/>
                <w:lang w:val="en-US" w:eastAsia="zh-CN"/>
              </w:rPr>
              <w:t>内径千分尺、外径千分尺、内测千分尺、游标卡尺</w:t>
            </w:r>
            <w:r>
              <w:rPr>
                <w:rFonts w:hint="eastAsia" w:ascii="楷体" w:hAnsi="楷体" w:eastAsia="楷体" w:cs="宋体"/>
                <w:color w:val="000000"/>
                <w:kern w:val="2"/>
                <w:sz w:val="24"/>
                <w:szCs w:val="24"/>
                <w:lang w:val="en-US" w:eastAsia="zh-CN" w:bidi="ar-SA"/>
              </w:rPr>
              <w:t>等监视和测量设备。</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 组织对生产过程和产品实施了监视和测量，并作了相应记录。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检验活动包括原材料检验、工序检验、成品检验。生产过程中使用的记录有：原材料验收记录、过程检验记录、成品检验单等，符合要求。过程产品和最终产品的监视和测量记录见 Q8.6 审核记录。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f) 质检部负责对产品的放行，销售部负责产品交付和交付后活动的实施，产品经过测试检验合格后方可放行和交付，销售部依据合同出具发货单，由客户联系物流公司进行送货，经顾客接受签字带回公司做账。需要售后服务时由销售部负责联系售后服务工作。</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g）为生产过程配备了必要的人员，特殊专业人员有电焊工、电工证、叉车员证等，均有相应资质证书，详见行政部7.2审核记录。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h）生产部负责关键、特殊过程的确认和控制，经公司识别，本公司的特殊过程为：焊接过程，编制有《特殊过程确认表》，查到“人员、设备、原材料、文件、环境、质量的评定”2021.4.30日胡玉涛涛等对制造工艺、设备、工艺参数、人员进行了确认，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生产现场查看观察，</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切割 → 剪折→冲压工序：操作员马本辉按照设备操作规程使用等离子切割机，依照图纸将对原材料进行初期切割加工，现场查看查看操作符合工艺要求。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焊接工序：伟永建按照《焊接操作规程》，依据设备图纸对切割好的原材料进行初期焊接，操作员工佩戴护目镜、耳塞、劳保鞋、口罩等劳保用品。半成品原配件焊接完成后，注明配件名称、填写依据的图号，归类摆放，以便后期进行喷塑处理。</w:t>
            </w:r>
          </w:p>
          <w:p>
            <w:pPr>
              <w:pStyle w:val="2"/>
              <w:rPr>
                <w:rFonts w:hint="default"/>
                <w:lang w:val="en-US" w:eastAsia="zh-CN"/>
              </w:rPr>
            </w:pPr>
            <w:r>
              <w:rPr>
                <w:rFonts w:hint="eastAsia" w:ascii="楷体" w:hAnsi="楷体" w:eastAsia="楷体" w:cs="宋体"/>
                <w:color w:val="000000"/>
                <w:kern w:val="2"/>
                <w:sz w:val="24"/>
                <w:szCs w:val="24"/>
                <w:lang w:val="en-US" w:eastAsia="zh-CN" w:bidi="ar-SA"/>
              </w:rPr>
              <w:t>喷塑交由第三方进行加工，详见Q8.4记录</w:t>
            </w:r>
          </w:p>
          <w:p>
            <w:pPr>
              <w:spacing w:before="120" w:line="320" w:lineRule="exact"/>
              <w:rPr>
                <w:rFonts w:hint="eastAsia"/>
                <w:lang w:val="en-US" w:eastAsia="zh-CN"/>
              </w:rPr>
            </w:pPr>
            <w:r>
              <w:rPr>
                <w:rFonts w:hint="eastAsia" w:ascii="楷体" w:hAnsi="楷体" w:eastAsia="楷体" w:cs="宋体"/>
                <w:color w:val="000000"/>
                <w:kern w:val="2"/>
                <w:sz w:val="24"/>
                <w:szCs w:val="24"/>
                <w:lang w:val="en-US" w:eastAsia="zh-CN" w:bidi="ar-SA"/>
              </w:rPr>
              <w:t>组装→调试工序：郭增亮进行组装、高严春进行调试，针对不同产品的要求，由技术研发部形成的技术图纸及功能要求，进行组装测试，有相应得测试记录。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auto"/>
                <w:kern w:val="2"/>
                <w:sz w:val="24"/>
                <w:szCs w:val="24"/>
                <w:lang w:val="en-US" w:eastAsia="zh-CN" w:bidi="ar-SA"/>
              </w:rPr>
              <w:t>部门生产过程控制基本有效。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标识和可追溯性</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Q8.5.2</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车间及仓库现场查看：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原材料、过程产品、成品采用标签进行标识。抽查半成品和成品存放在车间内划定的区域内，符合要求。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各生产区域中设置：合格区，不合格区、待检区等等，标识明确清晰。</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追溯时机和方法等在文件中有规定，生产技术部负责组织实施，和部门负责人交谈：顾客在使用中一旦出现问题反馈到公司后，公司依据生产日期，通过生产日期可查至生产工序和操作者及供方等。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体系运行以来追溯活动：未发生。</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查各类标识，做到清楚、合理，符合要求。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未发现标识不当而造成混淆的情况。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变更控制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Q8.5.6</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对于生产过程的规格、数量、交付期更改，公司规定通过《生产通知单》的形式重新下达。生产过程的更改指令，若涉及到交付时间更改，均有对应的合同更改评审记录，本部门再次通过《生产通知单》下达。更改的生产指令由本部门负责人签发。</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目前无生产过程工艺的更改。</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运行控制</w:t>
            </w: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EO8.1</w:t>
            </w:r>
          </w:p>
          <w:p>
            <w:pPr>
              <w:spacing w:before="120" w:line="320" w:lineRule="exact"/>
              <w:rPr>
                <w:rFonts w:ascii="楷体" w:hAnsi="楷体" w:eastAsia="楷体" w:cs="宋体"/>
                <w:sz w:val="24"/>
                <w:szCs w:val="24"/>
              </w:rPr>
            </w:pPr>
          </w:p>
        </w:tc>
        <w:tc>
          <w:tcPr>
            <w:tcW w:w="10004"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编制与环境、安全体系运行控制有关的文件有《环境、职业健康安全运行控制程序》、《应急准备和响应程序》、《应急预案》等。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1、废水管控：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生产过程无废水产生，生活废水经化粪池处理后纳管至湖州中环水务有限责任公司处理。</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2、废气管控：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主要是焊接烟尘和粉尘废气，焊接过程产生的烟尘，有焊接烟尘集尘器；机加工过程中产生的粉尘颗粒，主要为钢屑，较重，基本降落在加工设备附近，无外逸，加工完成后及时清扫回收。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3、噪声管控：</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本项目噪声主要为剪板机、折弯机、焊接机等的机械噪声，具体降噪措施如下:  ①、在满足生产需要的前提下，选用低噪声的机械和设备;②、加强噪声设备的维护管理，避免因不正常运行所导致的噪声增大;  ③、实行昼间一班制生产，要求正常生产时车间门窗关闭。对生产人员要求佩戴劳保设备，减少伤害。</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4、固废管控：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生产过程中主要为生活垃圾加工过程产生废边角余料。生产部将以上废弃物放置固定位置，积攒一定量后出售有处理能力的单位回收再利用。目前未处理过。</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能源资源管控：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生产过程注意节水、节电、节原材料，人走关闭设备和照明开关，现场查看未发现有漏水和浪费电能的现象。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6、产品生命周期的环境管控：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公司从工艺设计和采购产品时已考虑了产品的环保性，生产过程中，严格按照环保等管理制度实施，控制好辅助材料的用量，避免浪费，生命周期终了时橡胶还可以回收再利用。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7、潜在火灾管控：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公司生产车间和办公区域配备了灭火器，均符合要求。</w:t>
            </w:r>
          </w:p>
          <w:p>
            <w:pPr>
              <w:spacing w:before="120" w:line="320" w:lineRule="exact"/>
              <w:rPr>
                <w:rFonts w:hint="eastAsia" w:ascii="楷体" w:hAnsi="楷体" w:eastAsia="楷体" w:cs="宋体"/>
                <w:color w:val="000000"/>
                <w:kern w:val="2"/>
                <w:sz w:val="24"/>
                <w:szCs w:val="24"/>
                <w:lang w:val="en-US" w:eastAsia="zh-CN" w:bidi="ar-SA"/>
              </w:rPr>
            </w:pP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现场查看观察运行控制：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巡视办公及生产区域配备有灭火器多个，各车间均配有灭火器，有点检记录。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查看各工序设备运转基本正常，人员操作方法合理，并佩带要相应的防护措施，如耳塞、口罩、防护眼镜等。操作人员穿戴有工作衣、工作鞋、手套、安全帽等安全防护用品。</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各车间安全设施设有提示说明，方便取用，未发现遮挡消防设施和挤占消防通道的情况。</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焊接工序，除尘设施运行良好。</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生产车间标有各种警示标识，如：小心触电、起重机严禁站人、进入厂房须戴安全帽等，车间采光良好、空气流通，车间噪音较小对员工危害不大。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打磨和切割工序，设备防护设施合理，有防护罩，现场操作人员配戴耳塞，搬运人员配戴线手套，车间人员均着工作服、安全鞋。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配电室门口设有防鼠挡板，配有绝缘手套、绝缘鞋、高压验电笔、安全帽，内部配有灭火器。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生产车间内现场电线布线合理，电线均处于完好状态，设备有接地及保护装置，控制柜及漏电保护器状态良好。</w:t>
            </w:r>
          </w:p>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车间在环保方面的控制管理基本有效，待疫情后进一步现场观察审核。</w:t>
            </w:r>
          </w:p>
        </w:tc>
        <w:tc>
          <w:tcPr>
            <w:tcW w:w="1585"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ascii="楷体" w:hAnsi="楷体" w:eastAsia="楷体" w:cs="宋体"/>
                <w:color w:val="auto"/>
                <w:sz w:val="24"/>
                <w:szCs w:val="24"/>
              </w:rPr>
            </w:pPr>
            <w:r>
              <w:rPr>
                <w:rFonts w:hint="eastAsia" w:ascii="楷体" w:hAnsi="楷体" w:eastAsia="楷体" w:cs="宋体"/>
                <w:color w:val="auto"/>
                <w:kern w:val="2"/>
                <w:sz w:val="24"/>
                <w:szCs w:val="24"/>
                <w:lang w:val="en-US" w:eastAsia="zh-CN" w:bidi="ar-SA"/>
              </w:rPr>
              <w:t>应急准备和相应</w:t>
            </w:r>
          </w:p>
        </w:tc>
        <w:tc>
          <w:tcPr>
            <w:tcW w:w="1311" w:type="dxa"/>
            <w:vAlign w:val="top"/>
          </w:tcPr>
          <w:p>
            <w:pPr>
              <w:spacing w:before="120" w:line="320" w:lineRule="exact"/>
              <w:rPr>
                <w:rFonts w:ascii="楷体" w:hAnsi="楷体" w:eastAsia="楷体" w:cs="宋体"/>
                <w:color w:val="auto"/>
                <w:sz w:val="24"/>
                <w:szCs w:val="24"/>
              </w:rPr>
            </w:pPr>
            <w:r>
              <w:rPr>
                <w:rFonts w:hint="eastAsia" w:ascii="楷体" w:hAnsi="楷体" w:eastAsia="楷体" w:cs="宋体"/>
                <w:color w:val="auto"/>
                <w:kern w:val="2"/>
                <w:sz w:val="24"/>
                <w:szCs w:val="24"/>
                <w:lang w:val="en-US" w:eastAsia="zh-CN" w:bidi="ar-SA"/>
              </w:rPr>
              <w:t>EO8.2</w:t>
            </w:r>
          </w:p>
        </w:tc>
        <w:tc>
          <w:tcPr>
            <w:tcW w:w="10004" w:type="dxa"/>
            <w:vAlign w:val="top"/>
          </w:tcPr>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生产技术部按照策划的《应急准备和响应控制程序程序》《火灾应急预案》等，明确了相应的运行准则。</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生产过程中加强用电安全，防止触电事故和火灾事故的发生，安装了漏电保护器。</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 xml:space="preserve">现场查看查看车间门口灭火器在有效期内。  </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生产场所有“禁止吸烟”，“小心触电” 等环保、安全警示标识。</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配有急救药箱，箱内有创可贴、消毒酒精、碘伏、棉棒等。</w:t>
            </w:r>
          </w:p>
          <w:p>
            <w:pPr>
              <w:spacing w:before="120" w:line="320" w:lineRule="exact"/>
              <w:rPr>
                <w:rFonts w:hint="eastAsia" w:ascii="楷体" w:hAnsi="楷体" w:eastAsia="楷体" w:cs="宋体"/>
                <w:color w:val="auto"/>
                <w:kern w:val="2"/>
                <w:sz w:val="24"/>
                <w:szCs w:val="24"/>
                <w:lang w:val="en-US" w:eastAsia="zh-CN" w:bidi="ar-SA"/>
              </w:rPr>
            </w:pPr>
            <w:r>
              <w:rPr>
                <w:rFonts w:hint="eastAsia" w:ascii="楷体" w:hAnsi="楷体" w:eastAsia="楷体" w:cs="宋体"/>
                <w:color w:val="auto"/>
                <w:kern w:val="2"/>
                <w:sz w:val="24"/>
                <w:szCs w:val="24"/>
                <w:lang w:val="en-US" w:eastAsia="zh-CN" w:bidi="ar-SA"/>
              </w:rPr>
              <w:t>查2022年5月10日参加了办公室组织的火灾预案演练，提供了相关记录。</w:t>
            </w:r>
          </w:p>
          <w:p>
            <w:pPr>
              <w:spacing w:before="120" w:line="320" w:lineRule="exact"/>
              <w:rPr>
                <w:rFonts w:ascii="楷体" w:hAnsi="楷体" w:eastAsia="楷体" w:cs="宋体"/>
                <w:color w:val="auto"/>
                <w:sz w:val="24"/>
                <w:szCs w:val="24"/>
              </w:rPr>
            </w:pPr>
            <w:r>
              <w:rPr>
                <w:rFonts w:hint="eastAsia" w:ascii="楷体" w:hAnsi="楷体" w:eastAsia="楷体" w:cs="宋体"/>
                <w:color w:val="auto"/>
                <w:kern w:val="2"/>
                <w:sz w:val="24"/>
                <w:szCs w:val="24"/>
                <w:lang w:val="en-US" w:eastAsia="zh-CN" w:bidi="ar-SA"/>
              </w:rPr>
              <w:t>自体系运行以来未出现应急事故情况。</w:t>
            </w:r>
          </w:p>
        </w:tc>
        <w:tc>
          <w:tcPr>
            <w:tcW w:w="1585" w:type="dxa"/>
            <w:vAlign w:val="top"/>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9"/>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Bdr>
        <w:bottom w:val="none" w:color="auto" w:sz="0" w:space="1"/>
      </w:pBdr>
      <w:spacing w:line="320" w:lineRule="exact"/>
      <w:jc w:val="left"/>
    </w:pPr>
    <w:r>
      <w:rPr>
        <w:rStyle w:val="18"/>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108219C2"/>
    <w:rsid w:val="13A63693"/>
    <w:rsid w:val="1A5A2D4F"/>
    <w:rsid w:val="1E062DAE"/>
    <w:rsid w:val="1FE97E55"/>
    <w:rsid w:val="22667EA1"/>
    <w:rsid w:val="256F2CDB"/>
    <w:rsid w:val="257F61F5"/>
    <w:rsid w:val="2F6B17F6"/>
    <w:rsid w:val="33980C92"/>
    <w:rsid w:val="3C37200A"/>
    <w:rsid w:val="3EFE1E46"/>
    <w:rsid w:val="424979C8"/>
    <w:rsid w:val="4A177381"/>
    <w:rsid w:val="4FF0324F"/>
    <w:rsid w:val="533671B4"/>
    <w:rsid w:val="551E35F6"/>
    <w:rsid w:val="570B0679"/>
    <w:rsid w:val="5EA12B9A"/>
    <w:rsid w:val="608758B9"/>
    <w:rsid w:val="65756820"/>
    <w:rsid w:val="708C6180"/>
    <w:rsid w:val="763D45DB"/>
    <w:rsid w:val="79C444C4"/>
    <w:rsid w:val="7C042EC3"/>
    <w:rsid w:val="7E1D3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Body Text Indent"/>
    <w:basedOn w:val="1"/>
    <w:qFormat/>
    <w:uiPriority w:val="0"/>
    <w:pPr>
      <w:ind w:left="360"/>
    </w:pPr>
    <w:rPr>
      <w:sz w:val="20"/>
    </w:rPr>
  </w:style>
  <w:style w:type="paragraph" w:styleId="7">
    <w:name w:val="Plain Text"/>
    <w:basedOn w:val="1"/>
    <w:link w:val="23"/>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4"/>
    <w:qFormat/>
    <w:uiPriority w:val="0"/>
    <w:pPr>
      <w:widowControl/>
      <w:jc w:val="center"/>
    </w:pPr>
    <w:rPr>
      <w:rFonts w:ascii="Book Antiqua" w:hAnsi="Book Antiqua"/>
      <w:b/>
      <w:kern w:val="0"/>
      <w:sz w:val="31"/>
      <w:szCs w:val="31"/>
      <w:u w:val="single"/>
      <w:lang w:eastAsia="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0"/>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4"/>
    <w:qFormat/>
    <w:uiPriority w:val="0"/>
    <w:rPr>
      <w:rFonts w:hint="eastAsia" w:ascii="宋体" w:hAnsi="宋体" w:eastAsia="宋体"/>
      <w:color w:val="000000"/>
      <w:sz w:val="24"/>
      <w:szCs w:val="24"/>
    </w:rPr>
  </w:style>
  <w:style w:type="character" w:customStyle="1" w:styleId="20">
    <w:name w:val="fontstyle21"/>
    <w:basedOn w:val="14"/>
    <w:qFormat/>
    <w:uiPriority w:val="0"/>
    <w:rPr>
      <w:rFonts w:hint="default" w:ascii="Times New Roman" w:hAnsi="Times New Roman" w:cs="Times New Roman"/>
      <w:color w:val="000000"/>
      <w:sz w:val="24"/>
      <w:szCs w:val="24"/>
    </w:rPr>
  </w:style>
  <w:style w:type="character" w:customStyle="1" w:styleId="21">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4"/>
    <w:link w:val="5"/>
    <w:qFormat/>
    <w:uiPriority w:val="99"/>
    <w:rPr>
      <w:rFonts w:ascii="Times New Roman" w:hAnsi="Times New Roman" w:eastAsia="宋体" w:cs="Times New Roman"/>
      <w:kern w:val="2"/>
      <w:sz w:val="24"/>
    </w:rPr>
  </w:style>
  <w:style w:type="character" w:customStyle="1" w:styleId="23">
    <w:name w:val="纯文本 Char"/>
    <w:basedOn w:val="14"/>
    <w:link w:val="7"/>
    <w:qFormat/>
    <w:uiPriority w:val="0"/>
    <w:rPr>
      <w:rFonts w:ascii="宋体" w:hAnsi="Courier New" w:eastAsia="宋体" w:cs="Times New Roman"/>
      <w:kern w:val="2"/>
      <w:sz w:val="21"/>
    </w:rPr>
  </w:style>
  <w:style w:type="character" w:customStyle="1" w:styleId="24">
    <w:name w:val="标题 Char"/>
    <w:basedOn w:val="14"/>
    <w:link w:val="11"/>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 w:type="paragraph" w:styleId="26">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5672</Words>
  <Characters>6043</Characters>
  <Lines>53</Lines>
  <Paragraphs>15</Paragraphs>
  <TotalTime>1</TotalTime>
  <ScaleCrop>false</ScaleCrop>
  <LinksUpToDate>false</LinksUpToDate>
  <CharactersWithSpaces>6170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2022-12-24T11:33:10Z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09F14CBBFF1F43F2AC6A6C47E612F8C9</vt:lpwstr>
  </property>
</Properties>
</file>