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00"/>
        <w:gridCol w:w="990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过程与活动、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条款</w:t>
            </w:r>
          </w:p>
        </w:tc>
        <w:tc>
          <w:tcPr>
            <w:tcW w:w="990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受审核部门：项目部   主管领导：胥汉  陪同人员：杨加荣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90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审核员：林兵  审核时间：2022.11.19</w:t>
            </w:r>
          </w:p>
        </w:tc>
        <w:tc>
          <w:tcPr>
            <w:tcW w:w="158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22" w:type="dxa"/>
            <w:vMerge w:val="continue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审核条款：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QES：5.3、6.2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Q：8.2、8.5.3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ES：8.1、8.2</w:t>
            </w:r>
          </w:p>
        </w:tc>
        <w:tc>
          <w:tcPr>
            <w:tcW w:w="1585" w:type="dxa"/>
            <w:vMerge w:val="continue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组织的岗位、职责和权限</w:t>
            </w:r>
          </w:p>
        </w:tc>
        <w:tc>
          <w:tcPr>
            <w:tcW w:w="11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QEO5.3</w:t>
            </w:r>
          </w:p>
        </w:tc>
        <w:tc>
          <w:tcPr>
            <w:tcW w:w="9902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在管理手册中确定了项目部部门的的职能权限，主要包括项目顾客反馈的处置、顾客要求的评审、采购合同的签订和对供方的选择、评价和重新评价等。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现场与项目部负责人胥汉沟通，基本了解其职责内容，符合要求。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管理目标及其实现的策划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QEO6.2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9902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组织对管理体系所需的相关职能、层次和过程设定了管理目标。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项目部涉及的目标及实现情况如下：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订单完成率1</w:t>
            </w:r>
            <w:r>
              <w:rPr>
                <w:rFonts w:hint="eastAsia" w:ascii="Times New Roman" w:hAnsi="Times New Roman"/>
                <w:lang w:val="en-US" w:eastAsia="zh-CN"/>
              </w:rPr>
              <w:t>00%；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顾客满意率≥95%；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顾客反馈处理及时率≥95%；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固体废物分类收集率100%；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发生火灾爆炸事故为0起。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抽查2022年一、二、三季度的监视记录里表明：项目部的目标有按要求完成。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外部提供的过程、产品和服务</w:t>
            </w:r>
          </w:p>
        </w:tc>
        <w:tc>
          <w:tcPr>
            <w:tcW w:w="11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Q8.4</w:t>
            </w:r>
          </w:p>
        </w:tc>
        <w:tc>
          <w:tcPr>
            <w:tcW w:w="9902" w:type="dxa"/>
            <w:vAlign w:val="center"/>
          </w:tcPr>
          <w:p>
            <w:pPr>
              <w:bidi w:val="0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组织外部提供的过程、产品和服务主要包括：外委勘测、外委设计、后勤服务及物资采购等。</w:t>
            </w:r>
          </w:p>
          <w:p>
            <w:pPr>
              <w:bidi w:val="0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通过招标然后签订合同的方式进行或自行评价选择。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技术服务合同，抽查内容如下：①项目名称：输变电工程勘测技术服务项目（包2）；受托方：浙江中材工程勘测设计有限公司；签订时间：2021.9.1；服务期限：730天；合同就工作条件及协作事项、组织与管理、技术服务报酬结算、支付方式、成果验收、知识产权、保密义务、违约责任、合同变更和解除、争议解决等内容作出约定，基本满足组织的控制规定要求；②项目名称：输变电工程勘测技术服务项目（包1）；受托方：核工业湖州勘测规划设计研究院股份有限公司；签订时间：2021.9.1；服务期限：730天；合同就工作条件及协作事项、组织与管理、技术服务报酬结算、支付方式、成果验收、知识产权、保密义务、违约责任、合同变更和解除、争议解决等内容作出约定，基本满足组织的控制规定要求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综上，组织的供方控制基本满足要求。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供方及顾客财产管理</w:t>
            </w:r>
          </w:p>
        </w:tc>
        <w:tc>
          <w:tcPr>
            <w:tcW w:w="110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Q8.5.3</w:t>
            </w:r>
          </w:p>
        </w:tc>
        <w:tc>
          <w:tcPr>
            <w:tcW w:w="9902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组织主要存在的顾客及供方财产为顾客及供方等的基本信息，基本通过各业务活动专人负责保管的方式控制。基本能够确保符合要求。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22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交付后的活动</w:t>
            </w:r>
          </w:p>
        </w:tc>
        <w:tc>
          <w:tcPr>
            <w:tcW w:w="11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Q8.2</w:t>
            </w:r>
          </w:p>
        </w:tc>
        <w:tc>
          <w:tcPr>
            <w:tcW w:w="9902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组织识别产品和服务的要求主要来源于：1.</w:t>
            </w:r>
            <w:r>
              <w:rPr>
                <w:rFonts w:hint="eastAsia"/>
              </w:rPr>
              <w:t>顾客明确规定的要求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即有</w:t>
            </w:r>
            <w:r>
              <w:rPr>
                <w:rFonts w:hint="eastAsia"/>
                <w:lang w:val="en-US" w:eastAsia="zh-CN"/>
              </w:rPr>
              <w:t>设计</w:t>
            </w:r>
            <w:r>
              <w:rPr>
                <w:rFonts w:hint="eastAsia"/>
              </w:rPr>
              <w:t>服务本身的质量要求也包括后续活动的要求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顾客没有明确规定，但预期或规定用途所必要的要求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设计</w:t>
            </w:r>
            <w:r>
              <w:rPr>
                <w:rFonts w:hint="eastAsia"/>
              </w:rPr>
              <w:t>服务有关的法律法规的要求及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附加的对顾客的责任</w:t>
            </w:r>
            <w:r>
              <w:rPr>
                <w:rFonts w:hint="eastAsia"/>
                <w:lang w:val="en-US" w:eastAsia="zh-CN"/>
              </w:rPr>
              <w:t>要求等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项目部的</w:t>
            </w:r>
            <w:r>
              <w:rPr>
                <w:rFonts w:hint="eastAsia"/>
              </w:rPr>
              <w:t>业务方式主要是：网内项目按上级部门下达要求完成，一般不组织产品要求评审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网外项目，必要时项目管理部负责组织人员收集并确定以下要求：a) 重要、复杂项目，由分管院长主持，召集总工、设总及有关人员进行评审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输出《产品要求（变更）评审表》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b）其它项目采取一般以设计委托书记录。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截止审核期间，组织的项目基本以</w:t>
            </w:r>
            <w:r>
              <w:rPr>
                <w:rFonts w:hint="eastAsia"/>
              </w:rPr>
              <w:t>上级部门下达</w:t>
            </w:r>
            <w:r>
              <w:rPr>
                <w:rFonts w:hint="eastAsia"/>
                <w:lang w:val="en-US" w:eastAsia="zh-CN"/>
              </w:rPr>
              <w:t>的任务为主。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输变电工程勘察设计合同，抽查内容如下:①工程名称：湖州李家巷110KV变电站整体改造工程；发包人：国网浙江省电力有限公司湖州供电公司；签订日期：2021.2.19；合同包括和合同协议书、通用条款和专用条款三个部分，内容就双方的权利义务、勘察设计范围及工期、设计文件交付、审查确认、价格、现场服务、知识产权、保密义务、违约责任等作出约定，基本满足产品和服务的要求确定过程控制；②工程名称：湖州甘泉220KV变电站110KV间隔扩建工程；发包人：国网浙江省电力有限公司湖州供电公司；签订日期：2022.6.22；合同包括和合同协议书、通用条款和专用条款三个部分，内容就双方的权利义务、勘察设计范围及工期、设计文件交付、审查确认、价格、现场服务、知识产权、保密义务、违约责任等作出约定，基本满足产品和服务的要求确定过程控制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环境和职业健康安全运行控制</w:t>
            </w:r>
          </w:p>
        </w:tc>
        <w:tc>
          <w:tcPr>
            <w:tcW w:w="1100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color w:val="000000"/>
                <w:kern w:val="0"/>
                <w:szCs w:val="21"/>
                <w:lang w:val="en-US" w:eastAsia="zh-CN"/>
              </w:rPr>
              <w:t>EO8.1</w:t>
            </w:r>
          </w:p>
        </w:tc>
        <w:tc>
          <w:tcPr>
            <w:tcW w:w="9902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组织项目部的环境和职业健康安全运行控制准则包括程序文件如《环境和职业健康安全运行控制程序》等，具体运行控制情况如下：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固废管控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审核发现，组织的固废均为一般固废：</w:t>
            </w:r>
            <w:r>
              <w:rPr>
                <w:rFonts w:hint="eastAsia"/>
                <w:color w:val="auto"/>
              </w:rPr>
              <w:t>生活垃圾</w:t>
            </w:r>
            <w:r>
              <w:rPr>
                <w:rFonts w:hint="eastAsia"/>
                <w:color w:val="auto"/>
                <w:lang w:val="en-US" w:eastAsia="zh-CN"/>
              </w:rPr>
              <w:t>分类搜集后由市政</w:t>
            </w:r>
            <w:r>
              <w:rPr>
                <w:rFonts w:hint="eastAsia"/>
                <w:color w:val="auto"/>
              </w:rPr>
              <w:t>环卫部门</w:t>
            </w:r>
            <w:r>
              <w:rPr>
                <w:rFonts w:hint="eastAsia"/>
                <w:color w:val="auto"/>
                <w:lang w:val="en-US" w:eastAsia="zh-CN"/>
              </w:rPr>
              <w:t>统一</w:t>
            </w:r>
            <w:r>
              <w:rPr>
                <w:rFonts w:hint="eastAsia"/>
                <w:color w:val="auto"/>
              </w:rPr>
              <w:t>清运；</w:t>
            </w:r>
            <w:r>
              <w:rPr>
                <w:rFonts w:hint="eastAsia"/>
                <w:color w:val="auto"/>
                <w:lang w:val="en-US" w:eastAsia="zh-CN"/>
              </w:rPr>
              <w:t>办公固废由供应商回收。现场查看组织一般固废均有按要求进行分类搜集。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2.废水管控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组织的</w:t>
            </w:r>
            <w:r>
              <w:rPr>
                <w:rFonts w:hint="eastAsia" w:ascii="Times New Roman" w:hAnsi="Times New Roman" w:cs="Times New Roman"/>
                <w:color w:val="auto"/>
              </w:rPr>
              <w:t>生活污水</w:t>
            </w:r>
            <w:r>
              <w:rPr>
                <w:rFonts w:hint="eastAsia" w:cs="Times New Roman"/>
                <w:color w:val="auto"/>
                <w:lang w:val="en-US" w:eastAsia="zh-CN"/>
              </w:rPr>
              <w:t>统一排入市政污水管网，无其它废</w:t>
            </w:r>
            <w:r>
              <w:rPr>
                <w:rFonts w:hint="eastAsia"/>
                <w:color w:val="auto"/>
                <w:lang w:val="en-US" w:eastAsia="zh-CN"/>
              </w:rPr>
              <w:t>水；现场未见办公区域废水管道中倾倒或放置化学品、油品和其他污染物等现象。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3.废气管控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组织涉及的废气有汽车尾气、晒图机、绘图仪产生气体的排放：组织的公用机动车辆按期参加车辆年度检测。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噪声管控</w:t>
            </w:r>
          </w:p>
          <w:p>
            <w:pPr>
              <w:pStyle w:val="2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组织的业务活动不涉及噪声的排放。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5.潜在火灾管控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</w:t>
            </w:r>
            <w:r>
              <w:rPr>
                <w:rFonts w:hint="eastAsia"/>
                <w:color w:val="auto"/>
              </w:rPr>
              <w:t>办公</w:t>
            </w:r>
            <w:r>
              <w:rPr>
                <w:rFonts w:hint="eastAsia"/>
                <w:color w:val="auto"/>
                <w:lang w:val="en-US" w:eastAsia="zh-CN"/>
              </w:rPr>
              <w:t>场所均</w:t>
            </w:r>
            <w:r>
              <w:rPr>
                <w:rFonts w:hint="eastAsia"/>
                <w:color w:val="auto"/>
              </w:rPr>
              <w:t>配有灭火器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消防栓和喷淋设施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现场检查，均有按要求点检维护，消防标志有效，消防通道畅通，基本满足要求。</w:t>
            </w:r>
          </w:p>
          <w:p>
            <w:pPr>
              <w:numPr>
                <w:ilvl w:val="0"/>
                <w:numId w:val="0"/>
              </w:numPr>
              <w:snapToGrid w:val="0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6.潜在触电管控</w:t>
            </w:r>
          </w:p>
          <w:p>
            <w:pPr>
              <w:numPr>
                <w:ilvl w:val="0"/>
                <w:numId w:val="0"/>
              </w:numPr>
              <w:snapToGrid w:val="0"/>
              <w:ind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办公生产</w:t>
            </w:r>
            <w:r>
              <w:rPr>
                <w:rFonts w:hint="eastAsia"/>
                <w:color w:val="auto"/>
              </w:rPr>
              <w:t>使用的电器设备都安装有漏电保护</w:t>
            </w:r>
            <w:r>
              <w:rPr>
                <w:rFonts w:hint="eastAsia"/>
                <w:color w:val="auto"/>
                <w:lang w:val="en-US" w:eastAsia="zh-CN"/>
              </w:rPr>
              <w:t>装置；施工现场通过管理规范要求人员注意带电设施等安全标志，严禁擅自操作等。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7.相关方的环保和安全控制要求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组织主要通外协合同等规定环境保护和职业健康安全要求，合同抽样主要见Q8.4。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8.其它健康安全运行情况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组织遵循当地政府疫情防控要求，进入院内均要求扫码、测体温等。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综上，项目部环境和职业健康安全运行策划和控制基本符合要求。</w:t>
            </w:r>
          </w:p>
        </w:tc>
        <w:tc>
          <w:tcPr>
            <w:tcW w:w="1585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0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000000"/>
                <w:kern w:val="0"/>
                <w:szCs w:val="21"/>
                <w:lang w:val="en-US" w:eastAsia="zh-CN"/>
              </w:rPr>
              <w:t>EO8.2</w:t>
            </w:r>
          </w:p>
        </w:tc>
        <w:tc>
          <w:tcPr>
            <w:tcW w:w="9902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华文细黑" w:hAnsi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组织制定了《应急准备和响应控制程序》，识别的紧急情况主要包括：a)办公区火灾中人员伤亡；b)交通事故中人员伤亡；c)勘察现场的踏空、跌落、野猪夹夹伤、毒蛇咬伤等；d)现场服务工地中发生的人员伤亡事件（如触电等）等；所有紧急情况均规定了相应的应急专项预案和现场处置方案。基本满足策划控制要求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提</w:t>
            </w: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供2022年9月22日火灾事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故的应急演练记录，记录内容包括训练目的、地点、参与者、演练过程概述以及后续的评价和总结等。有相应的演练报告，</w:t>
            </w:r>
            <w:r>
              <w:rPr>
                <w:rFonts w:hint="eastAsia"/>
                <w:color w:val="auto"/>
                <w:lang w:val="en-US" w:eastAsia="zh-CN"/>
              </w:rPr>
              <w:t>项目部有派员参与演练，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基本满足应急准备和演练的控制要求。</w:t>
            </w:r>
          </w:p>
        </w:tc>
        <w:tc>
          <w:tcPr>
            <w:tcW w:w="1585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spacing w:line="360" w:lineRule="auto"/>
        <w:jc w:val="left"/>
        <w:rPr>
          <w:rFonts w:hint="eastAsia" w:ascii="等线" w:hAnsi="等线" w:eastAsia="等线" w:cs="等线"/>
          <w:lang w:val="en-US" w:eastAsia="zh-CN"/>
        </w:rPr>
      </w:pPr>
      <w:bookmarkStart w:id="0" w:name="_GoBack"/>
      <w:bookmarkEnd w:id="0"/>
      <w:r>
        <w:rPr>
          <w:rFonts w:hint="eastAsia" w:ascii="等线" w:hAnsi="等线" w:eastAsia="等线" w:cs="等线"/>
          <w:lang w:val="en-US" w:eastAsia="zh-CN"/>
        </w:rPr>
        <w:t>说明：符合标注Y，不符合标注N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477B8"/>
    <w:rsid w:val="000B7900"/>
    <w:rsid w:val="000F7902"/>
    <w:rsid w:val="00127F7B"/>
    <w:rsid w:val="00183A7A"/>
    <w:rsid w:val="0022273D"/>
    <w:rsid w:val="00275B91"/>
    <w:rsid w:val="003010DA"/>
    <w:rsid w:val="00357FBC"/>
    <w:rsid w:val="003B7004"/>
    <w:rsid w:val="004078AB"/>
    <w:rsid w:val="004151E1"/>
    <w:rsid w:val="00477697"/>
    <w:rsid w:val="004B16A6"/>
    <w:rsid w:val="005B321D"/>
    <w:rsid w:val="005F00FB"/>
    <w:rsid w:val="00675481"/>
    <w:rsid w:val="0069333A"/>
    <w:rsid w:val="006D6AFE"/>
    <w:rsid w:val="007C65D6"/>
    <w:rsid w:val="009221D5"/>
    <w:rsid w:val="00951F9E"/>
    <w:rsid w:val="00954EA8"/>
    <w:rsid w:val="009C3AF7"/>
    <w:rsid w:val="00A07938"/>
    <w:rsid w:val="00AB02D4"/>
    <w:rsid w:val="00B36031"/>
    <w:rsid w:val="00B67994"/>
    <w:rsid w:val="00BB6546"/>
    <w:rsid w:val="00D56FEB"/>
    <w:rsid w:val="00DD4B80"/>
    <w:rsid w:val="00E61681"/>
    <w:rsid w:val="00EF3EBB"/>
    <w:rsid w:val="00F804BA"/>
    <w:rsid w:val="015C28DD"/>
    <w:rsid w:val="016D5FEA"/>
    <w:rsid w:val="01922103"/>
    <w:rsid w:val="02EE3C38"/>
    <w:rsid w:val="02F1058A"/>
    <w:rsid w:val="03186B20"/>
    <w:rsid w:val="0349599C"/>
    <w:rsid w:val="0365214C"/>
    <w:rsid w:val="03EA43FF"/>
    <w:rsid w:val="045E2284"/>
    <w:rsid w:val="046C20E9"/>
    <w:rsid w:val="04934870"/>
    <w:rsid w:val="051C4A8C"/>
    <w:rsid w:val="056C5928"/>
    <w:rsid w:val="05D13AC9"/>
    <w:rsid w:val="05F24A7A"/>
    <w:rsid w:val="061D118D"/>
    <w:rsid w:val="06C4795C"/>
    <w:rsid w:val="06ED6BA4"/>
    <w:rsid w:val="071A704A"/>
    <w:rsid w:val="07366EEC"/>
    <w:rsid w:val="075E0DB2"/>
    <w:rsid w:val="07886409"/>
    <w:rsid w:val="08251EAA"/>
    <w:rsid w:val="08493AC0"/>
    <w:rsid w:val="08C6412D"/>
    <w:rsid w:val="09093579"/>
    <w:rsid w:val="0A2A19F9"/>
    <w:rsid w:val="0A645E0E"/>
    <w:rsid w:val="0AAB6D55"/>
    <w:rsid w:val="0ABD1C25"/>
    <w:rsid w:val="0B2B6820"/>
    <w:rsid w:val="0B667F92"/>
    <w:rsid w:val="0B7C0007"/>
    <w:rsid w:val="0B9C575C"/>
    <w:rsid w:val="0CD1706B"/>
    <w:rsid w:val="0CE06432"/>
    <w:rsid w:val="0D22380E"/>
    <w:rsid w:val="0D5E4F63"/>
    <w:rsid w:val="0D6F5549"/>
    <w:rsid w:val="0D8D55CF"/>
    <w:rsid w:val="0D9D0734"/>
    <w:rsid w:val="0DD1781A"/>
    <w:rsid w:val="0DED74DE"/>
    <w:rsid w:val="0E611762"/>
    <w:rsid w:val="0EA90CDC"/>
    <w:rsid w:val="0EC67291"/>
    <w:rsid w:val="0F0A44F4"/>
    <w:rsid w:val="107F3143"/>
    <w:rsid w:val="109A270B"/>
    <w:rsid w:val="10DB57FB"/>
    <w:rsid w:val="11274EE5"/>
    <w:rsid w:val="11600FD3"/>
    <w:rsid w:val="11843FEF"/>
    <w:rsid w:val="11CB1CF2"/>
    <w:rsid w:val="11DF30C9"/>
    <w:rsid w:val="120174E4"/>
    <w:rsid w:val="12865C3B"/>
    <w:rsid w:val="12D87F7D"/>
    <w:rsid w:val="12ED5CBA"/>
    <w:rsid w:val="136044BA"/>
    <w:rsid w:val="13AC657F"/>
    <w:rsid w:val="13C82EA6"/>
    <w:rsid w:val="14792020"/>
    <w:rsid w:val="148C320E"/>
    <w:rsid w:val="14B35332"/>
    <w:rsid w:val="14D60BAF"/>
    <w:rsid w:val="150C1BA5"/>
    <w:rsid w:val="1511475A"/>
    <w:rsid w:val="15567B46"/>
    <w:rsid w:val="15924309"/>
    <w:rsid w:val="15A46EB6"/>
    <w:rsid w:val="16380F1D"/>
    <w:rsid w:val="16807640"/>
    <w:rsid w:val="168C7062"/>
    <w:rsid w:val="16EB2510"/>
    <w:rsid w:val="17105BFE"/>
    <w:rsid w:val="17A105EC"/>
    <w:rsid w:val="17D228C8"/>
    <w:rsid w:val="17DC33B7"/>
    <w:rsid w:val="17F90310"/>
    <w:rsid w:val="18013CA5"/>
    <w:rsid w:val="1881312C"/>
    <w:rsid w:val="188E5849"/>
    <w:rsid w:val="18AE3F83"/>
    <w:rsid w:val="18B679C2"/>
    <w:rsid w:val="18E62767"/>
    <w:rsid w:val="191D37FF"/>
    <w:rsid w:val="19E576EB"/>
    <w:rsid w:val="19EE47F1"/>
    <w:rsid w:val="1A0E7A17"/>
    <w:rsid w:val="1A255D39"/>
    <w:rsid w:val="1A2C356C"/>
    <w:rsid w:val="1A4E34E2"/>
    <w:rsid w:val="1AA65DED"/>
    <w:rsid w:val="1AB64BE3"/>
    <w:rsid w:val="1ACB387A"/>
    <w:rsid w:val="1B3A6C10"/>
    <w:rsid w:val="1B941A29"/>
    <w:rsid w:val="1BEA1A8C"/>
    <w:rsid w:val="1C8A6D4D"/>
    <w:rsid w:val="1C93342E"/>
    <w:rsid w:val="1C9727F7"/>
    <w:rsid w:val="1CC7757C"/>
    <w:rsid w:val="1CFC7225"/>
    <w:rsid w:val="1D082061"/>
    <w:rsid w:val="1D9D4085"/>
    <w:rsid w:val="1DA779BC"/>
    <w:rsid w:val="1DFC77B9"/>
    <w:rsid w:val="1E2A40E0"/>
    <w:rsid w:val="1E8F7095"/>
    <w:rsid w:val="1F7501DC"/>
    <w:rsid w:val="1FA00991"/>
    <w:rsid w:val="1FAF4A23"/>
    <w:rsid w:val="1FC55C88"/>
    <w:rsid w:val="1FCB2204"/>
    <w:rsid w:val="203A1613"/>
    <w:rsid w:val="206F7D0E"/>
    <w:rsid w:val="2140210E"/>
    <w:rsid w:val="220B7CE2"/>
    <w:rsid w:val="22665967"/>
    <w:rsid w:val="22C95DFC"/>
    <w:rsid w:val="23442C94"/>
    <w:rsid w:val="24194B61"/>
    <w:rsid w:val="241E5CD3"/>
    <w:rsid w:val="242D03AD"/>
    <w:rsid w:val="24F609FE"/>
    <w:rsid w:val="250F5524"/>
    <w:rsid w:val="252512E3"/>
    <w:rsid w:val="25315265"/>
    <w:rsid w:val="25756628"/>
    <w:rsid w:val="25FB4E03"/>
    <w:rsid w:val="268D2FFB"/>
    <w:rsid w:val="26D0706A"/>
    <w:rsid w:val="26D20FF7"/>
    <w:rsid w:val="26FD42C6"/>
    <w:rsid w:val="27320299"/>
    <w:rsid w:val="274E12DC"/>
    <w:rsid w:val="27600522"/>
    <w:rsid w:val="27614ECC"/>
    <w:rsid w:val="276553E4"/>
    <w:rsid w:val="27FF6615"/>
    <w:rsid w:val="287D02B1"/>
    <w:rsid w:val="28AA222B"/>
    <w:rsid w:val="297351A7"/>
    <w:rsid w:val="299623AE"/>
    <w:rsid w:val="29FE2227"/>
    <w:rsid w:val="2A455CF6"/>
    <w:rsid w:val="2A496CEC"/>
    <w:rsid w:val="2A7A1DC4"/>
    <w:rsid w:val="2A9104B9"/>
    <w:rsid w:val="2AFB5DAA"/>
    <w:rsid w:val="2B073405"/>
    <w:rsid w:val="2B9B1DAA"/>
    <w:rsid w:val="2B9F60CC"/>
    <w:rsid w:val="2BD101B3"/>
    <w:rsid w:val="2BD2657C"/>
    <w:rsid w:val="2BFF706A"/>
    <w:rsid w:val="2C603126"/>
    <w:rsid w:val="2C7F347A"/>
    <w:rsid w:val="2CA156F3"/>
    <w:rsid w:val="2CBE44F7"/>
    <w:rsid w:val="2CF77A09"/>
    <w:rsid w:val="2D4002EB"/>
    <w:rsid w:val="2D4C792D"/>
    <w:rsid w:val="2D922082"/>
    <w:rsid w:val="2DA050B6"/>
    <w:rsid w:val="2DB15406"/>
    <w:rsid w:val="2DC25921"/>
    <w:rsid w:val="2DD83397"/>
    <w:rsid w:val="2DF6386B"/>
    <w:rsid w:val="2E630539"/>
    <w:rsid w:val="2EDC6EB7"/>
    <w:rsid w:val="2F7E7F6E"/>
    <w:rsid w:val="2FE651F9"/>
    <w:rsid w:val="302503E9"/>
    <w:rsid w:val="302C4E61"/>
    <w:rsid w:val="30D862EC"/>
    <w:rsid w:val="30F338F0"/>
    <w:rsid w:val="322748ED"/>
    <w:rsid w:val="32CD259C"/>
    <w:rsid w:val="332A37E3"/>
    <w:rsid w:val="33706B3F"/>
    <w:rsid w:val="33877DBC"/>
    <w:rsid w:val="33B74706"/>
    <w:rsid w:val="33C23620"/>
    <w:rsid w:val="33C27A0B"/>
    <w:rsid w:val="34015AC0"/>
    <w:rsid w:val="343147AA"/>
    <w:rsid w:val="344F7A61"/>
    <w:rsid w:val="34983880"/>
    <w:rsid w:val="34A9783B"/>
    <w:rsid w:val="34D83195"/>
    <w:rsid w:val="351651A1"/>
    <w:rsid w:val="35521BC3"/>
    <w:rsid w:val="35683252"/>
    <w:rsid w:val="35A149B6"/>
    <w:rsid w:val="35E4111A"/>
    <w:rsid w:val="35FC1BEC"/>
    <w:rsid w:val="36032F7B"/>
    <w:rsid w:val="36411FAE"/>
    <w:rsid w:val="36475CBC"/>
    <w:rsid w:val="3667175C"/>
    <w:rsid w:val="36764F96"/>
    <w:rsid w:val="36995394"/>
    <w:rsid w:val="371F62EC"/>
    <w:rsid w:val="38B968E2"/>
    <w:rsid w:val="38D43340"/>
    <w:rsid w:val="38D95337"/>
    <w:rsid w:val="38E85A27"/>
    <w:rsid w:val="391B28D2"/>
    <w:rsid w:val="392F1776"/>
    <w:rsid w:val="39F84006"/>
    <w:rsid w:val="39FA50EF"/>
    <w:rsid w:val="3A173499"/>
    <w:rsid w:val="3A6A35C8"/>
    <w:rsid w:val="3B2220F5"/>
    <w:rsid w:val="3B271B74"/>
    <w:rsid w:val="3B48408B"/>
    <w:rsid w:val="3B85317D"/>
    <w:rsid w:val="3BD93EF1"/>
    <w:rsid w:val="3C2D4BF2"/>
    <w:rsid w:val="3CBF5AA0"/>
    <w:rsid w:val="3D3E7892"/>
    <w:rsid w:val="3D92667F"/>
    <w:rsid w:val="3DA52083"/>
    <w:rsid w:val="3EAB082D"/>
    <w:rsid w:val="4003621A"/>
    <w:rsid w:val="40704A37"/>
    <w:rsid w:val="40BC1A2E"/>
    <w:rsid w:val="40EF685E"/>
    <w:rsid w:val="40F07371"/>
    <w:rsid w:val="41753148"/>
    <w:rsid w:val="41C00698"/>
    <w:rsid w:val="41D42C99"/>
    <w:rsid w:val="421C6944"/>
    <w:rsid w:val="422A188F"/>
    <w:rsid w:val="42601FA2"/>
    <w:rsid w:val="42613503"/>
    <w:rsid w:val="427B0293"/>
    <w:rsid w:val="429E4757"/>
    <w:rsid w:val="42A359F3"/>
    <w:rsid w:val="42FC322C"/>
    <w:rsid w:val="431A6BB2"/>
    <w:rsid w:val="4352109E"/>
    <w:rsid w:val="43A6084D"/>
    <w:rsid w:val="43C8709D"/>
    <w:rsid w:val="43FE2FD4"/>
    <w:rsid w:val="4406591D"/>
    <w:rsid w:val="449576D9"/>
    <w:rsid w:val="44D31FA0"/>
    <w:rsid w:val="44D473C9"/>
    <w:rsid w:val="451B0F59"/>
    <w:rsid w:val="45777764"/>
    <w:rsid w:val="459404FE"/>
    <w:rsid w:val="45C06792"/>
    <w:rsid w:val="45C320C4"/>
    <w:rsid w:val="45D500AC"/>
    <w:rsid w:val="46252EF5"/>
    <w:rsid w:val="471D14E6"/>
    <w:rsid w:val="478E10DC"/>
    <w:rsid w:val="487876B6"/>
    <w:rsid w:val="48E8739E"/>
    <w:rsid w:val="490520E3"/>
    <w:rsid w:val="4974308B"/>
    <w:rsid w:val="49B56541"/>
    <w:rsid w:val="4A185028"/>
    <w:rsid w:val="4A454FA8"/>
    <w:rsid w:val="4A772F7E"/>
    <w:rsid w:val="4A90328C"/>
    <w:rsid w:val="4ADC53EB"/>
    <w:rsid w:val="4BB5234C"/>
    <w:rsid w:val="4BCE772F"/>
    <w:rsid w:val="4BD05B9E"/>
    <w:rsid w:val="4C0D2006"/>
    <w:rsid w:val="4CC60CF3"/>
    <w:rsid w:val="4CCB4D5A"/>
    <w:rsid w:val="4D037FD5"/>
    <w:rsid w:val="4D6C2FA6"/>
    <w:rsid w:val="4DA70238"/>
    <w:rsid w:val="4DC92507"/>
    <w:rsid w:val="4E333039"/>
    <w:rsid w:val="4E9E41DF"/>
    <w:rsid w:val="4F00665C"/>
    <w:rsid w:val="4F035559"/>
    <w:rsid w:val="4F5639A0"/>
    <w:rsid w:val="4F82475E"/>
    <w:rsid w:val="4F984C1B"/>
    <w:rsid w:val="5027615E"/>
    <w:rsid w:val="503306B2"/>
    <w:rsid w:val="50850871"/>
    <w:rsid w:val="50AD27A5"/>
    <w:rsid w:val="50D17AA6"/>
    <w:rsid w:val="51023272"/>
    <w:rsid w:val="512E39E9"/>
    <w:rsid w:val="51356BF3"/>
    <w:rsid w:val="518B730D"/>
    <w:rsid w:val="51E5538B"/>
    <w:rsid w:val="521314C8"/>
    <w:rsid w:val="52427DEA"/>
    <w:rsid w:val="52E247B3"/>
    <w:rsid w:val="52FA3970"/>
    <w:rsid w:val="52FA56D6"/>
    <w:rsid w:val="53450891"/>
    <w:rsid w:val="5397518A"/>
    <w:rsid w:val="53FA37B7"/>
    <w:rsid w:val="54272600"/>
    <w:rsid w:val="543F2D91"/>
    <w:rsid w:val="55A25C1A"/>
    <w:rsid w:val="55B17EA6"/>
    <w:rsid w:val="55E22C1A"/>
    <w:rsid w:val="55FA299F"/>
    <w:rsid w:val="56111C07"/>
    <w:rsid w:val="56376C88"/>
    <w:rsid w:val="567C6706"/>
    <w:rsid w:val="56982E14"/>
    <w:rsid w:val="56C816DB"/>
    <w:rsid w:val="56DA00C8"/>
    <w:rsid w:val="56EB5639"/>
    <w:rsid w:val="571026F0"/>
    <w:rsid w:val="5827444F"/>
    <w:rsid w:val="58443253"/>
    <w:rsid w:val="585F008D"/>
    <w:rsid w:val="58BA0B75"/>
    <w:rsid w:val="594E09F4"/>
    <w:rsid w:val="595375B9"/>
    <w:rsid w:val="599F0988"/>
    <w:rsid w:val="59A55023"/>
    <w:rsid w:val="59C52172"/>
    <w:rsid w:val="5AE147BC"/>
    <w:rsid w:val="5B052E2E"/>
    <w:rsid w:val="5B155CF4"/>
    <w:rsid w:val="5C1B4F72"/>
    <w:rsid w:val="5C5B6DBD"/>
    <w:rsid w:val="5C781BA0"/>
    <w:rsid w:val="5C894AEF"/>
    <w:rsid w:val="5CF214D0"/>
    <w:rsid w:val="5DA46146"/>
    <w:rsid w:val="5DAC2F4C"/>
    <w:rsid w:val="5DB47FE2"/>
    <w:rsid w:val="5DC3100C"/>
    <w:rsid w:val="5DD5494D"/>
    <w:rsid w:val="5E4056C3"/>
    <w:rsid w:val="5E510478"/>
    <w:rsid w:val="5E695629"/>
    <w:rsid w:val="5FE974E4"/>
    <w:rsid w:val="5FEA2868"/>
    <w:rsid w:val="607414BF"/>
    <w:rsid w:val="610177F7"/>
    <w:rsid w:val="61506410"/>
    <w:rsid w:val="61DC62AA"/>
    <w:rsid w:val="61FB61B5"/>
    <w:rsid w:val="62692263"/>
    <w:rsid w:val="62B44726"/>
    <w:rsid w:val="633E4315"/>
    <w:rsid w:val="638C4F2A"/>
    <w:rsid w:val="63911317"/>
    <w:rsid w:val="63A11FF7"/>
    <w:rsid w:val="64163901"/>
    <w:rsid w:val="643D2DE7"/>
    <w:rsid w:val="64DD2A65"/>
    <w:rsid w:val="64F47DAF"/>
    <w:rsid w:val="65BC6B1F"/>
    <w:rsid w:val="65F362B8"/>
    <w:rsid w:val="66C32DAD"/>
    <w:rsid w:val="66CD08B8"/>
    <w:rsid w:val="671B5AC7"/>
    <w:rsid w:val="675D60DF"/>
    <w:rsid w:val="67766731"/>
    <w:rsid w:val="67C21B9B"/>
    <w:rsid w:val="686A00AF"/>
    <w:rsid w:val="68A27701"/>
    <w:rsid w:val="68DE4FFE"/>
    <w:rsid w:val="69C42446"/>
    <w:rsid w:val="69EF6E4B"/>
    <w:rsid w:val="6A385EE0"/>
    <w:rsid w:val="6ABC27E3"/>
    <w:rsid w:val="6AC723EB"/>
    <w:rsid w:val="6B20460D"/>
    <w:rsid w:val="6B546B12"/>
    <w:rsid w:val="6B925998"/>
    <w:rsid w:val="6B93461B"/>
    <w:rsid w:val="6B9D5758"/>
    <w:rsid w:val="6BD55623"/>
    <w:rsid w:val="6D0D5EB2"/>
    <w:rsid w:val="6D27229E"/>
    <w:rsid w:val="6D2A103C"/>
    <w:rsid w:val="6E001573"/>
    <w:rsid w:val="6E7E0E23"/>
    <w:rsid w:val="6E8977BA"/>
    <w:rsid w:val="6EAB3BD4"/>
    <w:rsid w:val="6EAD3A07"/>
    <w:rsid w:val="6F245F17"/>
    <w:rsid w:val="6F611B12"/>
    <w:rsid w:val="70DA42FD"/>
    <w:rsid w:val="70F52EE5"/>
    <w:rsid w:val="71243E9A"/>
    <w:rsid w:val="7198114F"/>
    <w:rsid w:val="71A118AB"/>
    <w:rsid w:val="71C32FE3"/>
    <w:rsid w:val="72870020"/>
    <w:rsid w:val="72CE5B76"/>
    <w:rsid w:val="73334198"/>
    <w:rsid w:val="73504D4A"/>
    <w:rsid w:val="73685F85"/>
    <w:rsid w:val="737A3B75"/>
    <w:rsid w:val="73AB01D2"/>
    <w:rsid w:val="740E5704"/>
    <w:rsid w:val="74467432"/>
    <w:rsid w:val="74684BCE"/>
    <w:rsid w:val="749B75C3"/>
    <w:rsid w:val="749F57AF"/>
    <w:rsid w:val="74A6237F"/>
    <w:rsid w:val="751A73BE"/>
    <w:rsid w:val="75476C1E"/>
    <w:rsid w:val="75A4653C"/>
    <w:rsid w:val="75A85011"/>
    <w:rsid w:val="76315091"/>
    <w:rsid w:val="76533CE0"/>
    <w:rsid w:val="76DE7B3C"/>
    <w:rsid w:val="77245053"/>
    <w:rsid w:val="772C579E"/>
    <w:rsid w:val="773762B2"/>
    <w:rsid w:val="77525C74"/>
    <w:rsid w:val="775569AB"/>
    <w:rsid w:val="779B11A0"/>
    <w:rsid w:val="77B93329"/>
    <w:rsid w:val="77BF7A05"/>
    <w:rsid w:val="77E46871"/>
    <w:rsid w:val="77EF50EB"/>
    <w:rsid w:val="784719C3"/>
    <w:rsid w:val="78614A98"/>
    <w:rsid w:val="78D44883"/>
    <w:rsid w:val="794C6296"/>
    <w:rsid w:val="798B6ADC"/>
    <w:rsid w:val="79CA4CEB"/>
    <w:rsid w:val="79DD09BA"/>
    <w:rsid w:val="7A4F70AE"/>
    <w:rsid w:val="7A962CD9"/>
    <w:rsid w:val="7AD4000F"/>
    <w:rsid w:val="7B587A97"/>
    <w:rsid w:val="7B90127E"/>
    <w:rsid w:val="7CD216FD"/>
    <w:rsid w:val="7D124CFF"/>
    <w:rsid w:val="7D2A660C"/>
    <w:rsid w:val="7D3D564F"/>
    <w:rsid w:val="7D497343"/>
    <w:rsid w:val="7D9D3A60"/>
    <w:rsid w:val="7DD27F64"/>
    <w:rsid w:val="7EB0088F"/>
    <w:rsid w:val="7F761840"/>
    <w:rsid w:val="7FA6668A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9686</Words>
  <Characters>10461</Characters>
  <Lines>69</Lines>
  <Paragraphs>19</Paragraphs>
  <TotalTime>4</TotalTime>
  <ScaleCrop>false</ScaleCrop>
  <LinksUpToDate>false</LinksUpToDate>
  <CharactersWithSpaces>10569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2020-05-15T00:42:00Z</dcterms:created>
  <dc:creator>微软用户</dc:creator>
  <cp:lastModifiedBy>wangxianhua</cp:lastModifiedBy>
  <dcterms:modified xsi:type="dcterms:W3CDTF">2022-11-18T05:04:27Z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90D9A22C31F842A4A2EAC32217501A91</vt:lpwstr>
  </property>
</Properties>
</file>