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仿宋" w:hAnsi="仿宋" w:eastAsia="仿宋" w:cs="仿宋"/>
                <w:sz w:val="22"/>
                <w:szCs w:val="22"/>
              </w:rPr>
            </w:pPr>
            <w:r>
              <w:rPr>
                <w:rFonts w:hint="eastAsia" w:ascii="仿宋" w:hAnsi="仿宋" w:eastAsia="仿宋" w:cs="仿宋"/>
                <w:sz w:val="22"/>
                <w:szCs w:val="22"/>
              </w:rPr>
              <w:t>过程与活动、</w:t>
            </w:r>
          </w:p>
          <w:p>
            <w:pPr>
              <w:jc w:val="center"/>
              <w:rPr>
                <w:rFonts w:hint="eastAsia" w:ascii="仿宋" w:hAnsi="仿宋" w:eastAsia="仿宋" w:cs="仿宋"/>
                <w:sz w:val="22"/>
                <w:szCs w:val="22"/>
              </w:rPr>
            </w:pPr>
            <w:r>
              <w:rPr>
                <w:rFonts w:hint="eastAsia" w:ascii="仿宋" w:hAnsi="仿宋" w:eastAsia="仿宋" w:cs="仿宋"/>
                <w:sz w:val="22"/>
                <w:szCs w:val="22"/>
              </w:rPr>
              <w:t>抽样计划</w:t>
            </w:r>
          </w:p>
        </w:tc>
        <w:tc>
          <w:tcPr>
            <w:tcW w:w="1204" w:type="dxa"/>
            <w:vMerge w:val="restart"/>
            <w:vAlign w:val="center"/>
          </w:tcPr>
          <w:p>
            <w:pPr>
              <w:rPr>
                <w:rFonts w:hint="eastAsia" w:ascii="仿宋" w:hAnsi="仿宋" w:eastAsia="仿宋" w:cs="仿宋"/>
                <w:sz w:val="22"/>
                <w:szCs w:val="22"/>
              </w:rPr>
            </w:pPr>
            <w:r>
              <w:rPr>
                <w:rFonts w:hint="eastAsia" w:ascii="仿宋" w:hAnsi="仿宋" w:eastAsia="仿宋" w:cs="仿宋"/>
                <w:sz w:val="22"/>
                <w:szCs w:val="22"/>
              </w:rPr>
              <w:t>涉及</w:t>
            </w:r>
          </w:p>
          <w:p>
            <w:pPr>
              <w:rPr>
                <w:rFonts w:hint="eastAsia" w:ascii="仿宋" w:hAnsi="仿宋" w:eastAsia="仿宋" w:cs="仿宋"/>
                <w:sz w:val="22"/>
                <w:szCs w:val="22"/>
              </w:rPr>
            </w:pPr>
            <w:r>
              <w:rPr>
                <w:rFonts w:hint="eastAsia" w:ascii="仿宋" w:hAnsi="仿宋" w:eastAsia="仿宋" w:cs="仿宋"/>
                <w:sz w:val="22"/>
                <w:szCs w:val="22"/>
              </w:rPr>
              <w:t>条款</w:t>
            </w:r>
          </w:p>
        </w:tc>
        <w:tc>
          <w:tcPr>
            <w:tcW w:w="10004" w:type="dxa"/>
            <w:vAlign w:val="center"/>
          </w:tcPr>
          <w:p>
            <w:pPr>
              <w:rPr>
                <w:rFonts w:hint="eastAsia" w:ascii="仿宋" w:hAnsi="仿宋" w:eastAsia="仿宋" w:cs="仿宋"/>
                <w:sz w:val="22"/>
                <w:szCs w:val="22"/>
                <w:lang w:val="en-US" w:eastAsia="zh-CN"/>
              </w:rPr>
            </w:pPr>
            <w:r>
              <w:rPr>
                <w:rFonts w:hint="eastAsia" w:ascii="仿宋" w:hAnsi="仿宋" w:eastAsia="仿宋" w:cs="仿宋"/>
                <w:sz w:val="22"/>
                <w:szCs w:val="22"/>
              </w:rPr>
              <w:t>受审核部门：</w:t>
            </w:r>
            <w:r>
              <w:rPr>
                <w:rFonts w:hint="eastAsia" w:ascii="仿宋" w:hAnsi="仿宋" w:eastAsia="仿宋" w:cs="仿宋"/>
                <w:sz w:val="22"/>
                <w:szCs w:val="22"/>
                <w:lang w:val="en-US" w:eastAsia="zh-CN"/>
              </w:rPr>
              <w:t>行政管理部</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主管领导：</w:t>
            </w:r>
            <w:r>
              <w:rPr>
                <w:rFonts w:hint="eastAsia" w:ascii="仿宋" w:hAnsi="仿宋" w:eastAsia="仿宋" w:cs="仿宋"/>
                <w:sz w:val="22"/>
                <w:szCs w:val="22"/>
                <w:lang w:val="en-US" w:eastAsia="zh-CN"/>
              </w:rPr>
              <w:t xml:space="preserve">葛霄云         </w:t>
            </w:r>
            <w:bookmarkStart w:id="0" w:name="_GoBack"/>
            <w:bookmarkEnd w:id="0"/>
            <w:r>
              <w:rPr>
                <w:rFonts w:hint="eastAsia" w:ascii="仿宋" w:hAnsi="仿宋" w:eastAsia="仿宋" w:cs="仿宋"/>
                <w:sz w:val="22"/>
                <w:szCs w:val="22"/>
              </w:rPr>
              <w:t>陪同人员：</w:t>
            </w:r>
            <w:r>
              <w:rPr>
                <w:rFonts w:hint="eastAsia" w:ascii="仿宋" w:hAnsi="仿宋" w:eastAsia="仿宋" w:cs="仿宋"/>
                <w:sz w:val="22"/>
                <w:szCs w:val="22"/>
                <w:lang w:val="en-US" w:eastAsia="zh-CN"/>
              </w:rPr>
              <w:t>杨加荣</w:t>
            </w:r>
          </w:p>
        </w:tc>
        <w:tc>
          <w:tcPr>
            <w:tcW w:w="1585" w:type="dxa"/>
            <w:vMerge w:val="restart"/>
            <w:vAlign w:val="center"/>
          </w:tcPr>
          <w:p>
            <w:pPr>
              <w:rPr>
                <w:rFonts w:hint="eastAsia" w:ascii="仿宋" w:hAnsi="仿宋" w:eastAsia="仿宋" w:cs="仿宋"/>
                <w:sz w:val="28"/>
                <w:szCs w:val="28"/>
              </w:rPr>
            </w:pPr>
            <w:r>
              <w:rPr>
                <w:rFonts w:hint="eastAsia" w:ascii="仿宋" w:hAnsi="仿宋" w:eastAsia="仿宋" w:cs="仿宋"/>
                <w:sz w:val="28"/>
                <w:szCs w:val="2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仿宋" w:hAnsi="仿宋" w:eastAsia="仿宋" w:cs="仿宋"/>
                <w:sz w:val="22"/>
                <w:szCs w:val="22"/>
              </w:rPr>
            </w:pPr>
          </w:p>
        </w:tc>
        <w:tc>
          <w:tcPr>
            <w:tcW w:w="1204" w:type="dxa"/>
            <w:vMerge w:val="continue"/>
            <w:vAlign w:val="center"/>
          </w:tcPr>
          <w:p>
            <w:pPr>
              <w:rPr>
                <w:rFonts w:hint="eastAsia" w:ascii="仿宋" w:hAnsi="仿宋" w:eastAsia="仿宋" w:cs="仿宋"/>
                <w:sz w:val="22"/>
                <w:szCs w:val="22"/>
              </w:rPr>
            </w:pPr>
          </w:p>
        </w:tc>
        <w:tc>
          <w:tcPr>
            <w:tcW w:w="10004" w:type="dxa"/>
            <w:vAlign w:val="center"/>
          </w:tcPr>
          <w:p>
            <w:pPr>
              <w:spacing w:before="120"/>
              <w:rPr>
                <w:rFonts w:hint="eastAsia" w:ascii="仿宋" w:hAnsi="仿宋" w:eastAsia="仿宋" w:cs="仿宋"/>
                <w:sz w:val="22"/>
                <w:szCs w:val="22"/>
                <w:lang w:val="en-US" w:eastAsia="zh-CN"/>
              </w:rPr>
            </w:pPr>
            <w:r>
              <w:rPr>
                <w:rFonts w:hint="eastAsia" w:ascii="仿宋" w:hAnsi="仿宋" w:eastAsia="仿宋" w:cs="仿宋"/>
                <w:sz w:val="22"/>
                <w:szCs w:val="22"/>
              </w:rPr>
              <w:t>审核员：</w:t>
            </w:r>
            <w:r>
              <w:rPr>
                <w:rFonts w:hint="eastAsia" w:ascii="仿宋" w:hAnsi="仿宋" w:eastAsia="仿宋" w:cs="仿宋"/>
                <w:sz w:val="22"/>
                <w:szCs w:val="22"/>
                <w:lang w:val="en-US" w:eastAsia="zh-CN"/>
              </w:rPr>
              <w:t xml:space="preserve">林兵 </w:t>
            </w: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审核时间：</w:t>
            </w:r>
            <w:r>
              <w:rPr>
                <w:rFonts w:hint="eastAsia" w:ascii="仿宋" w:hAnsi="仿宋" w:eastAsia="仿宋" w:cs="仿宋"/>
                <w:sz w:val="22"/>
                <w:szCs w:val="22"/>
                <w:lang w:val="en-US" w:eastAsia="zh-CN"/>
              </w:rPr>
              <w:t>2022年11月18日</w:t>
            </w:r>
          </w:p>
        </w:tc>
        <w:tc>
          <w:tcPr>
            <w:tcW w:w="1585" w:type="dxa"/>
            <w:vMerge w:val="continue"/>
          </w:tcPr>
          <w:p>
            <w:pP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仿宋" w:hAnsi="仿宋" w:eastAsia="仿宋" w:cs="仿宋"/>
                <w:sz w:val="22"/>
                <w:szCs w:val="22"/>
              </w:rPr>
            </w:pPr>
          </w:p>
        </w:tc>
        <w:tc>
          <w:tcPr>
            <w:tcW w:w="1204" w:type="dxa"/>
            <w:vMerge w:val="continue"/>
            <w:vAlign w:val="center"/>
          </w:tcPr>
          <w:p>
            <w:pPr>
              <w:rPr>
                <w:rFonts w:hint="eastAsia" w:ascii="仿宋" w:hAnsi="仿宋" w:eastAsia="仿宋" w:cs="仿宋"/>
                <w:sz w:val="22"/>
                <w:szCs w:val="22"/>
              </w:rPr>
            </w:pPr>
          </w:p>
        </w:tc>
        <w:tc>
          <w:tcPr>
            <w:tcW w:w="10004" w:type="dxa"/>
            <w:vAlign w:val="center"/>
          </w:tcPr>
          <w:p>
            <w:pPr>
              <w:spacing w:line="280" w:lineRule="exact"/>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审核内容：</w:t>
            </w:r>
          </w:p>
          <w:p>
            <w:pPr>
              <w:spacing w:line="300" w:lineRule="exact"/>
              <w:rPr>
                <w:rFonts w:hint="eastAsia" w:ascii="仿宋" w:hAnsi="仿宋" w:eastAsia="仿宋" w:cs="仿宋"/>
                <w:sz w:val="20"/>
                <w:szCs w:val="20"/>
              </w:rPr>
            </w:pPr>
            <w:r>
              <w:rPr>
                <w:rFonts w:hint="eastAsia" w:ascii="仿宋" w:hAnsi="仿宋" w:eastAsia="仿宋" w:cs="仿宋"/>
                <w:sz w:val="20"/>
                <w:szCs w:val="20"/>
                <w:lang w:val="en-US" w:eastAsia="zh-CN"/>
              </w:rPr>
              <w:t>Q:</w:t>
            </w:r>
            <w:r>
              <w:rPr>
                <w:rFonts w:hint="eastAsia" w:ascii="仿宋" w:hAnsi="仿宋" w:eastAsia="仿宋" w:cs="仿宋"/>
                <w:sz w:val="20"/>
                <w:szCs w:val="20"/>
              </w:rPr>
              <w:t>5.3岗位/职责 /权限；6.2质量目标及其实现的策划；7.1.2人员；7.1.3基础设施； 7.1.4过程运行环境</w:t>
            </w:r>
            <w:r>
              <w:rPr>
                <w:rFonts w:hint="eastAsia" w:ascii="仿宋" w:hAnsi="仿宋" w:eastAsia="仿宋" w:cs="仿宋"/>
                <w:sz w:val="20"/>
                <w:szCs w:val="20"/>
                <w:lang w:val="en-US" w:eastAsia="zh-CN"/>
              </w:rPr>
              <w:t>;</w:t>
            </w:r>
            <w:r>
              <w:rPr>
                <w:rFonts w:hint="eastAsia" w:ascii="仿宋" w:hAnsi="仿宋" w:eastAsia="仿宋" w:cs="仿宋"/>
                <w:sz w:val="20"/>
                <w:szCs w:val="20"/>
              </w:rPr>
              <w:t>7.2能力；7.4沟通</w:t>
            </w:r>
            <w:r>
              <w:rPr>
                <w:rFonts w:hint="eastAsia" w:ascii="仿宋" w:hAnsi="仿宋" w:eastAsia="仿宋" w:cs="仿宋"/>
                <w:sz w:val="20"/>
                <w:szCs w:val="20"/>
                <w:lang w:eastAsia="zh-CN"/>
              </w:rPr>
              <w:t>；</w:t>
            </w:r>
            <w:r>
              <w:rPr>
                <w:rFonts w:hint="eastAsia" w:ascii="仿宋" w:hAnsi="仿宋" w:eastAsia="仿宋" w:cs="仿宋"/>
                <w:sz w:val="20"/>
                <w:szCs w:val="20"/>
              </w:rPr>
              <w:t>8.5.</w:t>
            </w:r>
            <w:r>
              <w:rPr>
                <w:rFonts w:hint="eastAsia" w:ascii="仿宋" w:hAnsi="仿宋" w:eastAsia="仿宋" w:cs="仿宋"/>
                <w:sz w:val="20"/>
                <w:szCs w:val="20"/>
                <w:lang w:val="en-US" w:eastAsia="zh-CN"/>
              </w:rPr>
              <w:t>4防护</w:t>
            </w:r>
            <w:r>
              <w:rPr>
                <w:rFonts w:hint="eastAsia" w:ascii="仿宋" w:hAnsi="仿宋" w:eastAsia="仿宋" w:cs="仿宋"/>
                <w:sz w:val="20"/>
                <w:szCs w:val="20"/>
              </w:rPr>
              <w:t>；</w:t>
            </w:r>
          </w:p>
          <w:p>
            <w:pPr>
              <w:snapToGrid w:val="0"/>
              <w:spacing w:line="240" w:lineRule="exact"/>
              <w:rPr>
                <w:rFonts w:hint="eastAsia" w:ascii="仿宋" w:hAnsi="仿宋" w:eastAsia="仿宋" w:cs="仿宋"/>
                <w:sz w:val="20"/>
                <w:szCs w:val="20"/>
              </w:rPr>
            </w:pPr>
            <w:r>
              <w:rPr>
                <w:rFonts w:hint="eastAsia" w:ascii="仿宋" w:hAnsi="仿宋" w:eastAsia="仿宋" w:cs="仿宋"/>
                <w:sz w:val="21"/>
                <w:szCs w:val="21"/>
                <w:lang w:val="de-DE"/>
              </w:rPr>
              <w:t>E</w:t>
            </w:r>
            <w:r>
              <w:rPr>
                <w:rFonts w:hint="eastAsia" w:ascii="仿宋" w:hAnsi="仿宋" w:eastAsia="仿宋" w:cs="仿宋"/>
                <w:sz w:val="21"/>
                <w:szCs w:val="21"/>
                <w:lang w:val="en-US" w:eastAsia="zh-CN"/>
              </w:rPr>
              <w:t>/O:</w:t>
            </w:r>
            <w:r>
              <w:rPr>
                <w:rFonts w:hint="eastAsia" w:ascii="仿宋" w:hAnsi="仿宋" w:eastAsia="仿宋" w:cs="仿宋"/>
                <w:sz w:val="20"/>
                <w:szCs w:val="20"/>
              </w:rPr>
              <w:t>5.3组织的角色、职责和权限</w:t>
            </w:r>
            <w:r>
              <w:rPr>
                <w:rFonts w:hint="eastAsia" w:ascii="仿宋" w:hAnsi="仿宋" w:eastAsia="仿宋" w:cs="仿宋"/>
                <w:sz w:val="20"/>
                <w:szCs w:val="20"/>
                <w:lang w:eastAsia="zh-CN"/>
              </w:rPr>
              <w:t>；</w:t>
            </w:r>
            <w:r>
              <w:rPr>
                <w:rFonts w:hint="eastAsia" w:ascii="仿宋" w:hAnsi="仿宋" w:eastAsia="仿宋" w:cs="仿宋"/>
                <w:sz w:val="20"/>
                <w:szCs w:val="20"/>
              </w:rPr>
              <w:t xml:space="preserve"> 6.1.2环境因素；6.2目标及其达成的策划；7.2能力；7.4沟通； 8.1运行策划和控制；8.2应急准备和响应；</w:t>
            </w:r>
          </w:p>
          <w:p>
            <w:pPr>
              <w:spacing w:line="280" w:lineRule="exact"/>
              <w:rPr>
                <w:rFonts w:hint="eastAsia" w:ascii="仿宋" w:hAnsi="仿宋" w:eastAsia="仿宋" w:cs="仿宋"/>
                <w:sz w:val="22"/>
                <w:szCs w:val="21"/>
                <w:lang w:val="en-US" w:eastAsia="zh-CN"/>
              </w:rPr>
            </w:pPr>
          </w:p>
        </w:tc>
        <w:tc>
          <w:tcPr>
            <w:tcW w:w="1585" w:type="dxa"/>
            <w:vMerge w:val="continue"/>
          </w:tcPr>
          <w:p>
            <w:pPr>
              <w:rPr>
                <w:rFonts w:hint="eastAsia" w:ascii="仿宋" w:hAnsi="仿宋" w:eastAsia="仿宋" w:cs="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组织的岗位、职责和权限</w:t>
            </w:r>
          </w:p>
          <w:p>
            <w:pPr>
              <w:spacing w:line="280" w:lineRule="exact"/>
              <w:rPr>
                <w:rFonts w:hint="eastAsia" w:ascii="仿宋" w:hAnsi="仿宋" w:eastAsia="仿宋" w:cs="仿宋"/>
                <w:sz w:val="22"/>
                <w:szCs w:val="22"/>
              </w:rPr>
            </w:pPr>
          </w:p>
        </w:tc>
        <w:tc>
          <w:tcPr>
            <w:tcW w:w="1204"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QEO5.3</w:t>
            </w:r>
          </w:p>
        </w:tc>
        <w:tc>
          <w:tcPr>
            <w:tcW w:w="10004" w:type="dxa"/>
            <w:vAlign w:val="center"/>
          </w:tcPr>
          <w:p>
            <w:pPr>
              <w:spacing w:line="28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从综合管理部了解到，其部门体系</w:t>
            </w:r>
            <w:r>
              <w:rPr>
                <w:rFonts w:hint="eastAsia" w:ascii="仿宋" w:hAnsi="仿宋" w:eastAsia="仿宋" w:cs="仿宋"/>
                <w:sz w:val="22"/>
                <w:szCs w:val="22"/>
              </w:rPr>
              <w:t>职能</w:t>
            </w:r>
            <w:r>
              <w:rPr>
                <w:rFonts w:hint="eastAsia" w:ascii="仿宋" w:hAnsi="仿宋" w:eastAsia="仿宋" w:cs="仿宋"/>
                <w:sz w:val="22"/>
                <w:szCs w:val="22"/>
                <w:lang w:val="en-US" w:eastAsia="zh-CN"/>
              </w:rPr>
              <w:t>主要包括人力资源管理、内审、知识管理、沟通管理、文件管理及其职责范围内环境因素和危险源的管理等。</w:t>
            </w:r>
          </w:p>
          <w:p>
            <w:pPr>
              <w:spacing w:line="280" w:lineRule="exact"/>
              <w:ind w:firstLine="440" w:firstLineChars="200"/>
              <w:rPr>
                <w:rFonts w:hint="eastAsia" w:ascii="仿宋" w:hAnsi="仿宋" w:eastAsia="仿宋" w:cs="仿宋"/>
                <w:sz w:val="22"/>
                <w:szCs w:val="22"/>
              </w:rPr>
            </w:pPr>
            <w:r>
              <w:rPr>
                <w:rFonts w:hint="eastAsia" w:ascii="仿宋" w:hAnsi="仿宋" w:eastAsia="仿宋" w:cs="仿宋"/>
                <w:sz w:val="22"/>
                <w:szCs w:val="21"/>
                <w:lang w:val="en-US" w:eastAsia="zh-CN"/>
              </w:rPr>
              <w:t>与综合管理部负责人葛霄云沟通，对其部门职责和权限基本清楚，符合要求。</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管理目标及其实现的策划</w:t>
            </w:r>
          </w:p>
          <w:p>
            <w:pPr>
              <w:spacing w:line="280" w:lineRule="exact"/>
              <w:rPr>
                <w:rFonts w:hint="eastAsia" w:ascii="仿宋" w:hAnsi="仿宋" w:eastAsia="仿宋" w:cs="仿宋"/>
                <w:sz w:val="22"/>
                <w:szCs w:val="22"/>
              </w:rPr>
            </w:pPr>
          </w:p>
        </w:tc>
        <w:tc>
          <w:tcPr>
            <w:tcW w:w="1204" w:type="dxa"/>
          </w:tcPr>
          <w:p>
            <w:pPr>
              <w:spacing w:line="280" w:lineRule="exact"/>
              <w:rPr>
                <w:rFonts w:hint="eastAsia" w:ascii="仿宋" w:hAnsi="仿宋" w:eastAsia="仿宋" w:cs="仿宋"/>
                <w:sz w:val="22"/>
                <w:szCs w:val="22"/>
              </w:rPr>
            </w:pPr>
            <w:r>
              <w:rPr>
                <w:rFonts w:hint="eastAsia" w:ascii="仿宋" w:hAnsi="仿宋" w:eastAsia="仿宋" w:cs="仿宋"/>
                <w:sz w:val="22"/>
                <w:szCs w:val="22"/>
              </w:rPr>
              <w:t>Q</w:t>
            </w:r>
            <w:r>
              <w:rPr>
                <w:rFonts w:hint="eastAsia" w:ascii="仿宋" w:hAnsi="仿宋" w:eastAsia="仿宋" w:cs="仿宋"/>
                <w:sz w:val="22"/>
                <w:szCs w:val="22"/>
                <w:lang w:val="en-US" w:eastAsia="zh-CN"/>
              </w:rPr>
              <w:t>EO</w:t>
            </w:r>
            <w:r>
              <w:rPr>
                <w:rFonts w:hint="eastAsia" w:ascii="仿宋" w:hAnsi="仿宋" w:eastAsia="仿宋" w:cs="仿宋"/>
                <w:sz w:val="22"/>
                <w:szCs w:val="22"/>
              </w:rPr>
              <w:t>6.2</w:t>
            </w:r>
          </w:p>
        </w:tc>
        <w:tc>
          <w:tcPr>
            <w:tcW w:w="10004" w:type="dxa"/>
            <w:vAlign w:val="center"/>
          </w:tcPr>
          <w:p>
            <w:pPr>
              <w:spacing w:line="2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组织</w:t>
            </w:r>
            <w:r>
              <w:rPr>
                <w:rFonts w:hint="eastAsia" w:ascii="仿宋" w:hAnsi="仿宋" w:eastAsia="仿宋" w:cs="仿宋"/>
                <w:sz w:val="22"/>
                <w:szCs w:val="22"/>
              </w:rPr>
              <w:t>对管理体系所需的相关职能、层次和过程设定</w:t>
            </w:r>
            <w:r>
              <w:rPr>
                <w:rFonts w:hint="eastAsia" w:ascii="仿宋" w:hAnsi="仿宋" w:eastAsia="仿宋" w:cs="仿宋"/>
                <w:sz w:val="22"/>
                <w:szCs w:val="22"/>
                <w:lang w:val="en-US" w:eastAsia="zh-CN"/>
              </w:rPr>
              <w:t>了</w:t>
            </w:r>
            <w:r>
              <w:rPr>
                <w:rFonts w:hint="eastAsia" w:ascii="仿宋" w:hAnsi="仿宋" w:eastAsia="仿宋" w:cs="仿宋"/>
                <w:sz w:val="22"/>
                <w:szCs w:val="22"/>
              </w:rPr>
              <w:t>目标。</w:t>
            </w:r>
            <w:r>
              <w:rPr>
                <w:rFonts w:hint="eastAsia" w:ascii="仿宋" w:hAnsi="仿宋" w:eastAsia="仿宋" w:cs="仿宋"/>
                <w:sz w:val="22"/>
                <w:szCs w:val="22"/>
                <w:lang w:eastAsia="zh-CN"/>
              </w:rPr>
              <w:t>综合管理部</w:t>
            </w:r>
            <w:r>
              <w:rPr>
                <w:rFonts w:hint="eastAsia" w:ascii="仿宋" w:hAnsi="仿宋" w:eastAsia="仿宋" w:cs="仿宋"/>
                <w:sz w:val="22"/>
                <w:szCs w:val="22"/>
              </w:rPr>
              <w:t>涉及的目标</w:t>
            </w:r>
            <w:r>
              <w:rPr>
                <w:rFonts w:hint="eastAsia" w:ascii="仿宋" w:hAnsi="仿宋" w:eastAsia="仿宋" w:cs="仿宋"/>
                <w:sz w:val="22"/>
                <w:szCs w:val="22"/>
                <w:lang w:val="en-US" w:eastAsia="zh-CN"/>
              </w:rPr>
              <w:t>分解落实</w:t>
            </w:r>
            <w:r>
              <w:rPr>
                <w:rFonts w:hint="eastAsia" w:ascii="仿宋" w:hAnsi="仿宋" w:eastAsia="仿宋" w:cs="仿宋"/>
                <w:sz w:val="22"/>
                <w:szCs w:val="22"/>
              </w:rPr>
              <w:t>情况</w:t>
            </w:r>
            <w:r>
              <w:rPr>
                <w:rFonts w:hint="eastAsia" w:ascii="仿宋" w:hAnsi="仿宋" w:eastAsia="仿宋" w:cs="仿宋"/>
                <w:sz w:val="22"/>
                <w:szCs w:val="22"/>
                <w:lang w:val="en-US" w:eastAsia="zh-CN"/>
              </w:rPr>
              <w:t>如下</w:t>
            </w:r>
            <w:r>
              <w:rPr>
                <w:rFonts w:hint="eastAsia" w:ascii="仿宋" w:hAnsi="仿宋" w:eastAsia="仿宋" w:cs="仿宋"/>
                <w:sz w:val="22"/>
                <w:szCs w:val="22"/>
              </w:rPr>
              <w:t>：</w:t>
            </w:r>
          </w:p>
          <w:p>
            <w:pPr>
              <w:spacing w:line="2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图纸出版无差错</w:t>
            </w:r>
            <w:r>
              <w:rPr>
                <w:rFonts w:hint="eastAsia" w:ascii="仿宋" w:hAnsi="仿宋" w:eastAsia="仿宋" w:cs="仿宋"/>
                <w:sz w:val="22"/>
                <w:szCs w:val="22"/>
              </w:rPr>
              <w:t>；</w:t>
            </w:r>
          </w:p>
          <w:p>
            <w:pPr>
              <w:pStyle w:val="5"/>
              <w:rPr>
                <w:rFonts w:hint="eastAsia" w:ascii="仿宋" w:hAnsi="仿宋" w:eastAsia="仿宋" w:cs="仿宋"/>
                <w:sz w:val="22"/>
                <w:szCs w:val="21"/>
                <w:lang w:eastAsia="zh-CN"/>
              </w:rPr>
            </w:pPr>
            <w:r>
              <w:rPr>
                <w:rFonts w:hint="eastAsia" w:ascii="仿宋" w:hAnsi="仿宋" w:eastAsia="仿宋" w:cs="仿宋"/>
                <w:sz w:val="22"/>
                <w:szCs w:val="21"/>
                <w:lang w:val="en-US" w:eastAsia="zh-CN"/>
              </w:rPr>
              <w:t>资源提供100%</w:t>
            </w:r>
            <w:r>
              <w:rPr>
                <w:rFonts w:hint="eastAsia" w:ascii="仿宋" w:hAnsi="仿宋" w:eastAsia="仿宋" w:cs="仿宋"/>
                <w:sz w:val="22"/>
                <w:szCs w:val="21"/>
                <w:lang w:eastAsia="zh-CN"/>
              </w:rPr>
              <w:t>；</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节能、节水、节约；</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垃圾按类处理分类;</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保障员工健康：每年体检一次； </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目标可测量，与方针一致。</w:t>
            </w:r>
          </w:p>
          <w:p>
            <w:pPr>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查看2022年10月13日的自查表，目标有按要求完成。</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pStyle w:val="5"/>
              <w:ind w:left="0" w:leftChars="0" w:firstLine="0" w:firstLineChars="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人力资源管理(人员/能力)</w:t>
            </w:r>
          </w:p>
        </w:tc>
        <w:tc>
          <w:tcPr>
            <w:tcW w:w="1204" w:type="dxa"/>
          </w:tcPr>
          <w:p>
            <w:pPr>
              <w:pStyle w:val="5"/>
              <w:ind w:left="0" w:leftChars="0" w:firstLine="0" w:firstLineChars="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QEO7.1.2/7.2</w:t>
            </w:r>
          </w:p>
        </w:tc>
        <w:tc>
          <w:tcPr>
            <w:tcW w:w="10004" w:type="dxa"/>
            <w:vAlign w:val="center"/>
          </w:tcPr>
          <w:p>
            <w:pPr>
              <w:bidi w:val="0"/>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组织管理人员和设计技术人员，人员配置基本能够满足需求。</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组织对各岗位能力规定的要求包括了学历、工作经验、技能、培训经历等，基本符合能力确定的控制要求。抽查《岗位说明书》，均对相应岗位的职责与权限、能力要求作了具体规定，符合要求。</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提供行业资质注册相关的人员能力证书情况，提供《登记台账》，查姚志伟，注册电气工程师（发输变电），有效期至2022年12月31日；俞昇森，一级注册结构工程师，有效期至2023年12月31日； 杨斌，注册咨询工程师（投资），有效期至 2023年12月31日；</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培训实施，负责人介绍：培训主要分以下几种：参与上级组织的人员能力提升培训（泰仑集团和电力局）； 注册资质人员断续教育； 外派人员培训； </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查5月13日，参与“湖电求是学堂暨青雁”第一期线上培训班，培训内容：《硬核写作-电力企业常见公文写作》，全员参与； </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6月27-29日，举办2022年输变电工程技经基础知识培训班，培训内容：输变电工程技经基础知识、输变电工程现场造价管理、可研、初步评审评审问题及文件解读等； 参加人员：施康明、姚宁玥、王瑶等； </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9月3-9日，关于举办2022年技能等级认定前培训，培训内容：继电保护员技师相关知识及技能； 外培人员：詹锐锋； </w:t>
            </w:r>
          </w:p>
          <w:p>
            <w:pPr>
              <w:pStyle w:val="5"/>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公司举办培训频次较高，也有相对的培训记录；但公司本级的培训计划安排较少。</w:t>
            </w:r>
          </w:p>
          <w:p>
            <w:pPr>
              <w:pStyle w:val="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从综合管理部葛霄云了解到，其对组织方针和所在工作岗位的质量、环境和职业健康安全目标基本熟悉，也了解自己的工作效益会影响组织质量、环境管理体系的有效运行。</w:t>
            </w:r>
          </w:p>
          <w:p>
            <w:pPr>
              <w:ind w:firstLine="440" w:firstLineChars="200"/>
              <w:rPr>
                <w:rFonts w:hint="eastAsia" w:ascii="仿宋" w:hAnsi="仿宋" w:eastAsia="仿宋" w:cs="仿宋"/>
                <w:sz w:val="22"/>
                <w:szCs w:val="22"/>
                <w:lang w:val="en-US" w:eastAsia="zh-CN"/>
              </w:rPr>
            </w:pP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基础设施</w:t>
            </w:r>
          </w:p>
        </w:tc>
        <w:tc>
          <w:tcPr>
            <w:tcW w:w="1204"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Q7.1.3</w:t>
            </w:r>
          </w:p>
        </w:tc>
        <w:tc>
          <w:tcPr>
            <w:tcW w:w="10004" w:type="dxa"/>
            <w:vAlign w:val="center"/>
          </w:tcPr>
          <w:p>
            <w:pPr>
              <w:ind w:firstLine="440" w:firstLineChars="200"/>
              <w:rPr>
                <w:rFonts w:hint="eastAsia" w:ascii="仿宋" w:hAnsi="仿宋" w:eastAsia="仿宋" w:cs="仿宋"/>
                <w:sz w:val="22"/>
                <w:szCs w:val="22"/>
              </w:rPr>
            </w:pPr>
            <w:r>
              <w:rPr>
                <w:rFonts w:hint="eastAsia" w:ascii="仿宋" w:hAnsi="仿宋" w:eastAsia="仿宋" w:cs="仿宋"/>
                <w:bCs w:val="0"/>
                <w:spacing w:val="0"/>
                <w:kern w:val="2"/>
                <w:sz w:val="22"/>
                <w:szCs w:val="22"/>
                <w:lang w:val="en-US" w:eastAsia="zh-CN" w:bidi="ar-SA"/>
              </w:rPr>
              <w:t xml:space="preserve">公司设计过程中主要为办公过程，现场勘察过程为外包过程，设计过程主要涉及的基础设施为电脑、办公设施，现场查看办公场地满足公司运行要求，人手一台电脑及相关办公设施，基本满足要求。 </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过程运行环境</w:t>
            </w:r>
          </w:p>
        </w:tc>
        <w:tc>
          <w:tcPr>
            <w:tcW w:w="1204"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Q7.1.4</w:t>
            </w:r>
          </w:p>
        </w:tc>
        <w:tc>
          <w:tcPr>
            <w:tcW w:w="10004" w:type="dxa"/>
            <w:vAlign w:val="center"/>
          </w:tcPr>
          <w:p>
            <w:pPr>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公司设计过程，对环境要求无特殊要求，办公所处为办公楼内，公共场地由大楼物业负责保洁，办公环境和温湿度适中，办公人员对环境评价较高。</w:t>
            </w:r>
          </w:p>
        </w:tc>
        <w:tc>
          <w:tcPr>
            <w:tcW w:w="1585" w:type="dxa"/>
          </w:tcPr>
          <w:p>
            <w:pPr>
              <w:rPr>
                <w:rFonts w:hint="eastAsia" w:ascii="仿宋" w:hAnsi="仿宋" w:eastAsia="仿宋" w:cs="仿宋"/>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沟通及员工诉求机制</w:t>
            </w:r>
          </w:p>
        </w:tc>
        <w:tc>
          <w:tcPr>
            <w:tcW w:w="1204" w:type="dxa"/>
            <w:vAlign w:val="top"/>
          </w:tcPr>
          <w:p>
            <w:pPr>
              <w:spacing w:line="360" w:lineRule="auto"/>
              <w:ind w:firstLine="8" w:firstLineChars="4"/>
              <w:rPr>
                <w:rFonts w:hint="eastAsia" w:ascii="仿宋" w:hAnsi="仿宋" w:eastAsia="仿宋" w:cs="仿宋"/>
                <w:sz w:val="22"/>
                <w:szCs w:val="22"/>
                <w:lang w:val="en-US" w:eastAsia="zh-CN"/>
              </w:rPr>
            </w:pPr>
            <w:r>
              <w:rPr>
                <w:rFonts w:hint="eastAsia" w:ascii="仿宋" w:hAnsi="仿宋" w:eastAsia="仿宋" w:cs="仿宋"/>
                <w:sz w:val="22"/>
                <w:szCs w:val="22"/>
              </w:rPr>
              <w:t>QEO7.4</w:t>
            </w:r>
            <w:r>
              <w:rPr>
                <w:rFonts w:hint="eastAsia" w:ascii="仿宋" w:hAnsi="仿宋" w:eastAsia="仿宋" w:cs="仿宋"/>
                <w:sz w:val="22"/>
                <w:szCs w:val="22"/>
                <w:lang w:val="en-US" w:eastAsia="zh-CN"/>
              </w:rPr>
              <w:t>/5.4</w:t>
            </w:r>
          </w:p>
        </w:tc>
        <w:tc>
          <w:tcPr>
            <w:tcW w:w="10004" w:type="dxa"/>
            <w:vAlign w:val="center"/>
          </w:tcPr>
          <w:p>
            <w:pPr>
              <w:ind w:firstLine="440" w:firstLineChars="200"/>
              <w:jc w:val="left"/>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组织按照《信息交流控制程序》对沟通过程进行控制。</w:t>
            </w:r>
          </w:p>
          <w:p>
            <w:pPr>
              <w:ind w:firstLine="440" w:firstLineChars="200"/>
              <w:jc w:val="left"/>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从综合管理部了解到：1.组织内部沟通的内容主要包括a.内审，管理评审、外部审核信息；b.监测、测量结果，不符合、纠正与预防措施的实施情况；c.培训信息；d.各部门间、管理工作岗位之间的日常联系，常规报表，其他信息通报等；e.质量、环境、职业健康安全管理体系各运行控制程序的执行情况；f.目标指标完成情况。2.其外部沟通的内容主要包括：a.有关法律法规获取、识别、传达；b.各有关部门接收的外部信息由接收部门负责人作好记录，向其他部门进行交流；c.有关部门应对接收到的外部信息及各部门业务联系渠道取得及时反馈接收部门，由接收外部信息部门根据实际情况做出处置，必要时应制定相应的改善措施并验证效果，如发生较大、重大问题应向管理者代表或汇报总经理召开相关人员会议研究决定意见后批复；d.对上述批复意见要迅速向有关职能部门传达，并要求各有关部门制定纠正改善方案，立即实施并对效果验证；e.各有关部门尽快将制定的解决方案，计划、实施效果上报综合管理部；f.对外宣传由综合管理部负责，编写宣传物品，物品以书面或以电子媒介形式发布。</w:t>
            </w:r>
          </w:p>
          <w:p>
            <w:pPr>
              <w:ind w:firstLine="440" w:firstLineChars="200"/>
              <w:jc w:val="left"/>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沟通方式包括：1.内部：参与方针、目标和相关文件的制定、体系文件的宣贯、内部审核和管理评审及宣传栏、口头（电话）、业务单（纸质）等；2.外部：参与设计服务交付验收、售后要求及回访、投诉等。</w:t>
            </w:r>
          </w:p>
          <w:p>
            <w:pPr>
              <w:spacing w:line="280" w:lineRule="exact"/>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抽查内部沟通案例：工作人员代表授权书，主要内容为选举杨加荣为职业健康安全事务工作人员代表，授予其相关责权内容。</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图纸防护</w:t>
            </w:r>
          </w:p>
        </w:tc>
        <w:tc>
          <w:tcPr>
            <w:tcW w:w="1204" w:type="dxa"/>
            <w:vAlign w:val="top"/>
          </w:tcPr>
          <w:p>
            <w:pPr>
              <w:spacing w:line="360" w:lineRule="auto"/>
              <w:ind w:firstLine="8" w:firstLineChars="4"/>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Q8.5.4</w:t>
            </w:r>
          </w:p>
        </w:tc>
        <w:tc>
          <w:tcPr>
            <w:tcW w:w="10004" w:type="dxa"/>
            <w:vAlign w:val="center"/>
          </w:tcPr>
          <w:p>
            <w:pPr>
              <w:spacing w:line="280" w:lineRule="exact"/>
              <w:ind w:firstLine="440" w:firstLineChars="200"/>
              <w:rPr>
                <w:rFonts w:hint="eastAsia" w:ascii="仿宋" w:hAnsi="仿宋" w:eastAsia="仿宋" w:cs="仿宋"/>
                <w:bCs w:val="0"/>
                <w:spacing w:val="0"/>
                <w:kern w:val="2"/>
                <w:sz w:val="22"/>
                <w:szCs w:val="22"/>
                <w:lang w:val="en-US" w:eastAsia="zh-CN" w:bidi="ar-SA"/>
              </w:rPr>
            </w:pPr>
            <w:r>
              <w:rPr>
                <w:rFonts w:hint="eastAsia" w:ascii="仿宋" w:hAnsi="仿宋" w:eastAsia="仿宋" w:cs="仿宋"/>
                <w:bCs w:val="0"/>
                <w:spacing w:val="0"/>
                <w:kern w:val="2"/>
                <w:sz w:val="22"/>
                <w:szCs w:val="22"/>
                <w:lang w:val="en-US" w:eastAsia="zh-CN" w:bidi="ar-SA"/>
              </w:rPr>
              <w:t>设计结果的载体为打印的图纸和电子文档，设计部门经审批后统一行政管理部保存、防护和交付。提供图纸交付记录。</w:t>
            </w:r>
          </w:p>
        </w:tc>
        <w:tc>
          <w:tcPr>
            <w:tcW w:w="1585" w:type="dxa"/>
          </w:tcPr>
          <w:p>
            <w:pPr>
              <w:rPr>
                <w:rFonts w:hint="eastAsia" w:ascii="仿宋" w:hAnsi="仿宋" w:eastAsia="仿宋" w:cs="仿宋"/>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环境和职业健康安全运行控制</w:t>
            </w:r>
          </w:p>
        </w:tc>
        <w:tc>
          <w:tcPr>
            <w:tcW w:w="1204" w:type="dxa"/>
          </w:tcPr>
          <w:p>
            <w:pPr>
              <w:spacing w:line="280" w:lineRule="exac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EO8.1</w:t>
            </w:r>
          </w:p>
        </w:tc>
        <w:tc>
          <w:tcPr>
            <w:tcW w:w="10004" w:type="dxa"/>
            <w:vAlign w:val="center"/>
          </w:tcPr>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w:t>
            </w:r>
            <w:r>
              <w:rPr>
                <w:rFonts w:hint="eastAsia" w:ascii="仿宋" w:hAnsi="仿宋" w:eastAsia="仿宋" w:cs="仿宋"/>
                <w:sz w:val="22"/>
                <w:szCs w:val="21"/>
              </w:rPr>
              <w:t>编制</w:t>
            </w:r>
            <w:r>
              <w:rPr>
                <w:rFonts w:hint="eastAsia" w:ascii="仿宋" w:hAnsi="仿宋" w:eastAsia="仿宋" w:cs="仿宋"/>
                <w:sz w:val="22"/>
                <w:szCs w:val="21"/>
                <w:lang w:val="en-US" w:eastAsia="zh-CN"/>
              </w:rPr>
              <w:t>的</w:t>
            </w:r>
            <w:r>
              <w:rPr>
                <w:rFonts w:hint="eastAsia" w:ascii="仿宋" w:hAnsi="仿宋" w:eastAsia="仿宋" w:cs="仿宋"/>
                <w:sz w:val="22"/>
                <w:szCs w:val="21"/>
              </w:rPr>
              <w:t>与环境管理体系运行控制有关的文件</w:t>
            </w:r>
            <w:r>
              <w:rPr>
                <w:rFonts w:hint="eastAsia" w:ascii="仿宋" w:hAnsi="仿宋" w:eastAsia="仿宋" w:cs="仿宋"/>
                <w:sz w:val="22"/>
                <w:szCs w:val="21"/>
                <w:lang w:val="en-US" w:eastAsia="zh-CN"/>
              </w:rPr>
              <w:t>主要包括《</w:t>
            </w:r>
            <w:r>
              <w:rPr>
                <w:rFonts w:hint="eastAsia" w:ascii="仿宋" w:hAnsi="仿宋" w:eastAsia="仿宋" w:cs="仿宋"/>
                <w:sz w:val="22"/>
                <w:szCs w:val="21"/>
              </w:rPr>
              <w:t>环境、安全运行控制程序</w:t>
            </w:r>
            <w:r>
              <w:rPr>
                <w:rFonts w:hint="eastAsia" w:ascii="仿宋" w:hAnsi="仿宋" w:eastAsia="仿宋" w:cs="仿宋"/>
                <w:sz w:val="22"/>
                <w:szCs w:val="21"/>
                <w:lang w:val="en-US" w:eastAsia="zh-CN"/>
              </w:rPr>
              <w:t>》</w:t>
            </w:r>
            <w:r>
              <w:rPr>
                <w:rFonts w:hint="eastAsia" w:ascii="仿宋" w:hAnsi="仿宋" w:eastAsia="仿宋" w:cs="仿宋"/>
                <w:sz w:val="22"/>
                <w:szCs w:val="21"/>
              </w:rPr>
              <w:t>、</w:t>
            </w:r>
            <w:r>
              <w:rPr>
                <w:rFonts w:hint="eastAsia" w:ascii="仿宋" w:hAnsi="仿宋" w:eastAsia="仿宋" w:cs="仿宋"/>
                <w:sz w:val="22"/>
                <w:szCs w:val="21"/>
                <w:lang w:eastAsia="zh-CN"/>
              </w:rPr>
              <w:t>《废弃物管理程序》、《员工安全管理程序》</w:t>
            </w:r>
            <w:r>
              <w:rPr>
                <w:rFonts w:hint="eastAsia" w:ascii="仿宋" w:hAnsi="仿宋" w:eastAsia="仿宋" w:cs="仿宋"/>
                <w:sz w:val="22"/>
                <w:szCs w:val="21"/>
              </w:rPr>
              <w:t>等。</w:t>
            </w:r>
            <w:r>
              <w:rPr>
                <w:rFonts w:hint="eastAsia" w:ascii="仿宋" w:hAnsi="仿宋" w:eastAsia="仿宋" w:cs="仿宋"/>
                <w:sz w:val="22"/>
                <w:szCs w:val="21"/>
                <w:lang w:val="en-US" w:eastAsia="zh-CN"/>
              </w:rPr>
              <w:t>现场审核发现情况如下：</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rPr>
              <w:t>1</w:t>
            </w:r>
            <w:r>
              <w:rPr>
                <w:rFonts w:hint="eastAsia" w:ascii="仿宋" w:hAnsi="仿宋" w:eastAsia="仿宋" w:cs="仿宋"/>
                <w:sz w:val="22"/>
                <w:szCs w:val="21"/>
                <w:lang w:val="en-US" w:eastAsia="zh-CN"/>
              </w:rPr>
              <w:t>.</w:t>
            </w:r>
            <w:r>
              <w:rPr>
                <w:rFonts w:hint="eastAsia" w:ascii="仿宋" w:hAnsi="仿宋" w:eastAsia="仿宋" w:cs="仿宋"/>
                <w:sz w:val="22"/>
                <w:szCs w:val="21"/>
              </w:rPr>
              <w:t>固废管控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生活垃圾委托环卫部门清运；其它见安环部EO8.1记录。</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2.废水管控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生活污水经化粪池预处理后由园区管网集中处理；</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3.废气管控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办公现场基本无重大控制废气排放； </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4.噪声管控</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办公区域无重大噪声产生；</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5.</w:t>
            </w:r>
            <w:r>
              <w:rPr>
                <w:rFonts w:hint="eastAsia" w:ascii="仿宋" w:hAnsi="仿宋" w:eastAsia="仿宋" w:cs="仿宋"/>
                <w:sz w:val="22"/>
                <w:szCs w:val="21"/>
              </w:rPr>
              <w:t>能源资源管控</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组织各场所</w:t>
            </w:r>
            <w:r>
              <w:rPr>
                <w:rFonts w:hint="eastAsia" w:ascii="仿宋" w:hAnsi="仿宋" w:eastAsia="仿宋" w:cs="仿宋"/>
                <w:sz w:val="22"/>
                <w:szCs w:val="21"/>
              </w:rPr>
              <w:t>注意节水、节电、节油，人走关闭开关，未发现有漏水和浪费电能的现象。</w:t>
            </w:r>
          </w:p>
          <w:p>
            <w:pPr>
              <w:spacing w:line="280" w:lineRule="exact"/>
              <w:ind w:firstLine="440" w:firstLineChars="200"/>
              <w:rPr>
                <w:rFonts w:hint="eastAsia" w:ascii="仿宋" w:hAnsi="仿宋" w:eastAsia="仿宋" w:cs="仿宋"/>
                <w:sz w:val="22"/>
                <w:szCs w:val="21"/>
              </w:rPr>
            </w:pPr>
            <w:r>
              <w:rPr>
                <w:rFonts w:hint="eastAsia" w:ascii="仿宋" w:hAnsi="仿宋" w:eastAsia="仿宋" w:cs="仿宋"/>
                <w:sz w:val="22"/>
                <w:szCs w:val="21"/>
                <w:lang w:val="en-US" w:eastAsia="zh-CN"/>
              </w:rPr>
              <w:t>6</w:t>
            </w:r>
            <w:r>
              <w:rPr>
                <w:rFonts w:hint="eastAsia" w:ascii="仿宋" w:hAnsi="仿宋" w:eastAsia="仿宋" w:cs="仿宋"/>
                <w:sz w:val="22"/>
                <w:szCs w:val="21"/>
                <w:lang w:eastAsia="zh-CN"/>
              </w:rPr>
              <w:t>.</w:t>
            </w:r>
            <w:r>
              <w:rPr>
                <w:rFonts w:hint="eastAsia" w:ascii="仿宋" w:hAnsi="仿宋" w:eastAsia="仿宋" w:cs="仿宋"/>
                <w:sz w:val="22"/>
                <w:szCs w:val="21"/>
              </w:rPr>
              <w:t>潜在火灾管控</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办公区域均</w:t>
            </w:r>
            <w:r>
              <w:rPr>
                <w:rFonts w:hint="eastAsia" w:ascii="仿宋" w:hAnsi="仿宋" w:eastAsia="仿宋" w:cs="仿宋"/>
                <w:sz w:val="22"/>
                <w:szCs w:val="21"/>
              </w:rPr>
              <w:t>配有</w:t>
            </w:r>
            <w:r>
              <w:rPr>
                <w:rFonts w:hint="eastAsia" w:ascii="仿宋" w:hAnsi="仿宋" w:eastAsia="仿宋" w:cs="仿宋"/>
                <w:sz w:val="22"/>
                <w:szCs w:val="21"/>
                <w:lang w:val="en-US" w:eastAsia="zh-CN"/>
              </w:rPr>
              <w:t>消防烟感及设施。</w:t>
            </w:r>
          </w:p>
          <w:p>
            <w:pPr>
              <w:pStyle w:val="5"/>
              <w:numPr>
                <w:ilvl w:val="0"/>
                <w:numId w:val="0"/>
              </w:numPr>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7.职业健康安全防护</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组织遵循当地政府疫情防控要求，进入厂区均要求扫码，查看双码，测体温等。基本符合防护要求。</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体系运行以来，截止审核期间，组织的工艺、设备、人员基本无变化，未发生相应的变更，无相关记录。</w:t>
            </w:r>
          </w:p>
          <w:p>
            <w:pPr>
              <w:spacing w:line="280" w:lineRule="exact"/>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综合管理部总体环境策划和管控基本符合要求，其它策划、运行控制见安环部EO8.1记录。</w:t>
            </w:r>
          </w:p>
          <w:p>
            <w:pPr>
              <w:pStyle w:val="5"/>
              <w:numPr>
                <w:ilvl w:val="0"/>
                <w:numId w:val="1"/>
              </w:numPr>
              <w:ind w:firstLine="440" w:firstLineChars="200"/>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劳保用品</w:t>
            </w:r>
          </w:p>
          <w:p>
            <w:pPr>
              <w:pStyle w:val="5"/>
              <w:numPr>
                <w:ilvl w:val="0"/>
                <w:numId w:val="0"/>
              </w:num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 xml:space="preserve">    提供2022年发放领用登记表，发放对象包括所有人，货品包括日常劳保用品和防疫用品。</w:t>
            </w:r>
          </w:p>
        </w:tc>
        <w:tc>
          <w:tcPr>
            <w:tcW w:w="1585" w:type="dxa"/>
          </w:tcPr>
          <w:p>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16" w:type="dxa"/>
          </w:tcPr>
          <w:p>
            <w:pPr>
              <w:spacing w:line="28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应急准备与响应</w:t>
            </w:r>
          </w:p>
        </w:tc>
        <w:tc>
          <w:tcPr>
            <w:tcW w:w="1204" w:type="dxa"/>
          </w:tcPr>
          <w:p>
            <w:pPr>
              <w:spacing w:line="280" w:lineRule="exac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EO8.2</w:t>
            </w:r>
          </w:p>
        </w:tc>
        <w:tc>
          <w:tcPr>
            <w:tcW w:w="10004" w:type="dxa"/>
            <w:vAlign w:val="center"/>
          </w:tcPr>
          <w:p>
            <w:pPr>
              <w:spacing w:line="280" w:lineRule="exact"/>
              <w:ind w:firstLine="440" w:firstLineChars="200"/>
              <w:jc w:val="left"/>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公司安全质量部负责应急管理。</w:t>
            </w:r>
          </w:p>
          <w:p>
            <w:pPr>
              <w:pStyle w:val="18"/>
              <w:spacing w:line="280" w:lineRule="exact"/>
              <w:rPr>
                <w:rFonts w:hint="eastAsia" w:ascii="仿宋" w:hAnsi="仿宋" w:eastAsia="仿宋" w:cs="仿宋"/>
                <w:sz w:val="22"/>
                <w:szCs w:val="22"/>
              </w:rPr>
            </w:pPr>
            <w:r>
              <w:rPr>
                <w:rFonts w:hint="eastAsia" w:ascii="仿宋" w:hAnsi="仿宋" w:eastAsia="仿宋" w:cs="仿宋"/>
                <w:sz w:val="22"/>
                <w:szCs w:val="22"/>
              </w:rPr>
              <w:t>编制了</w:t>
            </w:r>
            <w:r>
              <w:rPr>
                <w:rFonts w:hint="eastAsia" w:ascii="仿宋" w:hAnsi="仿宋" w:eastAsia="仿宋" w:cs="仿宋"/>
                <w:b/>
                <w:bCs/>
                <w:sz w:val="22"/>
                <w:szCs w:val="22"/>
              </w:rPr>
              <w:t>《应急准备和响应程序》</w:t>
            </w:r>
            <w:r>
              <w:rPr>
                <w:rFonts w:hint="eastAsia" w:ascii="仿宋" w:hAnsi="仿宋" w:eastAsia="仿宋" w:cs="仿宋"/>
                <w:sz w:val="22"/>
                <w:szCs w:val="22"/>
              </w:rPr>
              <w:t>，查看内容基本符合要求。</w:t>
            </w:r>
          </w:p>
          <w:p>
            <w:pPr>
              <w:pStyle w:val="18"/>
              <w:spacing w:line="280" w:lineRule="exact"/>
              <w:ind w:firstLineChars="0"/>
              <w:rPr>
                <w:rFonts w:hint="eastAsia" w:ascii="仿宋" w:hAnsi="仿宋" w:eastAsia="仿宋" w:cs="仿宋"/>
                <w:sz w:val="22"/>
                <w:szCs w:val="22"/>
              </w:rPr>
            </w:pPr>
            <w:r>
              <w:rPr>
                <w:rFonts w:hint="eastAsia" w:ascii="仿宋" w:hAnsi="仿宋" w:eastAsia="仿宋" w:cs="仿宋"/>
                <w:sz w:val="22"/>
                <w:szCs w:val="22"/>
              </w:rPr>
              <w:t>策划</w:t>
            </w:r>
            <w:r>
              <w:rPr>
                <w:rFonts w:hint="eastAsia" w:ascii="仿宋" w:hAnsi="仿宋" w:eastAsia="仿宋" w:cs="仿宋"/>
                <w:sz w:val="22"/>
                <w:szCs w:val="22"/>
                <w:lang w:val="en-US" w:eastAsia="zh-CN"/>
              </w:rPr>
              <w:t>编制</w:t>
            </w:r>
            <w:r>
              <w:rPr>
                <w:rFonts w:hint="eastAsia" w:ascii="仿宋" w:hAnsi="仿宋" w:eastAsia="仿宋" w:cs="仿宋"/>
                <w:sz w:val="22"/>
                <w:szCs w:val="22"/>
              </w:rPr>
              <w:t>了应急预案包括火灾</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交通事故、触电、高温中暑</w:t>
            </w:r>
            <w:r>
              <w:rPr>
                <w:rFonts w:hint="eastAsia" w:ascii="仿宋" w:hAnsi="仿宋" w:eastAsia="仿宋" w:cs="仿宋"/>
                <w:sz w:val="22"/>
                <w:szCs w:val="22"/>
              </w:rPr>
              <w:t>等应急预案。</w:t>
            </w:r>
          </w:p>
          <w:p>
            <w:pPr>
              <w:pStyle w:val="18"/>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rPr>
              <w:t>查应急预</w:t>
            </w:r>
            <w:r>
              <w:rPr>
                <w:rFonts w:hint="eastAsia" w:ascii="仿宋" w:hAnsi="仿宋" w:eastAsia="仿宋" w:cs="仿宋"/>
                <w:sz w:val="22"/>
                <w:szCs w:val="22"/>
                <w:lang w:val="en-US" w:eastAsia="zh-CN"/>
              </w:rPr>
              <w:t>案评估报告，通过以上评估，公司应急预案的制定基本合理。</w:t>
            </w:r>
          </w:p>
          <w:p>
            <w:pPr>
              <w:pStyle w:val="18"/>
              <w:spacing w:line="280" w:lineRule="exact"/>
              <w:ind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公司进行了消防演练，行政管理部人员参加演练。</w:t>
            </w:r>
          </w:p>
          <w:p>
            <w:pPr>
              <w:pStyle w:val="18"/>
              <w:spacing w:line="280" w:lineRule="exact"/>
              <w:ind w:firstLineChars="0"/>
              <w:rPr>
                <w:rFonts w:hint="eastAsia" w:ascii="仿宋" w:hAnsi="仿宋" w:eastAsia="仿宋" w:cs="仿宋"/>
                <w:sz w:val="28"/>
                <w:szCs w:val="24"/>
                <w:lang w:val="en-US" w:eastAsia="zh-CN"/>
              </w:rPr>
            </w:pPr>
            <w:r>
              <w:rPr>
                <w:rFonts w:hint="eastAsia" w:ascii="仿宋" w:hAnsi="仿宋" w:eastAsia="仿宋" w:cs="仿宋"/>
                <w:sz w:val="22"/>
                <w:szCs w:val="22"/>
                <w:lang w:val="en-US" w:eastAsia="zh-CN"/>
              </w:rPr>
              <w:t>查消防演习记录，演练时间2022.9.22，地点：泰仑集团空地，对演练过程进行了描述，并对该次演习和预案的有效性进行了小结和评价。</w:t>
            </w:r>
          </w:p>
        </w:tc>
        <w:tc>
          <w:tcPr>
            <w:tcW w:w="1585" w:type="dxa"/>
          </w:tcPr>
          <w:p>
            <w:pPr>
              <w:rPr>
                <w:rFonts w:hint="eastAsia" w:ascii="仿宋" w:hAnsi="仿宋" w:eastAsia="仿宋" w:cs="仿宋"/>
                <w:sz w:val="22"/>
                <w:szCs w:val="21"/>
                <w:lang w:val="en-US" w:eastAsia="zh-CN"/>
              </w:rPr>
            </w:pPr>
          </w:p>
        </w:tc>
      </w:tr>
    </w:tbl>
    <w:p>
      <w:pPr>
        <w:pStyle w:val="7"/>
        <w:rPr>
          <w:rFonts w:hint="eastAsia"/>
        </w:rPr>
      </w:pPr>
    </w:p>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14D68"/>
    <w:multiLevelType w:val="singleLevel"/>
    <w:tmpl w:val="CCF14D68"/>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B1EB4"/>
    <w:rsid w:val="00CD1E5C"/>
    <w:rsid w:val="00CD4ED7"/>
    <w:rsid w:val="00CD58BC"/>
    <w:rsid w:val="00D05DB2"/>
    <w:rsid w:val="00D6037A"/>
    <w:rsid w:val="00D8356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956AAB"/>
    <w:rsid w:val="02133D95"/>
    <w:rsid w:val="023C2EED"/>
    <w:rsid w:val="024141DC"/>
    <w:rsid w:val="03700BD7"/>
    <w:rsid w:val="03933EAF"/>
    <w:rsid w:val="03AE265E"/>
    <w:rsid w:val="03E6163E"/>
    <w:rsid w:val="042A6EF2"/>
    <w:rsid w:val="047F723D"/>
    <w:rsid w:val="04E71FEF"/>
    <w:rsid w:val="05B91908"/>
    <w:rsid w:val="05E732EC"/>
    <w:rsid w:val="06D27AF8"/>
    <w:rsid w:val="06D54FB0"/>
    <w:rsid w:val="074A1D85"/>
    <w:rsid w:val="074D53D1"/>
    <w:rsid w:val="08627F12"/>
    <w:rsid w:val="08896BA5"/>
    <w:rsid w:val="08C7736A"/>
    <w:rsid w:val="08EF039D"/>
    <w:rsid w:val="09741A2E"/>
    <w:rsid w:val="0A2D3298"/>
    <w:rsid w:val="0A341FB8"/>
    <w:rsid w:val="0A755CD1"/>
    <w:rsid w:val="0AA51080"/>
    <w:rsid w:val="0B220922"/>
    <w:rsid w:val="0B4F6F61"/>
    <w:rsid w:val="0B66737F"/>
    <w:rsid w:val="0B8F20D5"/>
    <w:rsid w:val="0BA70542"/>
    <w:rsid w:val="0BBE4AEF"/>
    <w:rsid w:val="0BCE7757"/>
    <w:rsid w:val="0BD459E4"/>
    <w:rsid w:val="0C396A19"/>
    <w:rsid w:val="0C6C454B"/>
    <w:rsid w:val="0C863C7A"/>
    <w:rsid w:val="0DA03BB0"/>
    <w:rsid w:val="0EC4763F"/>
    <w:rsid w:val="10A865C2"/>
    <w:rsid w:val="11332C1B"/>
    <w:rsid w:val="11B844E6"/>
    <w:rsid w:val="11CA3C1A"/>
    <w:rsid w:val="132C32C4"/>
    <w:rsid w:val="13CA160E"/>
    <w:rsid w:val="13EC5CD8"/>
    <w:rsid w:val="14044D2F"/>
    <w:rsid w:val="14CA06C4"/>
    <w:rsid w:val="1509575D"/>
    <w:rsid w:val="151412DC"/>
    <w:rsid w:val="15550FB2"/>
    <w:rsid w:val="15945CB1"/>
    <w:rsid w:val="162461E6"/>
    <w:rsid w:val="16CA40AF"/>
    <w:rsid w:val="19904BBD"/>
    <w:rsid w:val="19D126EF"/>
    <w:rsid w:val="19DA0035"/>
    <w:rsid w:val="1AC75042"/>
    <w:rsid w:val="1AF31906"/>
    <w:rsid w:val="1B6F0E38"/>
    <w:rsid w:val="1B802E40"/>
    <w:rsid w:val="1C4D7171"/>
    <w:rsid w:val="1DBE15CC"/>
    <w:rsid w:val="1E353EB3"/>
    <w:rsid w:val="1E6A01BF"/>
    <w:rsid w:val="1E763007"/>
    <w:rsid w:val="1E9F5880"/>
    <w:rsid w:val="1F094D9B"/>
    <w:rsid w:val="1FAA4A5B"/>
    <w:rsid w:val="1FB57B5F"/>
    <w:rsid w:val="200D07E9"/>
    <w:rsid w:val="2065664B"/>
    <w:rsid w:val="20B8420C"/>
    <w:rsid w:val="20D73A3A"/>
    <w:rsid w:val="20EC5803"/>
    <w:rsid w:val="217C5949"/>
    <w:rsid w:val="21AF0D0A"/>
    <w:rsid w:val="225F67BB"/>
    <w:rsid w:val="227F4849"/>
    <w:rsid w:val="22821F7B"/>
    <w:rsid w:val="22E639B9"/>
    <w:rsid w:val="22FD5AA5"/>
    <w:rsid w:val="23A6613D"/>
    <w:rsid w:val="245A2A83"/>
    <w:rsid w:val="251470D6"/>
    <w:rsid w:val="255C40F0"/>
    <w:rsid w:val="264071ED"/>
    <w:rsid w:val="265D1398"/>
    <w:rsid w:val="26FE3B9A"/>
    <w:rsid w:val="27441EF5"/>
    <w:rsid w:val="27653582"/>
    <w:rsid w:val="276C4FA7"/>
    <w:rsid w:val="27902E71"/>
    <w:rsid w:val="27A16178"/>
    <w:rsid w:val="27AB74DD"/>
    <w:rsid w:val="28A10C81"/>
    <w:rsid w:val="29580844"/>
    <w:rsid w:val="2A050A46"/>
    <w:rsid w:val="2A24600D"/>
    <w:rsid w:val="2A4915D0"/>
    <w:rsid w:val="2B7C5DC4"/>
    <w:rsid w:val="2C1C3440"/>
    <w:rsid w:val="2C490644"/>
    <w:rsid w:val="2C602C01"/>
    <w:rsid w:val="2D381C69"/>
    <w:rsid w:val="2D99286E"/>
    <w:rsid w:val="2DA30834"/>
    <w:rsid w:val="2DEF06E0"/>
    <w:rsid w:val="2E3E2933"/>
    <w:rsid w:val="2E647DF6"/>
    <w:rsid w:val="2EF3730F"/>
    <w:rsid w:val="2F9E416C"/>
    <w:rsid w:val="310D2DE4"/>
    <w:rsid w:val="31BA0817"/>
    <w:rsid w:val="31C11290"/>
    <w:rsid w:val="32F83B93"/>
    <w:rsid w:val="343C3F54"/>
    <w:rsid w:val="3511191C"/>
    <w:rsid w:val="362353CB"/>
    <w:rsid w:val="366C4FC4"/>
    <w:rsid w:val="373D331B"/>
    <w:rsid w:val="37C30C14"/>
    <w:rsid w:val="37C64260"/>
    <w:rsid w:val="37E868CC"/>
    <w:rsid w:val="388B19B5"/>
    <w:rsid w:val="38CF35E8"/>
    <w:rsid w:val="38DF3F58"/>
    <w:rsid w:val="38F0269B"/>
    <w:rsid w:val="39C80763"/>
    <w:rsid w:val="3A064DE8"/>
    <w:rsid w:val="3AF70FB3"/>
    <w:rsid w:val="3C1B147E"/>
    <w:rsid w:val="3CA02558"/>
    <w:rsid w:val="3CAF36AA"/>
    <w:rsid w:val="3CE1063B"/>
    <w:rsid w:val="3CEA2015"/>
    <w:rsid w:val="3CED6733"/>
    <w:rsid w:val="3D392A58"/>
    <w:rsid w:val="3EF76F56"/>
    <w:rsid w:val="3F666DF4"/>
    <w:rsid w:val="402610AB"/>
    <w:rsid w:val="40CB5C4E"/>
    <w:rsid w:val="41D324B8"/>
    <w:rsid w:val="41E03DA1"/>
    <w:rsid w:val="42891A9A"/>
    <w:rsid w:val="432D7889"/>
    <w:rsid w:val="43483B54"/>
    <w:rsid w:val="443B38A3"/>
    <w:rsid w:val="455235D7"/>
    <w:rsid w:val="455E5271"/>
    <w:rsid w:val="45630DFF"/>
    <w:rsid w:val="45CE7741"/>
    <w:rsid w:val="46C15FBB"/>
    <w:rsid w:val="46C44060"/>
    <w:rsid w:val="46F014FB"/>
    <w:rsid w:val="479200EF"/>
    <w:rsid w:val="48455675"/>
    <w:rsid w:val="48931F3C"/>
    <w:rsid w:val="48FB5D34"/>
    <w:rsid w:val="494D2A33"/>
    <w:rsid w:val="49951DA4"/>
    <w:rsid w:val="4BDF193C"/>
    <w:rsid w:val="4C795FDA"/>
    <w:rsid w:val="4C8D7BA8"/>
    <w:rsid w:val="4CD41C8D"/>
    <w:rsid w:val="4CE51083"/>
    <w:rsid w:val="4D551EB6"/>
    <w:rsid w:val="4D8F3170"/>
    <w:rsid w:val="4DED56EF"/>
    <w:rsid w:val="4DF96CE5"/>
    <w:rsid w:val="4F026383"/>
    <w:rsid w:val="4F90367A"/>
    <w:rsid w:val="4FD2663D"/>
    <w:rsid w:val="4FD85DBD"/>
    <w:rsid w:val="5012779C"/>
    <w:rsid w:val="507F55C1"/>
    <w:rsid w:val="50DA086D"/>
    <w:rsid w:val="50EE1CF2"/>
    <w:rsid w:val="526A6404"/>
    <w:rsid w:val="52BF06E6"/>
    <w:rsid w:val="52CD0741"/>
    <w:rsid w:val="533F47B1"/>
    <w:rsid w:val="53A3031B"/>
    <w:rsid w:val="53BF7FBF"/>
    <w:rsid w:val="53D31D87"/>
    <w:rsid w:val="53E04287"/>
    <w:rsid w:val="54290C50"/>
    <w:rsid w:val="543071D9"/>
    <w:rsid w:val="551E34D6"/>
    <w:rsid w:val="56731B3C"/>
    <w:rsid w:val="568D26C1"/>
    <w:rsid w:val="56A241DD"/>
    <w:rsid w:val="56D025AE"/>
    <w:rsid w:val="58665DC7"/>
    <w:rsid w:val="58823FEC"/>
    <w:rsid w:val="59381A7E"/>
    <w:rsid w:val="593E5EF4"/>
    <w:rsid w:val="5A407357"/>
    <w:rsid w:val="5A584374"/>
    <w:rsid w:val="5A5B1DED"/>
    <w:rsid w:val="5AA21673"/>
    <w:rsid w:val="5AE12FE7"/>
    <w:rsid w:val="5B2F5ECA"/>
    <w:rsid w:val="5BC92DFA"/>
    <w:rsid w:val="5BCC1553"/>
    <w:rsid w:val="5C3B10C6"/>
    <w:rsid w:val="5CD44C52"/>
    <w:rsid w:val="5CF52286"/>
    <w:rsid w:val="5D0B414F"/>
    <w:rsid w:val="5DE60AE0"/>
    <w:rsid w:val="5F194F46"/>
    <w:rsid w:val="5FE60C0E"/>
    <w:rsid w:val="617A7CE6"/>
    <w:rsid w:val="623A0D90"/>
    <w:rsid w:val="624955EC"/>
    <w:rsid w:val="62604FE7"/>
    <w:rsid w:val="62BE1E54"/>
    <w:rsid w:val="62CD2171"/>
    <w:rsid w:val="635A009E"/>
    <w:rsid w:val="63C230E7"/>
    <w:rsid w:val="6406568B"/>
    <w:rsid w:val="64DF4A2F"/>
    <w:rsid w:val="65D42EF0"/>
    <w:rsid w:val="65D96540"/>
    <w:rsid w:val="66A91828"/>
    <w:rsid w:val="675863D3"/>
    <w:rsid w:val="68177D1E"/>
    <w:rsid w:val="68D97C22"/>
    <w:rsid w:val="68FE744E"/>
    <w:rsid w:val="69482477"/>
    <w:rsid w:val="69907DAF"/>
    <w:rsid w:val="6A9F72CD"/>
    <w:rsid w:val="6AA024C0"/>
    <w:rsid w:val="6B4C3AD1"/>
    <w:rsid w:val="6B8C0D41"/>
    <w:rsid w:val="6C2350B1"/>
    <w:rsid w:val="6C705F6D"/>
    <w:rsid w:val="6CB0280D"/>
    <w:rsid w:val="6CB5285B"/>
    <w:rsid w:val="6CEA5E19"/>
    <w:rsid w:val="6D2B458A"/>
    <w:rsid w:val="6E1D7FF6"/>
    <w:rsid w:val="6E2D6717"/>
    <w:rsid w:val="6E383DC0"/>
    <w:rsid w:val="6E5D105F"/>
    <w:rsid w:val="6EE113A4"/>
    <w:rsid w:val="6EF7427F"/>
    <w:rsid w:val="6FDF3B3D"/>
    <w:rsid w:val="6FF92470"/>
    <w:rsid w:val="71082373"/>
    <w:rsid w:val="712A185C"/>
    <w:rsid w:val="72D66D46"/>
    <w:rsid w:val="72E15E16"/>
    <w:rsid w:val="73A0182E"/>
    <w:rsid w:val="73F43927"/>
    <w:rsid w:val="741C7488"/>
    <w:rsid w:val="747405C4"/>
    <w:rsid w:val="747D06DB"/>
    <w:rsid w:val="749D20CF"/>
    <w:rsid w:val="75413C74"/>
    <w:rsid w:val="75BC60A5"/>
    <w:rsid w:val="77E75D3E"/>
    <w:rsid w:val="78200226"/>
    <w:rsid w:val="787119EB"/>
    <w:rsid w:val="78793A13"/>
    <w:rsid w:val="78C31B1A"/>
    <w:rsid w:val="797929F2"/>
    <w:rsid w:val="79B325B0"/>
    <w:rsid w:val="7A5522A6"/>
    <w:rsid w:val="7A870D46"/>
    <w:rsid w:val="7A8B41B3"/>
    <w:rsid w:val="7DC720AD"/>
    <w:rsid w:val="7E763467"/>
    <w:rsid w:val="7EEF4AE5"/>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ascii="Arial" w:hAnsi="Arial" w:eastAsia="楷体_GB2312"/>
      <w:spacing w:val="20"/>
      <w:sz w:val="24"/>
      <w:szCs w:val="20"/>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rPr>
      <w:rFonts w:ascii="仿宋_GB2312" w:eastAsia="仿宋_GB2312"/>
      <w:b/>
      <w:sz w:val="32"/>
      <w:szCs w:val="32"/>
    </w:rPr>
  </w:style>
  <w:style w:type="paragraph" w:customStyle="1" w:styleId="18">
    <w:name w:val="_Style 2"/>
    <w:basedOn w:val="1"/>
    <w:qFormat/>
    <w:uiPriority w:val="34"/>
    <w:pPr>
      <w:ind w:firstLine="420" w:firstLineChars="200"/>
    </w:pPr>
    <w:rPr>
      <w:rFonts w:ascii="Calibri" w:hAnsi="Calibri"/>
      <w:sz w:val="24"/>
      <w:szCs w:val="22"/>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2521</Words>
  <Characters>2704</Characters>
  <Lines>38</Lines>
  <Paragraphs>10</Paragraphs>
  <TotalTime>27</TotalTime>
  <ScaleCrop>false</ScaleCrop>
  <LinksUpToDate>false</LinksUpToDate>
  <CharactersWithSpaces>2733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春华秋实</cp:lastModifiedBy>
  <dcterms:modified xsi:type="dcterms:W3CDTF">2022-11-19T03:05:00Z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F6FA44832D7549BDA8EBC567F17AECBC</vt:lpwstr>
  </property>
</Properties>
</file>