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204"/>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16" w:type="dxa"/>
            <w:vMerge w:val="restart"/>
            <w:vAlign w:val="center"/>
          </w:tcPr>
          <w:p>
            <w:pPr>
              <w:spacing w:before="120"/>
              <w:jc w:val="center"/>
              <w:rPr>
                <w:rFonts w:hint="eastAsia" w:ascii="仿宋" w:hAnsi="仿宋" w:eastAsia="仿宋" w:cs="仿宋"/>
                <w:sz w:val="22"/>
                <w:szCs w:val="22"/>
              </w:rPr>
            </w:pPr>
            <w:r>
              <w:rPr>
                <w:rFonts w:hint="eastAsia" w:ascii="仿宋" w:hAnsi="仿宋" w:eastAsia="仿宋" w:cs="仿宋"/>
                <w:sz w:val="22"/>
                <w:szCs w:val="22"/>
              </w:rPr>
              <w:t>过程与活动、</w:t>
            </w:r>
          </w:p>
          <w:p>
            <w:pPr>
              <w:jc w:val="center"/>
              <w:rPr>
                <w:rFonts w:hint="eastAsia" w:ascii="仿宋" w:hAnsi="仿宋" w:eastAsia="仿宋" w:cs="仿宋"/>
                <w:sz w:val="22"/>
                <w:szCs w:val="22"/>
              </w:rPr>
            </w:pPr>
            <w:r>
              <w:rPr>
                <w:rFonts w:hint="eastAsia" w:ascii="仿宋" w:hAnsi="仿宋" w:eastAsia="仿宋" w:cs="仿宋"/>
                <w:sz w:val="22"/>
                <w:szCs w:val="22"/>
              </w:rPr>
              <w:t>抽样计划</w:t>
            </w:r>
          </w:p>
        </w:tc>
        <w:tc>
          <w:tcPr>
            <w:tcW w:w="1204" w:type="dxa"/>
            <w:vMerge w:val="restart"/>
            <w:vAlign w:val="center"/>
          </w:tcPr>
          <w:p>
            <w:pPr>
              <w:rPr>
                <w:rFonts w:hint="eastAsia" w:ascii="仿宋" w:hAnsi="仿宋" w:eastAsia="仿宋" w:cs="仿宋"/>
                <w:sz w:val="22"/>
                <w:szCs w:val="22"/>
              </w:rPr>
            </w:pPr>
            <w:r>
              <w:rPr>
                <w:rFonts w:hint="eastAsia" w:ascii="仿宋" w:hAnsi="仿宋" w:eastAsia="仿宋" w:cs="仿宋"/>
                <w:sz w:val="22"/>
                <w:szCs w:val="22"/>
              </w:rPr>
              <w:t>涉及</w:t>
            </w:r>
          </w:p>
          <w:p>
            <w:pPr>
              <w:rPr>
                <w:rFonts w:hint="eastAsia" w:ascii="仿宋" w:hAnsi="仿宋" w:eastAsia="仿宋" w:cs="仿宋"/>
                <w:sz w:val="22"/>
                <w:szCs w:val="22"/>
              </w:rPr>
            </w:pPr>
            <w:r>
              <w:rPr>
                <w:rFonts w:hint="eastAsia" w:ascii="仿宋" w:hAnsi="仿宋" w:eastAsia="仿宋" w:cs="仿宋"/>
                <w:sz w:val="22"/>
                <w:szCs w:val="22"/>
              </w:rPr>
              <w:t>条款</w:t>
            </w:r>
          </w:p>
        </w:tc>
        <w:tc>
          <w:tcPr>
            <w:tcW w:w="10004" w:type="dxa"/>
            <w:vAlign w:val="center"/>
          </w:tcPr>
          <w:p>
            <w:pPr>
              <w:rPr>
                <w:rFonts w:hint="default" w:ascii="仿宋" w:hAnsi="仿宋" w:eastAsia="仿宋" w:cs="仿宋"/>
                <w:sz w:val="22"/>
                <w:szCs w:val="22"/>
                <w:lang w:val="en-US" w:eastAsia="zh-CN"/>
              </w:rPr>
            </w:pPr>
            <w:r>
              <w:rPr>
                <w:rFonts w:hint="eastAsia" w:ascii="仿宋" w:hAnsi="仿宋" w:eastAsia="仿宋" w:cs="仿宋"/>
                <w:sz w:val="22"/>
                <w:szCs w:val="22"/>
              </w:rPr>
              <w:t>受审核部门：</w:t>
            </w:r>
            <w:r>
              <w:rPr>
                <w:rFonts w:hint="eastAsia" w:ascii="仿宋" w:hAnsi="仿宋" w:eastAsia="仿宋" w:cs="仿宋"/>
                <w:sz w:val="22"/>
                <w:szCs w:val="22"/>
                <w:lang w:val="en-US" w:eastAsia="zh-CN"/>
              </w:rPr>
              <w:t>技术管理部</w:t>
            </w:r>
            <w:r>
              <w:rPr>
                <w:rFonts w:hint="eastAsia" w:ascii="仿宋" w:hAnsi="仿宋" w:eastAsia="仿宋" w:cs="仿宋"/>
                <w:sz w:val="22"/>
                <w:szCs w:val="22"/>
              </w:rPr>
              <w:t xml:space="preserve">  主管领导：</w:t>
            </w:r>
            <w:r>
              <w:rPr>
                <w:rFonts w:hint="eastAsia" w:ascii="仿宋" w:hAnsi="仿宋" w:eastAsia="仿宋" w:cs="仿宋"/>
                <w:sz w:val="22"/>
                <w:szCs w:val="22"/>
                <w:lang w:val="en-US" w:eastAsia="zh-CN"/>
              </w:rPr>
              <w:t xml:space="preserve">郑伟   </w:t>
            </w:r>
            <w:r>
              <w:rPr>
                <w:rFonts w:hint="eastAsia" w:ascii="仿宋" w:hAnsi="仿宋" w:eastAsia="仿宋" w:cs="仿宋"/>
                <w:sz w:val="22"/>
                <w:szCs w:val="22"/>
              </w:rPr>
              <w:t>陪同人员：</w:t>
            </w:r>
            <w:r>
              <w:rPr>
                <w:rFonts w:hint="eastAsia" w:ascii="仿宋" w:hAnsi="仿宋" w:eastAsia="仿宋" w:cs="仿宋"/>
                <w:sz w:val="22"/>
                <w:szCs w:val="22"/>
                <w:lang w:val="en-US" w:eastAsia="zh-CN"/>
              </w:rPr>
              <w:t>潘少良</w:t>
            </w:r>
          </w:p>
        </w:tc>
        <w:tc>
          <w:tcPr>
            <w:tcW w:w="1585" w:type="dxa"/>
            <w:vMerge w:val="restart"/>
            <w:vAlign w:val="center"/>
          </w:tcPr>
          <w:p>
            <w:pPr>
              <w:rPr>
                <w:rFonts w:hint="eastAsia" w:ascii="仿宋" w:hAnsi="仿宋" w:eastAsia="仿宋" w:cs="仿宋"/>
                <w:sz w:val="28"/>
                <w:szCs w:val="28"/>
              </w:rPr>
            </w:pPr>
            <w:r>
              <w:rPr>
                <w:rFonts w:hint="eastAsia" w:ascii="仿宋" w:hAnsi="仿宋" w:eastAsia="仿宋" w:cs="仿宋"/>
                <w:sz w:val="28"/>
                <w:szCs w:val="28"/>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16" w:type="dxa"/>
            <w:vMerge w:val="continue"/>
            <w:vAlign w:val="center"/>
          </w:tcPr>
          <w:p>
            <w:pPr>
              <w:rPr>
                <w:rFonts w:hint="eastAsia" w:ascii="仿宋" w:hAnsi="仿宋" w:eastAsia="仿宋" w:cs="仿宋"/>
                <w:sz w:val="22"/>
                <w:szCs w:val="22"/>
              </w:rPr>
            </w:pPr>
          </w:p>
        </w:tc>
        <w:tc>
          <w:tcPr>
            <w:tcW w:w="1204" w:type="dxa"/>
            <w:vMerge w:val="continue"/>
            <w:vAlign w:val="center"/>
          </w:tcPr>
          <w:p>
            <w:pPr>
              <w:rPr>
                <w:rFonts w:hint="eastAsia" w:ascii="仿宋" w:hAnsi="仿宋" w:eastAsia="仿宋" w:cs="仿宋"/>
                <w:sz w:val="22"/>
                <w:szCs w:val="22"/>
              </w:rPr>
            </w:pPr>
          </w:p>
        </w:tc>
        <w:tc>
          <w:tcPr>
            <w:tcW w:w="10004" w:type="dxa"/>
            <w:vAlign w:val="center"/>
          </w:tcPr>
          <w:p>
            <w:pPr>
              <w:spacing w:before="120"/>
              <w:rPr>
                <w:rFonts w:hint="eastAsia" w:ascii="仿宋" w:hAnsi="仿宋" w:eastAsia="仿宋" w:cs="仿宋"/>
                <w:sz w:val="22"/>
                <w:szCs w:val="22"/>
                <w:lang w:val="en-US" w:eastAsia="zh-CN"/>
              </w:rPr>
            </w:pPr>
            <w:r>
              <w:rPr>
                <w:rFonts w:hint="eastAsia" w:ascii="仿宋" w:hAnsi="仿宋" w:eastAsia="仿宋" w:cs="仿宋"/>
                <w:sz w:val="22"/>
                <w:szCs w:val="22"/>
              </w:rPr>
              <w:t>审核员：</w:t>
            </w:r>
            <w:r>
              <w:rPr>
                <w:rFonts w:hint="eastAsia" w:ascii="仿宋" w:hAnsi="仿宋" w:eastAsia="仿宋" w:cs="仿宋"/>
                <w:sz w:val="22"/>
                <w:szCs w:val="22"/>
                <w:lang w:val="en-US" w:eastAsia="zh-CN"/>
              </w:rPr>
              <w:t>张磊</w:t>
            </w: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 xml:space="preserve"> </w:t>
            </w:r>
            <w:bookmarkStart w:id="0" w:name="_GoBack"/>
            <w:bookmarkEnd w:id="0"/>
            <w:r>
              <w:rPr>
                <w:rFonts w:hint="eastAsia" w:ascii="仿宋" w:hAnsi="仿宋" w:eastAsia="仿宋" w:cs="仿宋"/>
                <w:sz w:val="22"/>
                <w:szCs w:val="22"/>
              </w:rPr>
              <w:t>审核时间：</w:t>
            </w:r>
            <w:r>
              <w:rPr>
                <w:rFonts w:hint="eastAsia" w:ascii="仿宋" w:hAnsi="仿宋" w:eastAsia="仿宋" w:cs="仿宋"/>
                <w:sz w:val="22"/>
                <w:szCs w:val="22"/>
                <w:lang w:val="en-US" w:eastAsia="zh-CN"/>
              </w:rPr>
              <w:t>2022年11月18日</w:t>
            </w:r>
          </w:p>
        </w:tc>
        <w:tc>
          <w:tcPr>
            <w:tcW w:w="1585" w:type="dxa"/>
            <w:vMerge w:val="continue"/>
          </w:tcPr>
          <w:p>
            <w:pPr>
              <w:rPr>
                <w:rFonts w:hint="eastAsia" w:ascii="仿宋" w:hAnsi="仿宋" w:eastAsia="仿宋" w:cs="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16" w:type="dxa"/>
            <w:vMerge w:val="continue"/>
            <w:vAlign w:val="center"/>
          </w:tcPr>
          <w:p>
            <w:pPr>
              <w:rPr>
                <w:rFonts w:hint="eastAsia" w:ascii="仿宋" w:hAnsi="仿宋" w:eastAsia="仿宋" w:cs="仿宋"/>
                <w:sz w:val="22"/>
                <w:szCs w:val="22"/>
              </w:rPr>
            </w:pPr>
          </w:p>
        </w:tc>
        <w:tc>
          <w:tcPr>
            <w:tcW w:w="1204" w:type="dxa"/>
            <w:vMerge w:val="continue"/>
            <w:vAlign w:val="center"/>
          </w:tcPr>
          <w:p>
            <w:pPr>
              <w:rPr>
                <w:rFonts w:hint="eastAsia" w:ascii="仿宋" w:hAnsi="仿宋" w:eastAsia="仿宋" w:cs="仿宋"/>
                <w:sz w:val="22"/>
                <w:szCs w:val="22"/>
              </w:rPr>
            </w:pPr>
          </w:p>
        </w:tc>
        <w:tc>
          <w:tcPr>
            <w:tcW w:w="10004" w:type="dxa"/>
            <w:vAlign w:val="center"/>
          </w:tcPr>
          <w:p>
            <w:pPr>
              <w:spacing w:line="280" w:lineRule="exac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审核内容：</w:t>
            </w:r>
          </w:p>
          <w:p>
            <w:pPr>
              <w:spacing w:line="280" w:lineRule="exac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QEO:5.3；6.2；7.3；7.4;7.5;9.2</w:t>
            </w:r>
          </w:p>
          <w:p>
            <w:pPr>
              <w:spacing w:line="280" w:lineRule="exac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Q:6.3变更的策划；7.1.2人员； 7.1.4过程运行环境;7.1.6组织知识；7.1.5监视和测量资源；；；8.5.2标识和可追溯性；9.1监视、测量、分析和评价；9.1.2顾客满意；9.1.3分析与评价</w:t>
            </w:r>
          </w:p>
          <w:p>
            <w:pPr>
              <w:spacing w:line="280" w:lineRule="exact"/>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EO:6.1.2环境因素； 6.1.3合规义务；6.1.4措施的策划；6.2目标及其达成的策划；；7.5文件化信息； 8.1运行策划和控制；8.2应急准备和响应；9.1.1监测、分析和评价总则；9.1.2符合性评估</w:t>
            </w:r>
          </w:p>
          <w:p>
            <w:pPr>
              <w:spacing w:line="280" w:lineRule="exact"/>
              <w:rPr>
                <w:rFonts w:hint="eastAsia" w:ascii="仿宋" w:hAnsi="仿宋" w:eastAsia="仿宋" w:cs="仿宋"/>
                <w:sz w:val="22"/>
                <w:szCs w:val="21"/>
                <w:lang w:val="en-US" w:eastAsia="zh-CN"/>
              </w:rPr>
            </w:pPr>
          </w:p>
        </w:tc>
        <w:tc>
          <w:tcPr>
            <w:tcW w:w="1585" w:type="dxa"/>
            <w:vMerge w:val="continue"/>
          </w:tcPr>
          <w:p>
            <w:pPr>
              <w:rPr>
                <w:rFonts w:hint="eastAsia" w:ascii="仿宋" w:hAnsi="仿宋" w:eastAsia="仿宋" w:cs="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pPr>
              <w:spacing w:line="280" w:lineRule="exact"/>
              <w:rPr>
                <w:rFonts w:hint="eastAsia" w:ascii="仿宋" w:hAnsi="仿宋" w:eastAsia="仿宋" w:cs="仿宋"/>
                <w:sz w:val="22"/>
                <w:szCs w:val="22"/>
              </w:rPr>
            </w:pPr>
            <w:r>
              <w:rPr>
                <w:rFonts w:hint="eastAsia" w:ascii="仿宋" w:hAnsi="仿宋" w:eastAsia="仿宋" w:cs="仿宋"/>
                <w:sz w:val="22"/>
                <w:szCs w:val="22"/>
              </w:rPr>
              <w:t>组织的岗位、职责和权限</w:t>
            </w:r>
          </w:p>
          <w:p>
            <w:pPr>
              <w:spacing w:line="280" w:lineRule="exact"/>
              <w:rPr>
                <w:rFonts w:hint="eastAsia" w:ascii="仿宋" w:hAnsi="仿宋" w:eastAsia="仿宋" w:cs="仿宋"/>
                <w:sz w:val="22"/>
                <w:szCs w:val="22"/>
              </w:rPr>
            </w:pPr>
          </w:p>
        </w:tc>
        <w:tc>
          <w:tcPr>
            <w:tcW w:w="1204" w:type="dxa"/>
          </w:tcPr>
          <w:p>
            <w:pPr>
              <w:spacing w:line="280" w:lineRule="exact"/>
              <w:rPr>
                <w:rFonts w:hint="eastAsia" w:ascii="仿宋" w:hAnsi="仿宋" w:eastAsia="仿宋" w:cs="仿宋"/>
                <w:sz w:val="22"/>
                <w:szCs w:val="22"/>
              </w:rPr>
            </w:pPr>
            <w:r>
              <w:rPr>
                <w:rFonts w:hint="eastAsia" w:ascii="仿宋" w:hAnsi="仿宋" w:eastAsia="仿宋" w:cs="仿宋"/>
                <w:sz w:val="22"/>
                <w:szCs w:val="22"/>
              </w:rPr>
              <w:t>QEO5.3</w:t>
            </w:r>
          </w:p>
        </w:tc>
        <w:tc>
          <w:tcPr>
            <w:tcW w:w="10004" w:type="dxa"/>
            <w:vAlign w:val="center"/>
          </w:tcPr>
          <w:p>
            <w:pPr>
              <w:spacing w:line="280" w:lineRule="exact"/>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从技术管理部了解到，其部门体系</w:t>
            </w:r>
            <w:r>
              <w:rPr>
                <w:rFonts w:hint="eastAsia" w:ascii="仿宋" w:hAnsi="仿宋" w:eastAsia="仿宋" w:cs="仿宋"/>
                <w:sz w:val="22"/>
                <w:szCs w:val="22"/>
              </w:rPr>
              <w:t>职能</w:t>
            </w:r>
            <w:r>
              <w:rPr>
                <w:rFonts w:hint="eastAsia" w:ascii="仿宋" w:hAnsi="仿宋" w:eastAsia="仿宋" w:cs="仿宋"/>
                <w:sz w:val="22"/>
                <w:szCs w:val="22"/>
                <w:lang w:val="en-US" w:eastAsia="zh-CN"/>
              </w:rPr>
              <w:t>主要包括人力资源管理、内审、知识管理、沟通管理、文件管理及其职责范围内环境因素和危险源的管理等。</w:t>
            </w:r>
          </w:p>
          <w:p>
            <w:pPr>
              <w:spacing w:line="280" w:lineRule="exact"/>
              <w:ind w:firstLine="440" w:firstLineChars="200"/>
              <w:rPr>
                <w:rFonts w:hint="eastAsia" w:ascii="仿宋" w:hAnsi="仿宋" w:eastAsia="仿宋" w:cs="仿宋"/>
                <w:sz w:val="22"/>
                <w:szCs w:val="22"/>
              </w:rPr>
            </w:pPr>
            <w:r>
              <w:rPr>
                <w:rFonts w:hint="eastAsia" w:ascii="仿宋" w:hAnsi="仿宋" w:eastAsia="仿宋" w:cs="仿宋"/>
                <w:sz w:val="22"/>
                <w:szCs w:val="21"/>
                <w:lang w:val="en-US" w:eastAsia="zh-CN"/>
              </w:rPr>
              <w:t>与技术管理部负责人郑伟沟通，对其部门职责和权限基本清楚，符合要求。</w:t>
            </w:r>
          </w:p>
        </w:tc>
        <w:tc>
          <w:tcPr>
            <w:tcW w:w="1585" w:type="dxa"/>
          </w:tcPr>
          <w:p>
            <w:pPr>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916" w:type="dxa"/>
          </w:tcPr>
          <w:p>
            <w:pPr>
              <w:spacing w:line="280" w:lineRule="exact"/>
              <w:rPr>
                <w:rFonts w:hint="eastAsia" w:ascii="仿宋" w:hAnsi="仿宋" w:eastAsia="仿宋" w:cs="仿宋"/>
                <w:sz w:val="22"/>
                <w:szCs w:val="22"/>
              </w:rPr>
            </w:pPr>
            <w:r>
              <w:rPr>
                <w:rFonts w:hint="eastAsia" w:ascii="仿宋" w:hAnsi="仿宋" w:eastAsia="仿宋" w:cs="仿宋"/>
                <w:sz w:val="22"/>
                <w:szCs w:val="22"/>
              </w:rPr>
              <w:t>管理目标及其实现的策划</w:t>
            </w:r>
          </w:p>
          <w:p>
            <w:pPr>
              <w:spacing w:line="280" w:lineRule="exact"/>
              <w:rPr>
                <w:rFonts w:hint="eastAsia" w:ascii="仿宋" w:hAnsi="仿宋" w:eastAsia="仿宋" w:cs="仿宋"/>
                <w:sz w:val="22"/>
                <w:szCs w:val="22"/>
              </w:rPr>
            </w:pPr>
          </w:p>
        </w:tc>
        <w:tc>
          <w:tcPr>
            <w:tcW w:w="1204" w:type="dxa"/>
          </w:tcPr>
          <w:p>
            <w:pPr>
              <w:spacing w:line="280" w:lineRule="exact"/>
              <w:rPr>
                <w:rFonts w:hint="eastAsia" w:ascii="仿宋" w:hAnsi="仿宋" w:eastAsia="仿宋" w:cs="仿宋"/>
                <w:sz w:val="22"/>
                <w:szCs w:val="22"/>
              </w:rPr>
            </w:pPr>
            <w:r>
              <w:rPr>
                <w:rFonts w:hint="eastAsia" w:ascii="仿宋" w:hAnsi="仿宋" w:eastAsia="仿宋" w:cs="仿宋"/>
                <w:sz w:val="22"/>
                <w:szCs w:val="22"/>
              </w:rPr>
              <w:t>Q</w:t>
            </w:r>
            <w:r>
              <w:rPr>
                <w:rFonts w:hint="eastAsia" w:ascii="仿宋" w:hAnsi="仿宋" w:eastAsia="仿宋" w:cs="仿宋"/>
                <w:sz w:val="22"/>
                <w:szCs w:val="22"/>
                <w:lang w:val="en-US" w:eastAsia="zh-CN"/>
              </w:rPr>
              <w:t>EO</w:t>
            </w:r>
            <w:r>
              <w:rPr>
                <w:rFonts w:hint="eastAsia" w:ascii="仿宋" w:hAnsi="仿宋" w:eastAsia="仿宋" w:cs="仿宋"/>
                <w:sz w:val="22"/>
                <w:szCs w:val="22"/>
              </w:rPr>
              <w:t>6.2</w:t>
            </w:r>
          </w:p>
        </w:tc>
        <w:tc>
          <w:tcPr>
            <w:tcW w:w="10004" w:type="dxa"/>
            <w:vAlign w:val="center"/>
          </w:tcPr>
          <w:p>
            <w:pPr>
              <w:spacing w:line="280" w:lineRule="exact"/>
              <w:ind w:firstLine="440" w:firstLineChars="200"/>
              <w:rPr>
                <w:rFonts w:hint="eastAsia" w:ascii="仿宋" w:hAnsi="仿宋" w:eastAsia="仿宋" w:cs="仿宋"/>
                <w:sz w:val="22"/>
                <w:szCs w:val="22"/>
              </w:rPr>
            </w:pPr>
            <w:r>
              <w:rPr>
                <w:rFonts w:hint="eastAsia" w:ascii="仿宋" w:hAnsi="仿宋" w:eastAsia="仿宋" w:cs="仿宋"/>
                <w:sz w:val="22"/>
                <w:szCs w:val="22"/>
                <w:lang w:val="en-US" w:eastAsia="zh-CN"/>
              </w:rPr>
              <w:t>组织</w:t>
            </w:r>
            <w:r>
              <w:rPr>
                <w:rFonts w:hint="eastAsia" w:ascii="仿宋" w:hAnsi="仿宋" w:eastAsia="仿宋" w:cs="仿宋"/>
                <w:sz w:val="22"/>
                <w:szCs w:val="22"/>
              </w:rPr>
              <w:t>对管理体系所需的相关职能、层次和过程设定</w:t>
            </w:r>
            <w:r>
              <w:rPr>
                <w:rFonts w:hint="eastAsia" w:ascii="仿宋" w:hAnsi="仿宋" w:eastAsia="仿宋" w:cs="仿宋"/>
                <w:sz w:val="22"/>
                <w:szCs w:val="22"/>
                <w:lang w:val="en-US" w:eastAsia="zh-CN"/>
              </w:rPr>
              <w:t>了</w:t>
            </w:r>
            <w:r>
              <w:rPr>
                <w:rFonts w:hint="eastAsia" w:ascii="仿宋" w:hAnsi="仿宋" w:eastAsia="仿宋" w:cs="仿宋"/>
                <w:sz w:val="22"/>
                <w:szCs w:val="22"/>
              </w:rPr>
              <w:t>目标。</w:t>
            </w:r>
            <w:r>
              <w:rPr>
                <w:rFonts w:hint="eastAsia" w:ascii="仿宋" w:hAnsi="仿宋" w:eastAsia="仿宋" w:cs="仿宋"/>
                <w:sz w:val="22"/>
                <w:szCs w:val="22"/>
                <w:lang w:eastAsia="zh-CN"/>
              </w:rPr>
              <w:t>技术管理部</w:t>
            </w:r>
            <w:r>
              <w:rPr>
                <w:rFonts w:hint="eastAsia" w:ascii="仿宋" w:hAnsi="仿宋" w:eastAsia="仿宋" w:cs="仿宋"/>
                <w:sz w:val="22"/>
                <w:szCs w:val="22"/>
              </w:rPr>
              <w:t>涉及的目标</w:t>
            </w:r>
            <w:r>
              <w:rPr>
                <w:rFonts w:hint="eastAsia" w:ascii="仿宋" w:hAnsi="仿宋" w:eastAsia="仿宋" w:cs="仿宋"/>
                <w:sz w:val="22"/>
                <w:szCs w:val="22"/>
                <w:lang w:val="en-US" w:eastAsia="zh-CN"/>
              </w:rPr>
              <w:t>分解落实</w:t>
            </w:r>
            <w:r>
              <w:rPr>
                <w:rFonts w:hint="eastAsia" w:ascii="仿宋" w:hAnsi="仿宋" w:eastAsia="仿宋" w:cs="仿宋"/>
                <w:sz w:val="22"/>
                <w:szCs w:val="22"/>
              </w:rPr>
              <w:t>情况</w:t>
            </w:r>
            <w:r>
              <w:rPr>
                <w:rFonts w:hint="eastAsia" w:ascii="仿宋" w:hAnsi="仿宋" w:eastAsia="仿宋" w:cs="仿宋"/>
                <w:sz w:val="22"/>
                <w:szCs w:val="22"/>
                <w:lang w:val="en-US" w:eastAsia="zh-CN"/>
              </w:rPr>
              <w:t>如下</w:t>
            </w:r>
            <w:r>
              <w:rPr>
                <w:rFonts w:hint="eastAsia" w:ascii="仿宋" w:hAnsi="仿宋" w:eastAsia="仿宋" w:cs="仿宋"/>
                <w:sz w:val="22"/>
                <w:szCs w:val="22"/>
              </w:rPr>
              <w:t>：</w:t>
            </w:r>
          </w:p>
          <w:p>
            <w:pPr>
              <w:pStyle w:val="6"/>
              <w:rPr>
                <w:rFonts w:hint="eastAsia" w:ascii="仿宋" w:hAnsi="仿宋" w:eastAsia="仿宋" w:cs="仿宋"/>
                <w:sz w:val="22"/>
                <w:szCs w:val="21"/>
                <w:lang w:val="en-US" w:eastAsia="zh-CN"/>
              </w:rPr>
            </w:pPr>
            <w:r>
              <w:rPr>
                <w:rFonts w:hint="eastAsia" w:ascii="仿宋" w:hAnsi="仿宋" w:eastAsia="仿宋" w:cs="仿宋"/>
                <w:sz w:val="22"/>
                <w:szCs w:val="22"/>
                <w:lang w:val="en-US" w:eastAsia="zh-CN"/>
              </w:rPr>
              <w:t>培训率100%</w:t>
            </w:r>
            <w:r>
              <w:rPr>
                <w:rFonts w:hint="eastAsia" w:ascii="仿宋" w:hAnsi="仿宋" w:eastAsia="仿宋" w:cs="仿宋"/>
                <w:sz w:val="22"/>
                <w:szCs w:val="22"/>
              </w:rPr>
              <w:t>；</w:t>
            </w:r>
            <w:r>
              <w:rPr>
                <w:rFonts w:hint="eastAsia" w:ascii="仿宋" w:hAnsi="仿宋" w:eastAsia="仿宋" w:cs="仿宋"/>
                <w:sz w:val="22"/>
                <w:szCs w:val="21"/>
                <w:lang w:val="en-US" w:eastAsia="zh-CN"/>
              </w:rPr>
              <w:t>成品优良率100%</w:t>
            </w:r>
            <w:r>
              <w:rPr>
                <w:rFonts w:hint="eastAsia" w:ascii="仿宋" w:hAnsi="仿宋" w:eastAsia="仿宋" w:cs="仿宋"/>
                <w:sz w:val="22"/>
                <w:szCs w:val="21"/>
                <w:lang w:eastAsia="zh-CN"/>
              </w:rPr>
              <w:t>；</w:t>
            </w:r>
            <w:r>
              <w:rPr>
                <w:rFonts w:hint="eastAsia" w:ascii="仿宋" w:hAnsi="仿宋" w:eastAsia="仿宋" w:cs="仿宋"/>
                <w:sz w:val="22"/>
                <w:szCs w:val="21"/>
                <w:lang w:val="en-US" w:eastAsia="zh-CN"/>
              </w:rPr>
              <w:t xml:space="preserve">数据分析100%；顾客满意度95%； 内审每年一次； 法律法规评价每年一次；  </w:t>
            </w:r>
          </w:p>
          <w:p>
            <w:pPr>
              <w:ind w:firstLine="440" w:firstLineChars="200"/>
              <w:rPr>
                <w:rFonts w:hint="eastAsia" w:ascii="仿宋" w:hAnsi="仿宋" w:eastAsia="仿宋" w:cs="仿宋"/>
                <w:sz w:val="22"/>
                <w:szCs w:val="22"/>
              </w:rPr>
            </w:pPr>
            <w:r>
              <w:rPr>
                <w:rFonts w:hint="eastAsia" w:ascii="仿宋" w:hAnsi="仿宋" w:eastAsia="仿宋" w:cs="仿宋"/>
                <w:sz w:val="22"/>
                <w:szCs w:val="22"/>
              </w:rPr>
              <w:t>目标可测量，与方针一致。</w:t>
            </w:r>
          </w:p>
          <w:p>
            <w:pPr>
              <w:ind w:firstLine="440" w:firstLineChars="200"/>
              <w:rPr>
                <w:rFonts w:hint="eastAsia" w:ascii="仿宋" w:hAnsi="仿宋" w:eastAsia="仿宋" w:cs="仿宋"/>
                <w:sz w:val="22"/>
                <w:szCs w:val="22"/>
              </w:rPr>
            </w:pPr>
            <w:r>
              <w:rPr>
                <w:rFonts w:hint="eastAsia" w:ascii="仿宋" w:hAnsi="仿宋" w:eastAsia="仿宋" w:cs="仿宋"/>
                <w:sz w:val="22"/>
                <w:szCs w:val="22"/>
                <w:lang w:val="en-US" w:eastAsia="zh-CN"/>
              </w:rPr>
              <w:t>查看2022年10月13日的自查表，目标有按要求完成。</w:t>
            </w:r>
          </w:p>
        </w:tc>
        <w:tc>
          <w:tcPr>
            <w:tcW w:w="1585" w:type="dxa"/>
          </w:tcPr>
          <w:p>
            <w:pPr>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916" w:type="dxa"/>
          </w:tcPr>
          <w:p>
            <w:pPr>
              <w:pStyle w:val="6"/>
              <w:ind w:left="0" w:leftChars="0" w:firstLine="0" w:firstLineChars="0"/>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人力资源管理(人员/能力)</w:t>
            </w:r>
          </w:p>
        </w:tc>
        <w:tc>
          <w:tcPr>
            <w:tcW w:w="1204" w:type="dxa"/>
          </w:tcPr>
          <w:p>
            <w:pPr>
              <w:pStyle w:val="6"/>
              <w:ind w:left="0" w:leftChars="0" w:firstLine="0" w:firstLineChars="0"/>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QEO7.1.2/7.2</w:t>
            </w:r>
          </w:p>
        </w:tc>
        <w:tc>
          <w:tcPr>
            <w:tcW w:w="10004" w:type="dxa"/>
            <w:vAlign w:val="center"/>
          </w:tcPr>
          <w:p>
            <w:pPr>
              <w:bidi w:val="0"/>
              <w:ind w:firstLine="440" w:firstLineChars="200"/>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组织管理人员和设计技术人员，人员配置基本能够满足需求。</w:t>
            </w:r>
          </w:p>
          <w:p>
            <w:pPr>
              <w:spacing w:line="280" w:lineRule="exact"/>
              <w:ind w:firstLine="440" w:firstLineChars="200"/>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组织对各岗位能力规定的要求包括了学历、工作经验、技能、培训经历等，基本符合能力确定的控制要求。抽查《岗位说明书》，均对相应岗位的职责与权限、能力要求作了具体规定，符合要求。</w:t>
            </w:r>
          </w:p>
          <w:p>
            <w:pPr>
              <w:pStyle w:val="6"/>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提供行业资质注册相关的人员能力证书情况，提供《登记台账》，查姚志伟，注册电气工程师（发输变电），有效期至2022年12月31日；俞昇森，一级注册结构工程师，有效期至2023年12月31日； 杨斌，注册咨询工程师（投资），有效期至 2023年12月31日；</w:t>
            </w:r>
          </w:p>
          <w:p>
            <w:pPr>
              <w:pStyle w:val="6"/>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 xml:space="preserve">培训实施，负责人介绍：培训主要分以下几种：参与上级组织的人员能力提升培训（泰仑集团和电力局）； 注册资质人员断续教育； 外派人员培训； </w:t>
            </w:r>
          </w:p>
          <w:p>
            <w:pPr>
              <w:pStyle w:val="6"/>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 xml:space="preserve">查5月13日，参与“湖电求是学堂暨青雁”第一期线上培训班，培训内容：《硬核写作-电力企业常见公文写作》，全员参与； </w:t>
            </w:r>
          </w:p>
          <w:p>
            <w:pPr>
              <w:pStyle w:val="6"/>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 xml:space="preserve">6月27-29日，举办2022年输变电工程技经基础知识培训班，培训内容：输变电工程技经基础知识、输变电工程现场造价管理、可研、初步评审评审问题及文件解读等； 参加人员：施康明、姚宁玥、王瑶等； </w:t>
            </w:r>
          </w:p>
          <w:p>
            <w:pPr>
              <w:pStyle w:val="6"/>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 xml:space="preserve">9月3-9日，关于举办2022年技能等级认定前培训，培训内容：继电保护员技师相关知识及技能； 外培人员：詹锐锋； </w:t>
            </w:r>
          </w:p>
          <w:p>
            <w:pPr>
              <w:pStyle w:val="6"/>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公司举办培训频次较高，也有相对的培训记录；但公司本级的培训计划安排较少。</w:t>
            </w:r>
          </w:p>
          <w:p>
            <w:pPr>
              <w:pStyle w:val="6"/>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从技术管理部葛霄云了解到，其对组织方针和所在工作岗位的质量、环境和职业健康安全目标基本熟悉，也了解自己的工作效益会影响组织质量、环境管理体系的有效运行。</w:t>
            </w:r>
          </w:p>
          <w:p>
            <w:pPr>
              <w:ind w:firstLine="440" w:firstLineChars="200"/>
              <w:rPr>
                <w:rFonts w:hint="eastAsia" w:ascii="仿宋" w:hAnsi="仿宋" w:eastAsia="仿宋" w:cs="仿宋"/>
                <w:sz w:val="22"/>
                <w:szCs w:val="22"/>
                <w:lang w:val="en-US" w:eastAsia="zh-CN"/>
              </w:rPr>
            </w:pPr>
          </w:p>
        </w:tc>
        <w:tc>
          <w:tcPr>
            <w:tcW w:w="1585" w:type="dxa"/>
          </w:tcPr>
          <w:p>
            <w:pPr>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916" w:type="dxa"/>
          </w:tcPr>
          <w:p>
            <w:pPr>
              <w:spacing w:line="280" w:lineRule="exac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过程运行环境</w:t>
            </w:r>
          </w:p>
        </w:tc>
        <w:tc>
          <w:tcPr>
            <w:tcW w:w="1204" w:type="dxa"/>
          </w:tcPr>
          <w:p>
            <w:pPr>
              <w:spacing w:line="280" w:lineRule="exac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Q7.1.4</w:t>
            </w:r>
          </w:p>
        </w:tc>
        <w:tc>
          <w:tcPr>
            <w:tcW w:w="10004" w:type="dxa"/>
            <w:vAlign w:val="center"/>
          </w:tcPr>
          <w:p>
            <w:pPr>
              <w:ind w:firstLine="440" w:firstLineChars="200"/>
              <w:rPr>
                <w:rFonts w:hint="eastAsia" w:ascii="仿宋" w:hAnsi="仿宋" w:eastAsia="仿宋" w:cs="仿宋"/>
                <w:bCs w:val="0"/>
                <w:spacing w:val="0"/>
                <w:kern w:val="2"/>
                <w:sz w:val="22"/>
                <w:szCs w:val="22"/>
                <w:lang w:val="en-US" w:eastAsia="zh-CN" w:bidi="ar-SA"/>
              </w:rPr>
            </w:pPr>
            <w:r>
              <w:rPr>
                <w:rFonts w:hint="eastAsia" w:ascii="仿宋" w:hAnsi="仿宋" w:eastAsia="仿宋" w:cs="仿宋"/>
                <w:bCs w:val="0"/>
                <w:spacing w:val="0"/>
                <w:kern w:val="2"/>
                <w:sz w:val="22"/>
                <w:szCs w:val="22"/>
                <w:lang w:val="en-US" w:eastAsia="zh-CN" w:bidi="ar-SA"/>
              </w:rPr>
              <w:t>公司设计过程，对环境要求无特殊要求，办公所处为办公楼内，公共场地由大楼物业负责保洁，办公环境和温湿度适中，办公人员对环境评价较高。</w:t>
            </w:r>
          </w:p>
        </w:tc>
        <w:tc>
          <w:tcPr>
            <w:tcW w:w="1585" w:type="dxa"/>
          </w:tcPr>
          <w:p>
            <w:pPr>
              <w:rPr>
                <w:rFonts w:hint="default" w:ascii="仿宋" w:hAnsi="仿宋" w:eastAsia="仿宋" w:cs="仿宋"/>
                <w:sz w:val="22"/>
                <w:szCs w:val="21"/>
                <w:lang w:val="en-US" w:eastAsia="zh-CN"/>
              </w:rPr>
            </w:pPr>
            <w:r>
              <w:rPr>
                <w:rFonts w:hint="eastAsia" w:ascii="仿宋" w:hAnsi="仿宋" w:eastAsia="仿宋" w:cs="仿宋"/>
                <w:sz w:val="22"/>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916" w:type="dxa"/>
          </w:tcPr>
          <w:p>
            <w:pPr>
              <w:spacing w:line="280" w:lineRule="exac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监视和测量资源</w:t>
            </w:r>
          </w:p>
        </w:tc>
        <w:tc>
          <w:tcPr>
            <w:tcW w:w="1204" w:type="dxa"/>
          </w:tcPr>
          <w:p>
            <w:pPr>
              <w:spacing w:line="280" w:lineRule="exac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Q7.1.5</w:t>
            </w:r>
          </w:p>
        </w:tc>
        <w:tc>
          <w:tcPr>
            <w:tcW w:w="10004" w:type="dxa"/>
            <w:vAlign w:val="center"/>
          </w:tcPr>
          <w:p>
            <w:pPr>
              <w:ind w:firstLine="440" w:firstLineChars="200"/>
              <w:rPr>
                <w:rFonts w:hint="default" w:ascii="仿宋" w:hAnsi="仿宋" w:eastAsia="仿宋" w:cs="仿宋"/>
                <w:bCs w:val="0"/>
                <w:spacing w:val="0"/>
                <w:kern w:val="2"/>
                <w:sz w:val="22"/>
                <w:szCs w:val="22"/>
                <w:lang w:val="en-US" w:eastAsia="zh-CN" w:bidi="ar-SA"/>
              </w:rPr>
            </w:pPr>
            <w:r>
              <w:rPr>
                <w:rFonts w:hint="eastAsia" w:ascii="仿宋" w:hAnsi="仿宋" w:eastAsia="仿宋" w:cs="仿宋"/>
                <w:bCs w:val="0"/>
                <w:spacing w:val="0"/>
                <w:kern w:val="2"/>
                <w:sz w:val="22"/>
                <w:szCs w:val="22"/>
                <w:lang w:val="en-US" w:eastAsia="zh-CN" w:bidi="ar-SA"/>
              </w:rPr>
              <w:t>勘测业务过程外包，设计和咨询过程无测量设备。</w:t>
            </w:r>
          </w:p>
        </w:tc>
        <w:tc>
          <w:tcPr>
            <w:tcW w:w="1585" w:type="dxa"/>
          </w:tcPr>
          <w:p>
            <w:pPr>
              <w:rPr>
                <w:rFonts w:hint="default" w:ascii="仿宋" w:hAnsi="仿宋" w:eastAsia="仿宋" w:cs="仿宋"/>
                <w:sz w:val="22"/>
                <w:szCs w:val="21"/>
                <w:lang w:val="en-US" w:eastAsia="zh-CN"/>
              </w:rPr>
            </w:pPr>
            <w:r>
              <w:rPr>
                <w:rFonts w:hint="eastAsia" w:ascii="仿宋" w:hAnsi="仿宋" w:eastAsia="仿宋" w:cs="仿宋"/>
                <w:sz w:val="22"/>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916" w:type="dxa"/>
          </w:tcPr>
          <w:p>
            <w:pPr>
              <w:spacing w:line="280" w:lineRule="exac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组织知识</w:t>
            </w:r>
          </w:p>
        </w:tc>
        <w:tc>
          <w:tcPr>
            <w:tcW w:w="1204" w:type="dxa"/>
          </w:tcPr>
          <w:p>
            <w:pPr>
              <w:spacing w:line="280" w:lineRule="exact"/>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Q7.1.6</w:t>
            </w:r>
          </w:p>
        </w:tc>
        <w:tc>
          <w:tcPr>
            <w:tcW w:w="10004" w:type="dxa"/>
            <w:vAlign w:val="center"/>
          </w:tcPr>
          <w:p>
            <w:pPr>
              <w:ind w:firstLine="440" w:firstLineChars="200"/>
              <w:rPr>
                <w:rFonts w:hint="default" w:ascii="仿宋" w:hAnsi="仿宋" w:eastAsia="仿宋" w:cs="仿宋"/>
                <w:bCs w:val="0"/>
                <w:spacing w:val="0"/>
                <w:kern w:val="2"/>
                <w:sz w:val="22"/>
                <w:szCs w:val="22"/>
                <w:lang w:val="en-US" w:eastAsia="zh-CN" w:bidi="ar-SA"/>
              </w:rPr>
            </w:pPr>
            <w:r>
              <w:rPr>
                <w:rFonts w:hint="eastAsia" w:ascii="仿宋" w:hAnsi="仿宋" w:eastAsia="仿宋" w:cs="仿宋"/>
                <w:bCs w:val="0"/>
                <w:spacing w:val="0"/>
                <w:kern w:val="2"/>
                <w:sz w:val="22"/>
                <w:szCs w:val="22"/>
                <w:lang w:val="en-US" w:eastAsia="zh-CN" w:bidi="ar-SA"/>
              </w:rPr>
              <w:t>设计和咨询服务过程，即为知识转化过程，公司重视对知识的管理。参与系统内和集团的相关业务培训，参与行业内业务交流会议和培训会议，持续关注人员注册资格继续教育及注册保持。设计和咨询成果档案化管理，保存知识档案化。</w:t>
            </w:r>
          </w:p>
        </w:tc>
        <w:tc>
          <w:tcPr>
            <w:tcW w:w="1585" w:type="dxa"/>
          </w:tcPr>
          <w:p>
            <w:pPr>
              <w:rPr>
                <w:rFonts w:hint="default" w:ascii="仿宋" w:hAnsi="仿宋" w:eastAsia="仿宋" w:cs="仿宋"/>
                <w:sz w:val="22"/>
                <w:szCs w:val="21"/>
                <w:lang w:val="en-US" w:eastAsia="zh-CN"/>
              </w:rPr>
            </w:pPr>
            <w:r>
              <w:rPr>
                <w:rFonts w:hint="eastAsia" w:ascii="仿宋" w:hAnsi="仿宋" w:eastAsia="仿宋" w:cs="仿宋"/>
                <w:sz w:val="22"/>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916" w:type="dxa"/>
            <w:vAlign w:val="top"/>
          </w:tcPr>
          <w:p>
            <w:pPr>
              <w:rPr>
                <w:rFonts w:hint="eastAsia" w:ascii="仿宋" w:hAnsi="仿宋" w:eastAsia="仿宋" w:cs="仿宋"/>
                <w:bCs w:val="0"/>
                <w:spacing w:val="0"/>
                <w:kern w:val="2"/>
                <w:sz w:val="22"/>
                <w:szCs w:val="22"/>
                <w:lang w:val="en-US" w:eastAsia="zh-CN" w:bidi="ar-SA"/>
              </w:rPr>
            </w:pPr>
            <w:r>
              <w:rPr>
                <w:rFonts w:hint="eastAsia" w:ascii="仿宋" w:hAnsi="仿宋" w:eastAsia="仿宋" w:cs="仿宋"/>
                <w:bCs w:val="0"/>
                <w:spacing w:val="0"/>
                <w:kern w:val="2"/>
                <w:sz w:val="22"/>
                <w:szCs w:val="22"/>
                <w:lang w:val="en-US" w:eastAsia="zh-CN" w:bidi="ar-SA"/>
              </w:rPr>
              <w:t>成文信息</w:t>
            </w:r>
          </w:p>
          <w:p>
            <w:pPr>
              <w:ind w:firstLine="440" w:firstLineChars="200"/>
              <w:rPr>
                <w:rFonts w:hint="eastAsia" w:ascii="仿宋" w:hAnsi="仿宋" w:eastAsia="仿宋" w:cs="仿宋"/>
                <w:bCs w:val="0"/>
                <w:spacing w:val="0"/>
                <w:kern w:val="2"/>
                <w:sz w:val="22"/>
                <w:szCs w:val="22"/>
                <w:lang w:val="en-US" w:eastAsia="zh-CN" w:bidi="ar-SA"/>
              </w:rPr>
            </w:pPr>
          </w:p>
        </w:tc>
        <w:tc>
          <w:tcPr>
            <w:tcW w:w="1204" w:type="dxa"/>
            <w:vAlign w:val="top"/>
          </w:tcPr>
          <w:p>
            <w:pPr>
              <w:rPr>
                <w:rFonts w:hint="eastAsia" w:ascii="仿宋" w:hAnsi="仿宋" w:eastAsia="仿宋" w:cs="仿宋"/>
                <w:bCs w:val="0"/>
                <w:spacing w:val="0"/>
                <w:kern w:val="2"/>
                <w:sz w:val="22"/>
                <w:szCs w:val="22"/>
                <w:lang w:val="en-US" w:eastAsia="zh-CN" w:bidi="ar-SA"/>
              </w:rPr>
            </w:pPr>
            <w:r>
              <w:rPr>
                <w:rFonts w:hint="eastAsia" w:ascii="仿宋" w:hAnsi="仿宋" w:eastAsia="仿宋" w:cs="仿宋"/>
                <w:bCs w:val="0"/>
                <w:spacing w:val="0"/>
                <w:kern w:val="2"/>
                <w:sz w:val="22"/>
                <w:szCs w:val="22"/>
                <w:lang w:val="en-US" w:eastAsia="zh-CN" w:bidi="ar-SA"/>
              </w:rPr>
              <w:t>QEO7.5</w:t>
            </w:r>
          </w:p>
          <w:p>
            <w:pPr>
              <w:rPr>
                <w:rFonts w:hint="default" w:ascii="仿宋" w:hAnsi="仿宋" w:eastAsia="仿宋" w:cs="仿宋"/>
                <w:bCs w:val="0"/>
                <w:spacing w:val="0"/>
                <w:kern w:val="2"/>
                <w:sz w:val="22"/>
                <w:szCs w:val="22"/>
                <w:lang w:val="en-US" w:eastAsia="zh-CN" w:bidi="ar-SA"/>
              </w:rPr>
            </w:pPr>
            <w:r>
              <w:rPr>
                <w:rFonts w:hint="eastAsia" w:ascii="仿宋" w:hAnsi="仿宋" w:eastAsia="仿宋" w:cs="仿宋"/>
                <w:bCs w:val="0"/>
                <w:spacing w:val="0"/>
                <w:kern w:val="2"/>
                <w:sz w:val="22"/>
                <w:szCs w:val="22"/>
                <w:lang w:val="en-US" w:eastAsia="zh-CN" w:bidi="ar-SA"/>
              </w:rPr>
              <w:t>EO6.1.3</w:t>
            </w:r>
          </w:p>
          <w:p>
            <w:pPr>
              <w:ind w:firstLine="440" w:firstLineChars="200"/>
              <w:rPr>
                <w:rFonts w:hint="eastAsia" w:ascii="仿宋" w:hAnsi="仿宋" w:eastAsia="仿宋" w:cs="仿宋"/>
                <w:bCs w:val="0"/>
                <w:spacing w:val="0"/>
                <w:kern w:val="2"/>
                <w:sz w:val="22"/>
                <w:szCs w:val="22"/>
                <w:lang w:val="en-US" w:eastAsia="zh-CN" w:bidi="ar-SA"/>
              </w:rPr>
            </w:pPr>
          </w:p>
        </w:tc>
        <w:tc>
          <w:tcPr>
            <w:tcW w:w="10004" w:type="dxa"/>
            <w:vAlign w:val="center"/>
          </w:tcPr>
          <w:p>
            <w:pPr>
              <w:ind w:firstLine="440" w:firstLineChars="200"/>
              <w:rPr>
                <w:rFonts w:hint="eastAsia" w:ascii="仿宋" w:hAnsi="仿宋" w:eastAsia="仿宋" w:cs="仿宋"/>
                <w:bCs w:val="0"/>
                <w:spacing w:val="0"/>
                <w:kern w:val="2"/>
                <w:sz w:val="22"/>
                <w:szCs w:val="22"/>
                <w:lang w:val="en-US" w:eastAsia="zh-CN" w:bidi="ar-SA"/>
              </w:rPr>
            </w:pPr>
            <w:r>
              <w:rPr>
                <w:rFonts w:hint="eastAsia" w:ascii="仿宋" w:hAnsi="仿宋" w:eastAsia="仿宋" w:cs="仿宋"/>
                <w:bCs w:val="0"/>
                <w:spacing w:val="0"/>
                <w:kern w:val="2"/>
                <w:sz w:val="22"/>
                <w:szCs w:val="22"/>
                <w:lang w:val="en-US" w:eastAsia="zh-CN" w:bidi="ar-SA"/>
              </w:rPr>
              <w:t>公司形成了文件化的管理手册、程序文件、管理制度以及所要求的记录。公司编制的程序文件基本符合标准要求的所有程序文件，对体系及其相互关系在手册中做了描述，记录表单满足公司目前的质量体系运行的需要。</w:t>
            </w:r>
          </w:p>
          <w:p>
            <w:pPr>
              <w:ind w:firstLine="440" w:firstLineChars="200"/>
              <w:rPr>
                <w:rFonts w:hint="eastAsia" w:ascii="仿宋" w:hAnsi="仿宋" w:eastAsia="仿宋" w:cs="仿宋"/>
                <w:bCs w:val="0"/>
                <w:spacing w:val="0"/>
                <w:kern w:val="2"/>
                <w:sz w:val="22"/>
                <w:szCs w:val="22"/>
                <w:lang w:val="en-US" w:eastAsia="zh-CN" w:bidi="ar-SA"/>
              </w:rPr>
            </w:pPr>
            <w:r>
              <w:rPr>
                <w:rFonts w:hint="eastAsia" w:ascii="仿宋" w:hAnsi="仿宋" w:eastAsia="仿宋" w:cs="仿宋"/>
                <w:bCs w:val="0"/>
                <w:spacing w:val="0"/>
                <w:kern w:val="2"/>
                <w:sz w:val="22"/>
                <w:szCs w:val="22"/>
                <w:lang w:val="en-US" w:eastAsia="zh-CN" w:bidi="ar-SA"/>
              </w:rPr>
              <w:t>公司文件分类：一级文件：管理手册。</w:t>
            </w:r>
          </w:p>
          <w:p>
            <w:pPr>
              <w:ind w:firstLine="440" w:firstLineChars="200"/>
              <w:rPr>
                <w:rFonts w:hint="eastAsia" w:ascii="仿宋" w:hAnsi="仿宋" w:eastAsia="仿宋" w:cs="仿宋"/>
                <w:bCs w:val="0"/>
                <w:spacing w:val="0"/>
                <w:kern w:val="2"/>
                <w:sz w:val="22"/>
                <w:szCs w:val="22"/>
                <w:lang w:val="en-US" w:eastAsia="zh-CN" w:bidi="ar-SA"/>
              </w:rPr>
            </w:pPr>
            <w:r>
              <w:rPr>
                <w:rFonts w:hint="eastAsia" w:ascii="仿宋" w:hAnsi="仿宋" w:eastAsia="仿宋" w:cs="仿宋"/>
                <w:bCs w:val="0"/>
                <w:spacing w:val="0"/>
                <w:kern w:val="2"/>
                <w:sz w:val="22"/>
                <w:szCs w:val="22"/>
                <w:lang w:val="en-US" w:eastAsia="zh-CN" w:bidi="ar-SA"/>
              </w:rPr>
              <w:t>二级文件：公司编制了程序文件，包括质量、环境、职业健康安全标准要求的所有程序。</w:t>
            </w:r>
          </w:p>
          <w:p>
            <w:pPr>
              <w:ind w:firstLine="440" w:firstLineChars="200"/>
              <w:rPr>
                <w:rFonts w:hint="eastAsia" w:ascii="仿宋" w:hAnsi="仿宋" w:eastAsia="仿宋" w:cs="仿宋"/>
                <w:bCs w:val="0"/>
                <w:spacing w:val="0"/>
                <w:kern w:val="2"/>
                <w:sz w:val="22"/>
                <w:szCs w:val="22"/>
                <w:lang w:val="en-US" w:eastAsia="zh-CN" w:bidi="ar-SA"/>
              </w:rPr>
            </w:pPr>
            <w:r>
              <w:rPr>
                <w:rFonts w:hint="eastAsia" w:ascii="仿宋" w:hAnsi="仿宋" w:eastAsia="仿宋" w:cs="仿宋"/>
                <w:bCs w:val="0"/>
                <w:spacing w:val="0"/>
                <w:kern w:val="2"/>
                <w:sz w:val="22"/>
                <w:szCs w:val="22"/>
                <w:lang w:val="en-US" w:eastAsia="zh-CN" w:bidi="ar-SA"/>
              </w:rPr>
              <w:t>三层次文件：管理制度，外来文件：包括物业管理规程、秩序维护相关的管理制度与基础设施维保、工程管理实施细则等，环境、职业健康安全及运行记录，满足公司目前的管理体系运行的需要。体系文件基本能保证有效性和效率的要求。</w:t>
            </w:r>
          </w:p>
          <w:p>
            <w:pPr>
              <w:ind w:firstLine="440" w:firstLineChars="200"/>
              <w:rPr>
                <w:rFonts w:hint="eastAsia" w:ascii="仿宋" w:hAnsi="仿宋" w:eastAsia="仿宋" w:cs="仿宋"/>
                <w:bCs w:val="0"/>
                <w:spacing w:val="0"/>
                <w:kern w:val="2"/>
                <w:sz w:val="22"/>
                <w:szCs w:val="22"/>
                <w:lang w:val="en-US" w:eastAsia="zh-CN" w:bidi="ar-SA"/>
              </w:rPr>
            </w:pPr>
            <w:r>
              <w:rPr>
                <w:rFonts w:hint="eastAsia" w:ascii="仿宋" w:hAnsi="仿宋" w:eastAsia="仿宋" w:cs="仿宋"/>
                <w:bCs w:val="0"/>
                <w:spacing w:val="0"/>
                <w:kern w:val="2"/>
                <w:sz w:val="22"/>
                <w:szCs w:val="22"/>
                <w:lang w:val="en-US" w:eastAsia="zh-CN" w:bidi="ar-SA"/>
              </w:rPr>
              <w:t>查公司按照文审要求对管理手册进行了修改，符合要求。</w:t>
            </w:r>
          </w:p>
          <w:p>
            <w:pPr>
              <w:ind w:firstLine="440" w:firstLineChars="200"/>
              <w:rPr>
                <w:rFonts w:hint="eastAsia" w:ascii="仿宋" w:hAnsi="仿宋" w:eastAsia="仿宋" w:cs="仿宋"/>
                <w:bCs w:val="0"/>
                <w:spacing w:val="0"/>
                <w:kern w:val="2"/>
                <w:sz w:val="22"/>
                <w:szCs w:val="22"/>
                <w:lang w:val="en-US" w:eastAsia="zh-CN" w:bidi="ar-SA"/>
              </w:rPr>
            </w:pPr>
            <w:r>
              <w:rPr>
                <w:rFonts w:hint="eastAsia" w:ascii="仿宋" w:hAnsi="仿宋" w:eastAsia="仿宋" w:cs="仿宋"/>
                <w:bCs w:val="0"/>
                <w:spacing w:val="0"/>
                <w:kern w:val="2"/>
                <w:sz w:val="22"/>
                <w:szCs w:val="22"/>
                <w:lang w:val="en-US" w:eastAsia="zh-CN" w:bidi="ar-SA"/>
              </w:rPr>
              <w:t>公司编制并实施了《文件控制程序》，文件包括：管理手册、程序文件、各种管理制度等。</w:t>
            </w:r>
          </w:p>
          <w:p>
            <w:pPr>
              <w:ind w:firstLine="440" w:firstLineChars="200"/>
              <w:rPr>
                <w:rFonts w:hint="eastAsia" w:ascii="仿宋" w:hAnsi="仿宋" w:eastAsia="仿宋" w:cs="仿宋"/>
                <w:bCs w:val="0"/>
                <w:spacing w:val="0"/>
                <w:kern w:val="2"/>
                <w:sz w:val="22"/>
                <w:szCs w:val="22"/>
                <w:lang w:val="en-US" w:eastAsia="zh-CN" w:bidi="ar-SA"/>
              </w:rPr>
            </w:pPr>
            <w:r>
              <w:rPr>
                <w:rFonts w:hint="eastAsia" w:ascii="仿宋" w:hAnsi="仿宋" w:eastAsia="仿宋" w:cs="仿宋"/>
                <w:bCs w:val="0"/>
                <w:spacing w:val="0"/>
                <w:kern w:val="2"/>
                <w:sz w:val="22"/>
                <w:szCs w:val="22"/>
                <w:lang w:val="en-US" w:eastAsia="zh-CN" w:bidi="ar-SA"/>
              </w:rPr>
              <w:t>电力设计主要依据国网公司的企业标准及行业标准，如：Q/GDW270-2009《220千伏及110(66)千伏输变电工程可行性研究内容深度规定》、《国家电网有限公司输变电工程通用设计浙江公司实施方案》、《电力系统无功补偿配置原则》、《浙江电网规划设计技术原则》等。</w:t>
            </w:r>
          </w:p>
          <w:p>
            <w:pPr>
              <w:ind w:firstLine="440" w:firstLineChars="200"/>
              <w:rPr>
                <w:rFonts w:hint="eastAsia" w:ascii="仿宋" w:hAnsi="仿宋" w:eastAsia="仿宋" w:cs="仿宋"/>
                <w:bCs w:val="0"/>
                <w:spacing w:val="0"/>
                <w:kern w:val="2"/>
                <w:sz w:val="22"/>
                <w:szCs w:val="22"/>
                <w:lang w:val="en-US" w:eastAsia="zh-CN" w:bidi="ar-SA"/>
              </w:rPr>
            </w:pPr>
            <w:r>
              <w:rPr>
                <w:rFonts w:hint="eastAsia" w:ascii="仿宋" w:hAnsi="仿宋" w:eastAsia="仿宋" w:cs="仿宋"/>
                <w:bCs w:val="0"/>
                <w:spacing w:val="0"/>
                <w:kern w:val="2"/>
                <w:sz w:val="22"/>
                <w:szCs w:val="22"/>
                <w:lang w:val="en-US" w:eastAsia="zh-CN" w:bidi="ar-SA"/>
              </w:rPr>
              <w:t>查管理手册、程序文件等文件，编制：编制小组，审核：郑伟，批准：蒋建杰，2022年7月1日，查文件编审批手续齐全、文件清晰、编号符合文件控制程序要求。查办公室文件，都有受控标识，有效版本。</w:t>
            </w:r>
          </w:p>
          <w:p>
            <w:pPr>
              <w:ind w:firstLine="440" w:firstLineChars="200"/>
              <w:rPr>
                <w:rFonts w:hint="eastAsia" w:ascii="仿宋" w:hAnsi="仿宋" w:eastAsia="仿宋" w:cs="仿宋"/>
                <w:bCs w:val="0"/>
                <w:spacing w:val="0"/>
                <w:kern w:val="2"/>
                <w:sz w:val="22"/>
                <w:szCs w:val="22"/>
                <w:lang w:val="en-US" w:eastAsia="zh-CN" w:bidi="ar-SA"/>
              </w:rPr>
            </w:pPr>
            <w:r>
              <w:rPr>
                <w:rFonts w:hint="eastAsia" w:ascii="仿宋" w:hAnsi="仿宋" w:eastAsia="仿宋" w:cs="仿宋"/>
                <w:bCs w:val="0"/>
                <w:spacing w:val="0"/>
                <w:kern w:val="2"/>
                <w:sz w:val="22"/>
                <w:szCs w:val="22"/>
                <w:lang w:val="en-US" w:eastAsia="zh-CN" w:bidi="ar-SA"/>
              </w:rPr>
              <w:t>查外来文件：与产品要求和质量、环境、职业健康安全管理体系运行有关的国家法律法规、标准等；行业、地方颁布的条例、标准、规范、规程、办法等，查外来文件具体有质量管理体系标准、环境管理体系标准、职业健康安全管理体系标准等。但未《中华人民共和国民法典》、DL/T 5003-2017《电力系统调度自动化设计技术规程》、DL/T 5002-2005《地区电网调度自动化设计技术规程》等设计服务过程相关的外来文件。</w:t>
            </w:r>
          </w:p>
          <w:p>
            <w:pPr>
              <w:ind w:firstLine="440" w:firstLineChars="200"/>
              <w:rPr>
                <w:rFonts w:hint="default" w:ascii="仿宋" w:hAnsi="仿宋" w:eastAsia="仿宋" w:cs="仿宋"/>
                <w:bCs w:val="0"/>
                <w:color w:val="FF0000"/>
                <w:spacing w:val="0"/>
                <w:kern w:val="2"/>
                <w:sz w:val="22"/>
                <w:szCs w:val="22"/>
                <w:lang w:val="en-US" w:eastAsia="zh-CN" w:bidi="ar-SA"/>
              </w:rPr>
            </w:pPr>
            <w:r>
              <w:rPr>
                <w:rFonts w:hint="eastAsia" w:ascii="仿宋" w:hAnsi="仿宋" w:eastAsia="仿宋" w:cs="仿宋"/>
                <w:bCs w:val="0"/>
                <w:color w:val="FF0000"/>
                <w:spacing w:val="0"/>
                <w:kern w:val="2"/>
                <w:sz w:val="22"/>
                <w:szCs w:val="22"/>
                <w:lang w:val="en-US" w:eastAsia="zh-CN" w:bidi="ar-SA"/>
              </w:rPr>
              <w:t>提供</w:t>
            </w:r>
            <w:r>
              <w:rPr>
                <w:rFonts w:hint="default" w:ascii="仿宋" w:hAnsi="仿宋" w:eastAsia="仿宋" w:cs="仿宋"/>
                <w:bCs w:val="0"/>
                <w:color w:val="FF0000"/>
                <w:spacing w:val="0"/>
                <w:kern w:val="2"/>
                <w:sz w:val="22"/>
                <w:szCs w:val="22"/>
                <w:lang w:val="en-US" w:eastAsia="zh-CN" w:bidi="ar-SA"/>
              </w:rPr>
              <w:t>法律法规</w:t>
            </w:r>
            <w:r>
              <w:rPr>
                <w:rFonts w:hint="eastAsia" w:ascii="仿宋" w:hAnsi="仿宋" w:eastAsia="仿宋" w:cs="仿宋"/>
                <w:bCs w:val="0"/>
                <w:color w:val="FF0000"/>
                <w:spacing w:val="0"/>
                <w:kern w:val="2"/>
                <w:sz w:val="22"/>
                <w:szCs w:val="22"/>
                <w:lang w:val="en-US" w:eastAsia="zh-CN" w:bidi="ar-SA"/>
              </w:rPr>
              <w:t>清单，</w:t>
            </w:r>
            <w:r>
              <w:rPr>
                <w:rFonts w:hint="default" w:ascii="仿宋" w:hAnsi="仿宋" w:eastAsia="仿宋" w:cs="仿宋"/>
                <w:bCs w:val="0"/>
                <w:color w:val="FF0000"/>
                <w:spacing w:val="0"/>
                <w:kern w:val="2"/>
                <w:sz w:val="22"/>
                <w:szCs w:val="22"/>
                <w:lang w:val="en-US" w:eastAsia="zh-CN" w:bidi="ar-SA"/>
              </w:rPr>
              <w:t>未列入与</w:t>
            </w:r>
            <w:r>
              <w:rPr>
                <w:rFonts w:hint="eastAsia" w:ascii="仿宋" w:hAnsi="仿宋" w:eastAsia="仿宋" w:cs="仿宋"/>
                <w:bCs w:val="0"/>
                <w:color w:val="FF0000"/>
                <w:spacing w:val="0"/>
                <w:kern w:val="2"/>
                <w:sz w:val="22"/>
                <w:szCs w:val="22"/>
                <w:lang w:val="en-US" w:eastAsia="zh-CN" w:bidi="ar-SA"/>
              </w:rPr>
              <w:t>健康安全</w:t>
            </w:r>
            <w:r>
              <w:rPr>
                <w:rFonts w:hint="default" w:ascii="仿宋" w:hAnsi="仿宋" w:eastAsia="仿宋" w:cs="仿宋"/>
                <w:bCs w:val="0"/>
                <w:color w:val="FF0000"/>
                <w:spacing w:val="0"/>
                <w:kern w:val="2"/>
                <w:sz w:val="22"/>
                <w:szCs w:val="22"/>
                <w:lang w:val="en-US" w:eastAsia="zh-CN" w:bidi="ar-SA"/>
              </w:rPr>
              <w:t>相关的标准及法规：《工作场所职业卫生管理规定》、《生产经营单位生产安全事故应急预案编制导则》等；</w:t>
            </w:r>
            <w:r>
              <w:rPr>
                <w:rFonts w:hint="eastAsia" w:ascii="仿宋" w:hAnsi="仿宋" w:eastAsia="仿宋" w:cs="仿宋"/>
                <w:bCs w:val="0"/>
                <w:color w:val="FF0000"/>
                <w:spacing w:val="0"/>
                <w:kern w:val="2"/>
                <w:sz w:val="22"/>
                <w:szCs w:val="22"/>
                <w:lang w:val="en-US" w:eastAsia="zh-CN" w:bidi="ar-SA"/>
              </w:rPr>
              <w:t>列入的</w:t>
            </w:r>
            <w:r>
              <w:rPr>
                <w:rFonts w:hint="default" w:ascii="仿宋" w:hAnsi="仿宋" w:eastAsia="仿宋" w:cs="仿宋"/>
                <w:color w:val="FF0000"/>
                <w:sz w:val="22"/>
                <w:szCs w:val="22"/>
                <w:lang w:val="en-US" w:eastAsia="zh-CN"/>
              </w:rPr>
              <w:t>《中华人民共和国安全生产法》</w:t>
            </w:r>
            <w:r>
              <w:rPr>
                <w:rFonts w:hint="eastAsia" w:ascii="仿宋" w:hAnsi="仿宋" w:eastAsia="仿宋" w:cs="仿宋"/>
                <w:color w:val="FF0000"/>
                <w:sz w:val="22"/>
                <w:szCs w:val="22"/>
                <w:lang w:val="en-US" w:eastAsia="zh-CN"/>
              </w:rPr>
              <w:t>不是有效的2021版</w:t>
            </w:r>
            <w:r>
              <w:rPr>
                <w:rFonts w:hint="eastAsia" w:ascii="仿宋" w:hAnsi="仿宋" w:eastAsia="仿宋" w:cs="仿宋"/>
                <w:bCs w:val="0"/>
                <w:color w:val="FF0000"/>
                <w:spacing w:val="0"/>
                <w:kern w:val="2"/>
                <w:sz w:val="22"/>
                <w:szCs w:val="22"/>
                <w:lang w:val="en-US" w:eastAsia="zh-CN" w:bidi="ar-SA"/>
              </w:rPr>
              <w:t>。</w:t>
            </w:r>
          </w:p>
          <w:p>
            <w:pPr>
              <w:ind w:firstLine="440" w:firstLineChars="200"/>
              <w:rPr>
                <w:rFonts w:hint="eastAsia" w:ascii="仿宋" w:hAnsi="仿宋" w:eastAsia="仿宋" w:cs="仿宋"/>
                <w:bCs w:val="0"/>
                <w:spacing w:val="0"/>
                <w:kern w:val="2"/>
                <w:sz w:val="22"/>
                <w:szCs w:val="22"/>
                <w:lang w:val="en-US" w:eastAsia="zh-CN" w:bidi="ar-SA"/>
              </w:rPr>
            </w:pPr>
            <w:r>
              <w:rPr>
                <w:rFonts w:hint="eastAsia" w:ascii="仿宋" w:hAnsi="仿宋" w:eastAsia="仿宋" w:cs="仿宋"/>
                <w:bCs w:val="0"/>
                <w:spacing w:val="0"/>
                <w:kern w:val="2"/>
                <w:sz w:val="22"/>
                <w:szCs w:val="22"/>
                <w:lang w:val="en-US" w:eastAsia="zh-CN" w:bidi="ar-SA"/>
              </w:rPr>
              <w:t>查文件发放：办公室2022年7月1日下发了管理手册、程序文件、管理制度汇编等文件。</w:t>
            </w:r>
          </w:p>
          <w:p>
            <w:pPr>
              <w:ind w:firstLine="440" w:firstLineChars="200"/>
              <w:rPr>
                <w:rFonts w:hint="eastAsia" w:ascii="仿宋" w:hAnsi="仿宋" w:eastAsia="仿宋" w:cs="仿宋"/>
                <w:bCs w:val="0"/>
                <w:spacing w:val="0"/>
                <w:kern w:val="2"/>
                <w:sz w:val="22"/>
                <w:szCs w:val="22"/>
                <w:lang w:val="en-US" w:eastAsia="zh-CN" w:bidi="ar-SA"/>
              </w:rPr>
            </w:pPr>
            <w:r>
              <w:rPr>
                <w:rFonts w:hint="eastAsia" w:ascii="仿宋" w:hAnsi="仿宋" w:eastAsia="仿宋" w:cs="仿宋"/>
                <w:bCs w:val="0"/>
                <w:spacing w:val="0"/>
                <w:kern w:val="2"/>
                <w:sz w:val="22"/>
                <w:szCs w:val="22"/>
                <w:lang w:val="en-US" w:eastAsia="zh-CN" w:bidi="ar-SA"/>
              </w:rPr>
              <w:t>查办公室文件有标识，检索方便，文件夹存放于文件柜内，防护符合要求。</w:t>
            </w:r>
          </w:p>
          <w:p>
            <w:pPr>
              <w:ind w:firstLine="440" w:firstLineChars="200"/>
              <w:rPr>
                <w:rFonts w:hint="eastAsia" w:ascii="仿宋" w:hAnsi="仿宋" w:eastAsia="仿宋" w:cs="仿宋"/>
                <w:bCs w:val="0"/>
                <w:spacing w:val="0"/>
                <w:kern w:val="2"/>
                <w:sz w:val="22"/>
                <w:szCs w:val="22"/>
                <w:lang w:val="en-US" w:eastAsia="zh-CN" w:bidi="ar-SA"/>
              </w:rPr>
            </w:pPr>
            <w:r>
              <w:rPr>
                <w:rFonts w:hint="eastAsia" w:ascii="仿宋" w:hAnsi="仿宋" w:eastAsia="仿宋" w:cs="仿宋"/>
                <w:bCs w:val="0"/>
                <w:spacing w:val="0"/>
                <w:kern w:val="2"/>
                <w:sz w:val="22"/>
                <w:szCs w:val="22"/>
                <w:lang w:val="en-US" w:eastAsia="zh-CN" w:bidi="ar-SA"/>
              </w:rPr>
              <w:t>公司编制并实施了《记录控制程序》对管理体系记录的标识、贮存、保护、检索、保存期限和处置等作了明确规定，符合要求。公司提供《记录一览表》—有内审报告、供方评价表、采购清单、管理评审报告等记录。明确了记录名称、编号、使用保存部门、保存期限等，并经审核后使用。公司各种记录由各使用部门保存，查阅办公室保存的记录环境情况，归档文件、记录存放于通风、干燥、防蛀的文件柜内，环境干燥、通风，符合文件归档的要求。</w:t>
            </w:r>
          </w:p>
          <w:p>
            <w:pPr>
              <w:ind w:firstLine="440" w:firstLineChars="200"/>
              <w:rPr>
                <w:rFonts w:hint="eastAsia" w:ascii="仿宋" w:hAnsi="仿宋" w:eastAsia="仿宋" w:cs="仿宋"/>
                <w:bCs w:val="0"/>
                <w:spacing w:val="0"/>
                <w:kern w:val="2"/>
                <w:sz w:val="22"/>
                <w:szCs w:val="22"/>
                <w:lang w:val="en-US" w:eastAsia="zh-CN" w:bidi="ar-SA"/>
              </w:rPr>
            </w:pPr>
            <w:r>
              <w:rPr>
                <w:rFonts w:hint="eastAsia" w:ascii="仿宋" w:hAnsi="仿宋" w:eastAsia="仿宋" w:cs="仿宋"/>
                <w:bCs w:val="0"/>
                <w:spacing w:val="0"/>
                <w:kern w:val="2"/>
                <w:sz w:val="22"/>
                <w:szCs w:val="22"/>
                <w:lang w:val="en-US" w:eastAsia="zh-CN" w:bidi="ar-SA"/>
              </w:rPr>
              <w:t>抽查归档文件整理情况，办公室已将文件进行了分类，按文件的名称、编号及时间装文件袋进行归档，文件较清洁，字迹清晰，检索方便，抽查有内部审核资料、管理评审资料等，均已装订成册。</w:t>
            </w:r>
          </w:p>
          <w:p>
            <w:pPr>
              <w:ind w:firstLine="440" w:firstLineChars="200"/>
              <w:rPr>
                <w:rFonts w:hint="eastAsia" w:ascii="仿宋" w:hAnsi="仿宋" w:eastAsia="仿宋" w:cs="仿宋"/>
                <w:bCs w:val="0"/>
                <w:spacing w:val="0"/>
                <w:kern w:val="2"/>
                <w:sz w:val="22"/>
                <w:szCs w:val="22"/>
                <w:lang w:val="en-US" w:eastAsia="zh-CN" w:bidi="ar-SA"/>
              </w:rPr>
            </w:pPr>
            <w:r>
              <w:rPr>
                <w:rFonts w:hint="eastAsia" w:ascii="仿宋" w:hAnsi="仿宋" w:eastAsia="仿宋" w:cs="仿宋"/>
                <w:bCs w:val="0"/>
                <w:spacing w:val="0"/>
                <w:kern w:val="2"/>
                <w:sz w:val="22"/>
                <w:szCs w:val="22"/>
                <w:lang w:val="en-US" w:eastAsia="zh-CN" w:bidi="ar-SA"/>
              </w:rPr>
              <w:t>外来记录（如顾客投诉记录等）由相关部门负责保管、归档。</w:t>
            </w:r>
          </w:p>
          <w:p>
            <w:pPr>
              <w:ind w:firstLine="440" w:firstLineChars="200"/>
              <w:rPr>
                <w:rFonts w:hint="eastAsia" w:ascii="仿宋" w:hAnsi="仿宋" w:eastAsia="仿宋" w:cs="仿宋"/>
                <w:bCs w:val="0"/>
                <w:spacing w:val="0"/>
                <w:kern w:val="2"/>
                <w:sz w:val="22"/>
                <w:szCs w:val="22"/>
                <w:lang w:val="en-US" w:eastAsia="zh-CN" w:bidi="ar-SA"/>
              </w:rPr>
            </w:pPr>
            <w:r>
              <w:rPr>
                <w:rFonts w:hint="eastAsia" w:ascii="仿宋" w:hAnsi="仿宋" w:eastAsia="仿宋" w:cs="仿宋"/>
                <w:bCs w:val="0"/>
                <w:spacing w:val="0"/>
                <w:kern w:val="2"/>
                <w:sz w:val="22"/>
                <w:szCs w:val="22"/>
                <w:lang w:val="en-US" w:eastAsia="zh-CN" w:bidi="ar-SA"/>
              </w:rPr>
              <w:t>原件记录原则上不外借，其它记录查阅时须有关部门同意后，方可查阅。</w:t>
            </w:r>
          </w:p>
          <w:p>
            <w:pPr>
              <w:ind w:firstLine="440" w:firstLineChars="200"/>
              <w:rPr>
                <w:rFonts w:hint="eastAsia" w:ascii="仿宋" w:hAnsi="仿宋" w:eastAsia="仿宋" w:cs="仿宋"/>
                <w:bCs w:val="0"/>
                <w:spacing w:val="0"/>
                <w:kern w:val="2"/>
                <w:sz w:val="22"/>
                <w:szCs w:val="22"/>
                <w:lang w:val="en-US" w:eastAsia="zh-CN" w:bidi="ar-SA"/>
              </w:rPr>
            </w:pPr>
            <w:r>
              <w:rPr>
                <w:rFonts w:hint="eastAsia" w:ascii="仿宋" w:hAnsi="仿宋" w:eastAsia="仿宋" w:cs="仿宋"/>
                <w:bCs w:val="0"/>
                <w:spacing w:val="0"/>
                <w:kern w:val="2"/>
                <w:sz w:val="22"/>
                <w:szCs w:val="22"/>
                <w:lang w:val="en-US" w:eastAsia="zh-CN" w:bidi="ar-SA"/>
              </w:rPr>
              <w:t>记录控制基本有效。</w:t>
            </w:r>
          </w:p>
        </w:tc>
        <w:tc>
          <w:tcPr>
            <w:tcW w:w="1585" w:type="dxa"/>
          </w:tcPr>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default"/>
                <w:lang w:val="en-US" w:eastAsia="zh-CN"/>
              </w:rPr>
            </w:pPr>
            <w:r>
              <w:rPr>
                <w:rFonts w:hint="eastAsia"/>
                <w:lang w:val="en-US" w:eastAsia="zh-CN"/>
              </w:rPr>
              <w:t>Y</w:t>
            </w: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default"/>
                <w:lang w:val="en-US" w:eastAsia="zh-CN"/>
              </w:rPr>
            </w:pPr>
          </w:p>
          <w:p>
            <w:pPr>
              <w:pStyle w:val="5"/>
              <w:rPr>
                <w:rFonts w:hint="default"/>
                <w:lang w:val="en-US" w:eastAsia="zh-CN"/>
              </w:rPr>
            </w:pPr>
          </w:p>
          <w:p>
            <w:pPr>
              <w:rPr>
                <w:rFonts w:hint="default"/>
                <w:lang w:val="en-US" w:eastAsia="zh-CN"/>
              </w:rPr>
            </w:pPr>
            <w:r>
              <w:rPr>
                <w:rFonts w:hint="eastAsia" w:ascii="仿宋" w:hAnsi="仿宋" w:eastAsia="仿宋" w:cs="仿宋"/>
                <w:bCs w:val="0"/>
                <w:spacing w:val="0"/>
                <w:kern w:val="2"/>
                <w:sz w:val="22"/>
                <w:szCs w:val="22"/>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916" w:type="dxa"/>
            <w:vAlign w:val="top"/>
          </w:tcPr>
          <w:p>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标识和可追溯性</w:t>
            </w:r>
          </w:p>
        </w:tc>
        <w:tc>
          <w:tcPr>
            <w:tcW w:w="1204" w:type="dxa"/>
            <w:vAlign w:val="top"/>
          </w:tcPr>
          <w:p>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Q8.5.2</w:t>
            </w:r>
          </w:p>
        </w:tc>
        <w:tc>
          <w:tcPr>
            <w:tcW w:w="10004" w:type="dxa"/>
            <w:vAlign w:val="center"/>
          </w:tcPr>
          <w:p>
            <w:pPr>
              <w:spacing w:line="280" w:lineRule="exact"/>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 xml:space="preserve">  设计和咨询过程主要在办公场所完成，办公场所标识清晰；提供的采购合同和销售合同有编号，设计和咨询成果（图纸和报告）有编号，并入公司档案，见每个项目的编号，有统一的清单，可实现项目追溯。</w:t>
            </w:r>
          </w:p>
        </w:tc>
        <w:tc>
          <w:tcPr>
            <w:tcW w:w="1585" w:type="dxa"/>
          </w:tcPr>
          <w:p>
            <w:pPr>
              <w:rPr>
                <w:rFonts w:hint="default" w:ascii="仿宋" w:hAnsi="仿宋" w:eastAsia="仿宋" w:cs="仿宋"/>
                <w:sz w:val="22"/>
                <w:szCs w:val="21"/>
                <w:lang w:val="en-US" w:eastAsia="zh-CN"/>
              </w:rPr>
            </w:pPr>
            <w:r>
              <w:rPr>
                <w:rFonts w:hint="eastAsia" w:ascii="仿宋" w:hAnsi="仿宋" w:eastAsia="仿宋" w:cs="仿宋"/>
                <w:sz w:val="22"/>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916" w:type="dxa"/>
            <w:vAlign w:val="top"/>
          </w:tcPr>
          <w:p>
            <w:pPr>
              <w:spacing w:line="360" w:lineRule="auto"/>
              <w:jc w:val="left"/>
              <w:rPr>
                <w:rFonts w:hint="eastAsia" w:ascii="仿宋" w:hAnsi="仿宋" w:eastAsia="仿宋" w:cs="仿宋"/>
                <w:kern w:val="2"/>
                <w:sz w:val="21"/>
                <w:lang w:val="en-US" w:eastAsia="zh-CN" w:bidi="ar-SA"/>
              </w:rPr>
            </w:pPr>
            <w:r>
              <w:rPr>
                <w:rFonts w:hint="eastAsia" w:ascii="仿宋" w:hAnsi="仿宋" w:eastAsia="仿宋" w:cs="仿宋"/>
                <w:lang w:val="en-US" w:eastAsia="zh-CN"/>
              </w:rPr>
              <w:t>应对风险和机遇的措施</w:t>
            </w:r>
          </w:p>
        </w:tc>
        <w:tc>
          <w:tcPr>
            <w:tcW w:w="1204" w:type="dxa"/>
            <w:vAlign w:val="top"/>
          </w:tcPr>
          <w:p>
            <w:pPr>
              <w:spacing w:line="360" w:lineRule="auto"/>
              <w:jc w:val="left"/>
              <w:rPr>
                <w:rFonts w:hint="eastAsia" w:ascii="仿宋" w:hAnsi="仿宋" w:eastAsia="仿宋" w:cs="仿宋"/>
                <w:lang w:val="en-US" w:eastAsia="zh-CN"/>
              </w:rPr>
            </w:pPr>
            <w:r>
              <w:rPr>
                <w:rFonts w:hint="eastAsia" w:ascii="仿宋" w:hAnsi="仿宋" w:eastAsia="仿宋" w:cs="仿宋"/>
                <w:lang w:val="en-US" w:eastAsia="zh-CN"/>
              </w:rPr>
              <w:t>QEO6.1</w:t>
            </w:r>
          </w:p>
          <w:p>
            <w:pPr>
              <w:spacing w:line="360" w:lineRule="auto"/>
              <w:jc w:val="left"/>
              <w:rPr>
                <w:rFonts w:hint="default" w:ascii="仿宋" w:hAnsi="仿宋" w:eastAsia="仿宋" w:cs="仿宋"/>
                <w:lang w:val="en-US" w:eastAsia="zh-CN"/>
              </w:rPr>
            </w:pPr>
            <w:r>
              <w:rPr>
                <w:rFonts w:hint="default" w:ascii="仿宋" w:hAnsi="仿宋" w:eastAsia="仿宋" w:cs="仿宋"/>
                <w:lang w:val="en-US" w:eastAsia="zh-CN"/>
              </w:rPr>
              <w:t>E6.1.1</w:t>
            </w:r>
          </w:p>
          <w:p>
            <w:pPr>
              <w:spacing w:line="360" w:lineRule="auto"/>
              <w:jc w:val="left"/>
              <w:rPr>
                <w:rFonts w:hint="default" w:ascii="仿宋" w:hAnsi="仿宋" w:eastAsia="仿宋" w:cs="仿宋"/>
                <w:lang w:val="en-US" w:eastAsia="zh-CN"/>
              </w:rPr>
            </w:pPr>
            <w:r>
              <w:rPr>
                <w:rFonts w:hint="default" w:ascii="仿宋" w:hAnsi="仿宋" w:eastAsia="仿宋" w:cs="仿宋"/>
                <w:lang w:val="en-US" w:eastAsia="zh-CN"/>
              </w:rPr>
              <w:t>O6.1.1</w:t>
            </w:r>
          </w:p>
          <w:p>
            <w:pPr>
              <w:spacing w:line="360" w:lineRule="auto"/>
              <w:jc w:val="left"/>
              <w:rPr>
                <w:rFonts w:hint="eastAsia" w:ascii="仿宋" w:hAnsi="仿宋" w:eastAsia="仿宋" w:cs="仿宋"/>
                <w:kern w:val="2"/>
                <w:sz w:val="21"/>
                <w:lang w:val="en-US" w:eastAsia="zh-CN" w:bidi="ar-SA"/>
              </w:rPr>
            </w:pPr>
          </w:p>
        </w:tc>
        <w:tc>
          <w:tcPr>
            <w:tcW w:w="10004" w:type="dxa"/>
            <w:vAlign w:val="center"/>
          </w:tcPr>
          <w:p>
            <w:pPr>
              <w:spacing w:line="360" w:lineRule="auto"/>
              <w:jc w:val="left"/>
              <w:rPr>
                <w:rFonts w:hint="eastAsia" w:ascii="仿宋" w:hAnsi="仿宋" w:eastAsia="仿宋" w:cs="仿宋"/>
                <w:lang w:val="en-US" w:eastAsia="zh-CN"/>
              </w:rPr>
            </w:pPr>
            <w:r>
              <w:rPr>
                <w:rFonts w:hint="eastAsia" w:ascii="仿宋" w:hAnsi="仿宋" w:eastAsia="仿宋" w:cs="仿宋"/>
                <w:lang w:val="en-US" w:eastAsia="zh-CN"/>
              </w:rPr>
              <w:t>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w:t>
            </w:r>
          </w:p>
          <w:p>
            <w:pPr>
              <w:spacing w:line="360" w:lineRule="auto"/>
              <w:jc w:val="left"/>
              <w:rPr>
                <w:rFonts w:hint="eastAsia" w:ascii="仿宋" w:hAnsi="仿宋" w:eastAsia="仿宋" w:cs="仿宋"/>
                <w:kern w:val="2"/>
                <w:sz w:val="21"/>
                <w:lang w:val="en-US" w:eastAsia="zh-CN" w:bidi="ar-SA"/>
              </w:rPr>
            </w:pPr>
            <w:r>
              <w:rPr>
                <w:rFonts w:hint="eastAsia" w:ascii="仿宋" w:hAnsi="仿宋" w:eastAsia="仿宋" w:cs="仿宋"/>
                <w:lang w:val="en-US" w:eastAsia="zh-CN"/>
              </w:rPr>
              <w:t>查《企业风险和机遇应对策划表》，将需要应对的风险和机遇进行风险分析确定风险级别（一般风险、高风险），在管理体系所确定的过程（客户和相关方的要求等）中，整合制定针对性管理措施（如程序控制等）。对应的风险描述均进行风险评估，并制定了相应的风险控制措施。通过建立和运行（服务的监视和测量控制程序）、（外包方服务和过程控制程序）（不合格输出控制程序）的要求进行控制，属于一般风险。</w:t>
            </w:r>
          </w:p>
        </w:tc>
        <w:tc>
          <w:tcPr>
            <w:tcW w:w="1585" w:type="dxa"/>
            <w:vAlign w:val="top"/>
          </w:tcPr>
          <w:p>
            <w:pPr>
              <w:spacing w:line="360" w:lineRule="auto"/>
              <w:jc w:val="left"/>
              <w:rPr>
                <w:rFonts w:hint="eastAsia" w:ascii="仿宋" w:hAnsi="仿宋" w:eastAsia="仿宋" w:cs="仿宋"/>
                <w:kern w:val="2"/>
                <w:sz w:val="21"/>
                <w:lang w:val="en-US" w:eastAsia="zh-CN" w:bidi="ar-SA"/>
              </w:rPr>
            </w:pPr>
            <w:r>
              <w:rPr>
                <w:rFonts w:hint="eastAsia" w:ascii="仿宋" w:hAnsi="仿宋" w:eastAsia="仿宋" w:cs="仿宋"/>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916" w:type="dxa"/>
            <w:vAlign w:val="top"/>
          </w:tcPr>
          <w:p>
            <w:pPr>
              <w:spacing w:line="360" w:lineRule="auto"/>
              <w:jc w:val="left"/>
              <w:rPr>
                <w:rFonts w:hint="eastAsia" w:ascii="仿宋" w:hAnsi="仿宋" w:eastAsia="仿宋" w:cs="仿宋"/>
                <w:kern w:val="2"/>
                <w:sz w:val="21"/>
                <w:lang w:val="en-US" w:eastAsia="zh-CN" w:bidi="ar-SA"/>
              </w:rPr>
            </w:pPr>
            <w:r>
              <w:rPr>
                <w:rFonts w:hint="eastAsia" w:ascii="仿宋" w:hAnsi="仿宋" w:eastAsia="仿宋" w:cs="仿宋"/>
                <w:lang w:val="en-US" w:eastAsia="zh-CN"/>
              </w:rPr>
              <w:t>环境因素识别、危险源识别</w:t>
            </w:r>
          </w:p>
        </w:tc>
        <w:tc>
          <w:tcPr>
            <w:tcW w:w="1204" w:type="dxa"/>
            <w:vAlign w:val="top"/>
          </w:tcPr>
          <w:p>
            <w:pPr>
              <w:spacing w:line="360" w:lineRule="auto"/>
              <w:jc w:val="left"/>
              <w:rPr>
                <w:rFonts w:hint="eastAsia" w:ascii="仿宋" w:hAnsi="仿宋" w:eastAsia="仿宋" w:cs="仿宋"/>
                <w:lang w:val="en-US" w:eastAsia="zh-CN"/>
              </w:rPr>
            </w:pPr>
            <w:r>
              <w:rPr>
                <w:rFonts w:hint="eastAsia" w:ascii="仿宋" w:hAnsi="仿宋" w:eastAsia="仿宋" w:cs="仿宋"/>
                <w:lang w:val="en-US" w:eastAsia="zh-CN"/>
              </w:rPr>
              <w:t>E6.1.2</w:t>
            </w:r>
          </w:p>
          <w:p>
            <w:pPr>
              <w:spacing w:line="360" w:lineRule="auto"/>
              <w:jc w:val="left"/>
              <w:rPr>
                <w:rFonts w:hint="eastAsia" w:ascii="仿宋" w:hAnsi="仿宋" w:eastAsia="仿宋" w:cs="仿宋"/>
                <w:kern w:val="2"/>
                <w:sz w:val="21"/>
                <w:lang w:val="en-US" w:eastAsia="zh-CN" w:bidi="ar-SA"/>
              </w:rPr>
            </w:pPr>
            <w:r>
              <w:rPr>
                <w:rFonts w:hint="eastAsia" w:ascii="仿宋" w:hAnsi="仿宋" w:eastAsia="仿宋" w:cs="仿宋"/>
                <w:lang w:val="en-US" w:eastAsia="zh-CN"/>
              </w:rPr>
              <w:t>O6.1.2</w:t>
            </w:r>
          </w:p>
        </w:tc>
        <w:tc>
          <w:tcPr>
            <w:tcW w:w="10004" w:type="dxa"/>
            <w:vAlign w:val="center"/>
          </w:tcPr>
          <w:p>
            <w:pPr>
              <w:spacing w:line="360" w:lineRule="auto"/>
              <w:ind w:firstLine="420" w:firstLineChars="200"/>
              <w:jc w:val="left"/>
              <w:rPr>
                <w:rFonts w:hint="eastAsia" w:ascii="仿宋" w:hAnsi="仿宋" w:eastAsia="仿宋" w:cs="仿宋"/>
                <w:lang w:val="en-US" w:eastAsia="zh-CN"/>
              </w:rPr>
            </w:pPr>
            <w:r>
              <w:rPr>
                <w:rFonts w:hint="eastAsia" w:ascii="仿宋" w:hAnsi="仿宋" w:eastAsia="仿宋" w:cs="仿宋"/>
                <w:lang w:val="en-US" w:eastAsia="zh-CN"/>
              </w:rPr>
              <w:t>编制了《环境因素识别与评价管理程序》《危险源辨识与风险评价控制措施管理程序》。公司在所界定的质量环境职业健康安全管理体系范围内，确定其活动、产品和服务中能够控制和能够施加影响的环境因素、危险源及其相关的环境职业健康安全影响，确保主要环境因素能够得到必要的重视并及时更新，以便控制和建立环境目标。此时应考虑生命周期观点。组织所识别的环境因素和危险源基本覆盖到公司所涉及的环境和职业健康安全管理活动，并确定了相应的控制方案。</w:t>
            </w:r>
          </w:p>
          <w:p>
            <w:pPr>
              <w:spacing w:line="360" w:lineRule="auto"/>
              <w:jc w:val="left"/>
              <w:rPr>
                <w:rFonts w:hint="eastAsia" w:ascii="仿宋" w:hAnsi="仿宋" w:eastAsia="仿宋" w:cs="仿宋"/>
                <w:lang w:val="en-US" w:eastAsia="zh-CN"/>
              </w:rPr>
            </w:pPr>
            <w:r>
              <w:rPr>
                <w:rFonts w:hint="eastAsia" w:ascii="仿宋" w:hAnsi="仿宋" w:eastAsia="仿宋" w:cs="仿宋"/>
                <w:lang w:val="en-US" w:eastAsia="zh-CN"/>
              </w:rPr>
              <w:t xml:space="preserve">提供了《环境因素识别评价表》，采购部办公区域总共识别出13项环境因素，内容明确了场所/活动、环境因素、环境影响、时态、状态、排放去向等方面，包含火灾的发生、水电的消耗等；编制：杨加荣 2022.1.10审核：郑伟 2022.1.10 。  </w:t>
            </w:r>
          </w:p>
          <w:p>
            <w:pPr>
              <w:rPr>
                <w:rFonts w:hint="eastAsia" w:ascii="仿宋" w:hAnsi="仿宋" w:eastAsia="仿宋" w:cs="仿宋"/>
                <w:lang w:val="en-US" w:eastAsia="zh-CN"/>
              </w:rPr>
            </w:pPr>
            <w:r>
              <w:rPr>
                <w:rFonts w:hint="eastAsia" w:ascii="仿宋" w:hAnsi="仿宋" w:eastAsia="仿宋" w:cs="仿宋"/>
                <w:lang w:val="en-US" w:eastAsia="zh-CN"/>
              </w:rPr>
              <w:t>提供了《重要环境因素清单》共识别出办公区域的固体废弃物（生活垃圾、生产固废、包装固废等）、消防和能源消耗的重大环境因素。</w:t>
            </w:r>
          </w:p>
          <w:p>
            <w:pPr>
              <w:spacing w:line="360" w:lineRule="auto"/>
              <w:jc w:val="left"/>
              <w:rPr>
                <w:rFonts w:hint="eastAsia" w:ascii="仿宋" w:hAnsi="仿宋" w:eastAsia="仿宋" w:cs="仿宋"/>
                <w:lang w:val="en-US" w:eastAsia="zh-CN"/>
              </w:rPr>
            </w:pPr>
            <w:r>
              <w:rPr>
                <w:rFonts w:hint="eastAsia" w:ascii="仿宋" w:hAnsi="仿宋" w:eastAsia="仿宋" w:cs="仿宋"/>
                <w:lang w:val="en-US" w:eastAsia="zh-CN"/>
              </w:rPr>
              <w:t xml:space="preserve">提供了《危险源风险辨识和评价一览表》，共识别办公区域及员工出差16项危险源因素，内容明确了活动/过程/部位、危险源因素、危害影响、发生可能性/后果严重性/风险值、不可接受风险的判定，包含了办公电源插座漏电、复印机的使用、在外出差乘车发生车祸等。编制：杨加荣 2022.1.10审核：郑伟 2022.1.10 。 </w:t>
            </w:r>
          </w:p>
          <w:p>
            <w:pPr>
              <w:spacing w:line="360" w:lineRule="auto"/>
              <w:jc w:val="left"/>
              <w:rPr>
                <w:rFonts w:hint="eastAsia" w:ascii="仿宋" w:hAnsi="仿宋" w:eastAsia="仿宋" w:cs="仿宋"/>
                <w:kern w:val="2"/>
                <w:sz w:val="21"/>
                <w:lang w:val="en-US" w:eastAsia="zh-CN" w:bidi="ar-SA"/>
              </w:rPr>
            </w:pPr>
            <w:r>
              <w:rPr>
                <w:rFonts w:hint="eastAsia" w:ascii="仿宋" w:hAnsi="仿宋" w:eastAsia="仿宋" w:cs="仿宋"/>
                <w:lang w:val="en-US" w:eastAsia="zh-CN"/>
              </w:rPr>
              <w:t>提供了《不可接受风险清单》共识别出消防、人员外出交通安全、疫情等潜在的危险因素，内容明确 活动点/工序/部位、潜在的危险因素、可能导致的结果、控制措施，例如：办公用电过程中设备损坏，线路老化，电路设置不符合要求。</w:t>
            </w:r>
          </w:p>
        </w:tc>
        <w:tc>
          <w:tcPr>
            <w:tcW w:w="1585" w:type="dxa"/>
            <w:vAlign w:val="top"/>
          </w:tcPr>
          <w:p>
            <w:pPr>
              <w:spacing w:line="360" w:lineRule="auto"/>
              <w:jc w:val="left"/>
              <w:rPr>
                <w:rFonts w:hint="eastAsia" w:ascii="仿宋" w:hAnsi="仿宋" w:eastAsia="仿宋" w:cs="仿宋"/>
                <w:kern w:val="2"/>
                <w:sz w:val="21"/>
                <w:lang w:val="en-US" w:eastAsia="zh-CN" w:bidi="ar-SA"/>
              </w:rPr>
            </w:pPr>
            <w:r>
              <w:rPr>
                <w:rFonts w:hint="eastAsia" w:ascii="仿宋" w:hAnsi="仿宋" w:eastAsia="仿宋" w:cs="仿宋"/>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916" w:type="dxa"/>
            <w:vAlign w:val="top"/>
          </w:tcPr>
          <w:p>
            <w:pPr>
              <w:spacing w:line="360" w:lineRule="auto"/>
              <w:jc w:val="left"/>
              <w:rPr>
                <w:rFonts w:hint="default" w:ascii="仿宋" w:hAnsi="仿宋" w:eastAsia="仿宋" w:cs="仿宋"/>
                <w:lang w:val="en-US" w:eastAsia="zh-CN"/>
              </w:rPr>
            </w:pPr>
            <w:r>
              <w:rPr>
                <w:rFonts w:hint="eastAsia" w:ascii="仿宋" w:hAnsi="仿宋" w:eastAsia="仿宋" w:cs="仿宋"/>
                <w:lang w:val="en-US" w:eastAsia="zh-CN"/>
              </w:rPr>
              <w:t>应对措施</w:t>
            </w:r>
          </w:p>
        </w:tc>
        <w:tc>
          <w:tcPr>
            <w:tcW w:w="1204" w:type="dxa"/>
            <w:vAlign w:val="top"/>
          </w:tcPr>
          <w:p>
            <w:pPr>
              <w:spacing w:line="360" w:lineRule="auto"/>
              <w:jc w:val="left"/>
              <w:rPr>
                <w:rFonts w:hint="default" w:ascii="仿宋" w:hAnsi="仿宋" w:eastAsia="仿宋" w:cs="仿宋"/>
                <w:lang w:val="en-US" w:eastAsia="zh-CN"/>
              </w:rPr>
            </w:pPr>
            <w:r>
              <w:rPr>
                <w:rFonts w:hint="eastAsia" w:ascii="仿宋" w:hAnsi="仿宋" w:eastAsia="仿宋" w:cs="仿宋"/>
                <w:lang w:val="en-US" w:eastAsia="zh-CN"/>
              </w:rPr>
              <w:t>EO6.1.4</w:t>
            </w:r>
          </w:p>
        </w:tc>
        <w:tc>
          <w:tcPr>
            <w:tcW w:w="10004" w:type="dxa"/>
            <w:vAlign w:val="center"/>
          </w:tcPr>
          <w:p>
            <w:pPr>
              <w:spacing w:line="360" w:lineRule="auto"/>
              <w:jc w:val="left"/>
              <w:rPr>
                <w:rFonts w:hint="default" w:ascii="仿宋" w:hAnsi="仿宋" w:eastAsia="仿宋" w:cs="仿宋"/>
                <w:lang w:val="en-US" w:eastAsia="zh-CN"/>
              </w:rPr>
            </w:pPr>
            <w:r>
              <w:rPr>
                <w:rFonts w:hint="eastAsia" w:ascii="仿宋" w:hAnsi="仿宋" w:eastAsia="仿宋" w:cs="仿宋"/>
                <w:lang w:val="en-US" w:eastAsia="zh-CN"/>
              </w:rPr>
              <w:t xml:space="preserve">   提供《重要环境因素清单》和《重大危险源清单》，列出了重要环境因素和重大危险源的控制方法，并按《环境和职业健康安全运行检查记录表》进行日常检查。</w:t>
            </w:r>
          </w:p>
        </w:tc>
        <w:tc>
          <w:tcPr>
            <w:tcW w:w="1585" w:type="dxa"/>
            <w:vAlign w:val="top"/>
          </w:tcPr>
          <w:p>
            <w:pPr>
              <w:spacing w:line="360" w:lineRule="auto"/>
              <w:jc w:val="left"/>
              <w:rPr>
                <w:rFonts w:hint="default" w:ascii="仿宋" w:hAnsi="仿宋" w:eastAsia="仿宋" w:cs="仿宋"/>
                <w:lang w:val="en-US" w:eastAsia="zh-CN"/>
              </w:rPr>
            </w:pPr>
            <w:r>
              <w:rPr>
                <w:rFonts w:hint="eastAsia" w:ascii="仿宋" w:hAnsi="仿宋" w:eastAsia="仿宋" w:cs="仿宋"/>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916" w:type="dxa"/>
          </w:tcPr>
          <w:p>
            <w:pPr>
              <w:spacing w:line="280" w:lineRule="exac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环境和职业健康安全运行控制</w:t>
            </w:r>
          </w:p>
        </w:tc>
        <w:tc>
          <w:tcPr>
            <w:tcW w:w="1204" w:type="dxa"/>
          </w:tcPr>
          <w:p>
            <w:pPr>
              <w:spacing w:line="280" w:lineRule="exac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EO8.1</w:t>
            </w:r>
          </w:p>
        </w:tc>
        <w:tc>
          <w:tcPr>
            <w:tcW w:w="10004" w:type="dxa"/>
            <w:vAlign w:val="center"/>
          </w:tcPr>
          <w:p>
            <w:pPr>
              <w:spacing w:line="280" w:lineRule="exact"/>
              <w:ind w:firstLine="440" w:firstLineChars="200"/>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组织</w:t>
            </w:r>
            <w:r>
              <w:rPr>
                <w:rFonts w:hint="eastAsia" w:ascii="仿宋" w:hAnsi="仿宋" w:eastAsia="仿宋" w:cs="仿宋"/>
                <w:sz w:val="22"/>
                <w:szCs w:val="21"/>
              </w:rPr>
              <w:t>编制</w:t>
            </w:r>
            <w:r>
              <w:rPr>
                <w:rFonts w:hint="eastAsia" w:ascii="仿宋" w:hAnsi="仿宋" w:eastAsia="仿宋" w:cs="仿宋"/>
                <w:sz w:val="22"/>
                <w:szCs w:val="21"/>
                <w:lang w:val="en-US" w:eastAsia="zh-CN"/>
              </w:rPr>
              <w:t>的</w:t>
            </w:r>
            <w:r>
              <w:rPr>
                <w:rFonts w:hint="eastAsia" w:ascii="仿宋" w:hAnsi="仿宋" w:eastAsia="仿宋" w:cs="仿宋"/>
                <w:sz w:val="22"/>
                <w:szCs w:val="21"/>
              </w:rPr>
              <w:t>与环境管理体系运行控制有关的文件</w:t>
            </w:r>
            <w:r>
              <w:rPr>
                <w:rFonts w:hint="eastAsia" w:ascii="仿宋" w:hAnsi="仿宋" w:eastAsia="仿宋" w:cs="仿宋"/>
                <w:sz w:val="22"/>
                <w:szCs w:val="21"/>
                <w:lang w:val="en-US" w:eastAsia="zh-CN"/>
              </w:rPr>
              <w:t>主要包括《</w:t>
            </w:r>
            <w:r>
              <w:rPr>
                <w:rFonts w:hint="eastAsia" w:ascii="仿宋" w:hAnsi="仿宋" w:eastAsia="仿宋" w:cs="仿宋"/>
                <w:sz w:val="22"/>
                <w:szCs w:val="21"/>
              </w:rPr>
              <w:t>环境、安全运行控制程序</w:t>
            </w:r>
            <w:r>
              <w:rPr>
                <w:rFonts w:hint="eastAsia" w:ascii="仿宋" w:hAnsi="仿宋" w:eastAsia="仿宋" w:cs="仿宋"/>
                <w:sz w:val="22"/>
                <w:szCs w:val="21"/>
                <w:lang w:val="en-US" w:eastAsia="zh-CN"/>
              </w:rPr>
              <w:t>》</w:t>
            </w:r>
            <w:r>
              <w:rPr>
                <w:rFonts w:hint="eastAsia" w:ascii="仿宋" w:hAnsi="仿宋" w:eastAsia="仿宋" w:cs="仿宋"/>
                <w:sz w:val="22"/>
                <w:szCs w:val="21"/>
              </w:rPr>
              <w:t>、</w:t>
            </w:r>
            <w:r>
              <w:rPr>
                <w:rFonts w:hint="eastAsia" w:ascii="仿宋" w:hAnsi="仿宋" w:eastAsia="仿宋" w:cs="仿宋"/>
                <w:sz w:val="22"/>
                <w:szCs w:val="21"/>
                <w:lang w:eastAsia="zh-CN"/>
              </w:rPr>
              <w:t>《废弃物管理程序》、《员工安全管理程序》</w:t>
            </w:r>
            <w:r>
              <w:rPr>
                <w:rFonts w:hint="eastAsia" w:ascii="仿宋" w:hAnsi="仿宋" w:eastAsia="仿宋" w:cs="仿宋"/>
                <w:sz w:val="22"/>
                <w:szCs w:val="21"/>
              </w:rPr>
              <w:t>等。</w:t>
            </w:r>
            <w:r>
              <w:rPr>
                <w:rFonts w:hint="eastAsia" w:ascii="仿宋" w:hAnsi="仿宋" w:eastAsia="仿宋" w:cs="仿宋"/>
                <w:sz w:val="22"/>
                <w:szCs w:val="21"/>
                <w:lang w:val="en-US" w:eastAsia="zh-CN"/>
              </w:rPr>
              <w:t>现场审核发现情况如下：</w:t>
            </w:r>
          </w:p>
          <w:p>
            <w:pPr>
              <w:spacing w:line="280" w:lineRule="exact"/>
              <w:ind w:firstLine="440" w:firstLineChars="200"/>
              <w:rPr>
                <w:rFonts w:hint="eastAsia" w:ascii="仿宋" w:hAnsi="仿宋" w:eastAsia="仿宋" w:cs="仿宋"/>
                <w:sz w:val="22"/>
                <w:szCs w:val="21"/>
              </w:rPr>
            </w:pPr>
            <w:r>
              <w:rPr>
                <w:rFonts w:hint="eastAsia" w:ascii="仿宋" w:hAnsi="仿宋" w:eastAsia="仿宋" w:cs="仿宋"/>
                <w:sz w:val="22"/>
                <w:szCs w:val="21"/>
              </w:rPr>
              <w:t>1</w:t>
            </w:r>
            <w:r>
              <w:rPr>
                <w:rFonts w:hint="eastAsia" w:ascii="仿宋" w:hAnsi="仿宋" w:eastAsia="仿宋" w:cs="仿宋"/>
                <w:sz w:val="22"/>
                <w:szCs w:val="21"/>
                <w:lang w:val="en-US" w:eastAsia="zh-CN"/>
              </w:rPr>
              <w:t>.</w:t>
            </w:r>
            <w:r>
              <w:rPr>
                <w:rFonts w:hint="eastAsia" w:ascii="仿宋" w:hAnsi="仿宋" w:eastAsia="仿宋" w:cs="仿宋"/>
                <w:sz w:val="22"/>
                <w:szCs w:val="21"/>
              </w:rPr>
              <w:t>固废管控</w:t>
            </w:r>
          </w:p>
          <w:p>
            <w:pPr>
              <w:spacing w:line="280" w:lineRule="exact"/>
              <w:ind w:firstLine="440" w:firstLineChars="200"/>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生活垃圾委托环卫部门清运。</w:t>
            </w:r>
          </w:p>
          <w:p>
            <w:pPr>
              <w:spacing w:line="280" w:lineRule="exact"/>
              <w:ind w:firstLine="440" w:firstLineChars="200"/>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2.废水管控</w:t>
            </w:r>
          </w:p>
          <w:p>
            <w:pPr>
              <w:spacing w:line="280" w:lineRule="exact"/>
              <w:ind w:firstLine="440" w:firstLineChars="200"/>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生活污水经化粪池预处理后由园区管网集中处理；</w:t>
            </w:r>
          </w:p>
          <w:p>
            <w:pPr>
              <w:spacing w:line="280" w:lineRule="exact"/>
              <w:ind w:firstLine="440" w:firstLineChars="200"/>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3.废气管控</w:t>
            </w:r>
          </w:p>
          <w:p>
            <w:pPr>
              <w:spacing w:line="280" w:lineRule="exact"/>
              <w:ind w:firstLine="440" w:firstLineChars="200"/>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 xml:space="preserve">办公现场基本无重大控制废气排放； </w:t>
            </w:r>
          </w:p>
          <w:p>
            <w:pPr>
              <w:spacing w:line="280" w:lineRule="exact"/>
              <w:ind w:firstLine="440" w:firstLineChars="200"/>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4.噪声管控</w:t>
            </w:r>
          </w:p>
          <w:p>
            <w:pPr>
              <w:spacing w:line="280" w:lineRule="exact"/>
              <w:ind w:firstLine="440" w:firstLineChars="200"/>
              <w:rPr>
                <w:rFonts w:hint="eastAsia" w:ascii="仿宋" w:hAnsi="仿宋" w:eastAsia="仿宋" w:cs="仿宋"/>
                <w:sz w:val="22"/>
                <w:szCs w:val="21"/>
              </w:rPr>
            </w:pPr>
            <w:r>
              <w:rPr>
                <w:rFonts w:hint="eastAsia" w:ascii="仿宋" w:hAnsi="仿宋" w:eastAsia="仿宋" w:cs="仿宋"/>
                <w:sz w:val="22"/>
                <w:szCs w:val="21"/>
                <w:lang w:val="en-US" w:eastAsia="zh-CN"/>
              </w:rPr>
              <w:t>办公区域无重大噪声产生；</w:t>
            </w:r>
          </w:p>
          <w:p>
            <w:pPr>
              <w:spacing w:line="280" w:lineRule="exact"/>
              <w:ind w:firstLine="440" w:firstLineChars="200"/>
              <w:rPr>
                <w:rFonts w:hint="eastAsia" w:ascii="仿宋" w:hAnsi="仿宋" w:eastAsia="仿宋" w:cs="仿宋"/>
                <w:sz w:val="22"/>
                <w:szCs w:val="21"/>
              </w:rPr>
            </w:pPr>
            <w:r>
              <w:rPr>
                <w:rFonts w:hint="eastAsia" w:ascii="仿宋" w:hAnsi="仿宋" w:eastAsia="仿宋" w:cs="仿宋"/>
                <w:sz w:val="22"/>
                <w:szCs w:val="21"/>
                <w:lang w:val="en-US" w:eastAsia="zh-CN"/>
              </w:rPr>
              <w:t>5.</w:t>
            </w:r>
            <w:r>
              <w:rPr>
                <w:rFonts w:hint="eastAsia" w:ascii="仿宋" w:hAnsi="仿宋" w:eastAsia="仿宋" w:cs="仿宋"/>
                <w:sz w:val="22"/>
                <w:szCs w:val="21"/>
              </w:rPr>
              <w:t>能源资源管控</w:t>
            </w:r>
          </w:p>
          <w:p>
            <w:pPr>
              <w:spacing w:line="280" w:lineRule="exact"/>
              <w:ind w:firstLine="440" w:firstLineChars="200"/>
              <w:rPr>
                <w:rFonts w:hint="eastAsia" w:ascii="仿宋" w:hAnsi="仿宋" w:eastAsia="仿宋" w:cs="仿宋"/>
                <w:sz w:val="22"/>
                <w:szCs w:val="21"/>
              </w:rPr>
            </w:pPr>
            <w:r>
              <w:rPr>
                <w:rFonts w:hint="eastAsia" w:ascii="仿宋" w:hAnsi="仿宋" w:eastAsia="仿宋" w:cs="仿宋"/>
                <w:sz w:val="22"/>
                <w:szCs w:val="21"/>
                <w:lang w:val="en-US" w:eastAsia="zh-CN"/>
              </w:rPr>
              <w:t>组织各场所</w:t>
            </w:r>
            <w:r>
              <w:rPr>
                <w:rFonts w:hint="eastAsia" w:ascii="仿宋" w:hAnsi="仿宋" w:eastAsia="仿宋" w:cs="仿宋"/>
                <w:sz w:val="22"/>
                <w:szCs w:val="21"/>
              </w:rPr>
              <w:t>注意节水、节电、节油，人走关闭开关，未发现有漏水和浪费电能的现象。</w:t>
            </w:r>
          </w:p>
          <w:p>
            <w:pPr>
              <w:spacing w:line="280" w:lineRule="exact"/>
              <w:ind w:firstLine="440" w:firstLineChars="200"/>
              <w:rPr>
                <w:rFonts w:hint="eastAsia" w:ascii="仿宋" w:hAnsi="仿宋" w:eastAsia="仿宋" w:cs="仿宋"/>
                <w:sz w:val="22"/>
                <w:szCs w:val="21"/>
              </w:rPr>
            </w:pPr>
            <w:r>
              <w:rPr>
                <w:rFonts w:hint="eastAsia" w:ascii="仿宋" w:hAnsi="仿宋" w:eastAsia="仿宋" w:cs="仿宋"/>
                <w:sz w:val="22"/>
                <w:szCs w:val="21"/>
                <w:lang w:val="en-US" w:eastAsia="zh-CN"/>
              </w:rPr>
              <w:t>6</w:t>
            </w:r>
            <w:r>
              <w:rPr>
                <w:rFonts w:hint="eastAsia" w:ascii="仿宋" w:hAnsi="仿宋" w:eastAsia="仿宋" w:cs="仿宋"/>
                <w:sz w:val="22"/>
                <w:szCs w:val="21"/>
                <w:lang w:eastAsia="zh-CN"/>
              </w:rPr>
              <w:t>.</w:t>
            </w:r>
            <w:r>
              <w:rPr>
                <w:rFonts w:hint="eastAsia" w:ascii="仿宋" w:hAnsi="仿宋" w:eastAsia="仿宋" w:cs="仿宋"/>
                <w:sz w:val="22"/>
                <w:szCs w:val="21"/>
              </w:rPr>
              <w:t>潜在火灾管控</w:t>
            </w:r>
          </w:p>
          <w:p>
            <w:pPr>
              <w:spacing w:line="280" w:lineRule="exact"/>
              <w:ind w:firstLine="440" w:firstLineChars="200"/>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办公区域均</w:t>
            </w:r>
            <w:r>
              <w:rPr>
                <w:rFonts w:hint="eastAsia" w:ascii="仿宋" w:hAnsi="仿宋" w:eastAsia="仿宋" w:cs="仿宋"/>
                <w:sz w:val="22"/>
                <w:szCs w:val="21"/>
              </w:rPr>
              <w:t>配有</w:t>
            </w:r>
            <w:r>
              <w:rPr>
                <w:rFonts w:hint="eastAsia" w:ascii="仿宋" w:hAnsi="仿宋" w:eastAsia="仿宋" w:cs="仿宋"/>
                <w:sz w:val="22"/>
                <w:szCs w:val="21"/>
                <w:lang w:val="en-US" w:eastAsia="zh-CN"/>
              </w:rPr>
              <w:t>消防烟感及设施。</w:t>
            </w:r>
          </w:p>
          <w:p>
            <w:pPr>
              <w:pStyle w:val="6"/>
              <w:numPr>
                <w:ilvl w:val="0"/>
                <w:numId w:val="0"/>
              </w:numPr>
              <w:ind w:firstLine="440" w:firstLineChars="200"/>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7.职业健康安全防护</w:t>
            </w:r>
          </w:p>
          <w:p>
            <w:pPr>
              <w:spacing w:line="280" w:lineRule="exact"/>
              <w:ind w:firstLine="440" w:firstLineChars="200"/>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组织遵循当地政府疫情防控要求，进入厂区均要求扫码，查看双码，测体温等。基本符合防护要求。</w:t>
            </w:r>
          </w:p>
          <w:p>
            <w:pPr>
              <w:spacing w:line="280" w:lineRule="exact"/>
              <w:ind w:firstLine="440" w:firstLineChars="200"/>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体系运行以来，截止审核期间，组织的工艺、设备、人员基本无变化，未发生相应的变更，无相关记录。</w:t>
            </w:r>
          </w:p>
          <w:p>
            <w:pPr>
              <w:spacing w:line="280" w:lineRule="exact"/>
              <w:ind w:firstLine="440" w:firstLineChars="200"/>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技术管理部总体环境策划和管控基本符合要求，其它策划、运行控制见安环部EO8.1记录。</w:t>
            </w:r>
          </w:p>
          <w:p>
            <w:pPr>
              <w:pStyle w:val="6"/>
              <w:numPr>
                <w:ilvl w:val="0"/>
                <w:numId w:val="1"/>
              </w:numPr>
              <w:ind w:firstLine="440" w:firstLineChars="200"/>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劳保用品</w:t>
            </w:r>
          </w:p>
          <w:p>
            <w:pPr>
              <w:pStyle w:val="6"/>
              <w:numPr>
                <w:ilvl w:val="0"/>
                <w:numId w:val="0"/>
              </w:numPr>
              <w:ind w:firstLine="440"/>
              <w:rPr>
                <w:rFonts w:hint="default" w:ascii="仿宋" w:hAnsi="仿宋" w:eastAsia="仿宋" w:cs="仿宋"/>
                <w:sz w:val="22"/>
                <w:szCs w:val="21"/>
                <w:lang w:val="en-US" w:eastAsia="zh-CN"/>
              </w:rPr>
            </w:pPr>
            <w:r>
              <w:rPr>
                <w:rFonts w:hint="eastAsia" w:ascii="仿宋" w:hAnsi="仿宋" w:eastAsia="仿宋" w:cs="仿宋"/>
                <w:sz w:val="22"/>
                <w:szCs w:val="21"/>
                <w:lang w:val="en-US" w:eastAsia="zh-CN"/>
              </w:rPr>
              <w:t>提供2022年发放领用登记表，发放对象包括所有人，货品包括日常劳保用品和防疫用品。</w:t>
            </w:r>
          </w:p>
          <w:p>
            <w:pPr>
              <w:pStyle w:val="6"/>
              <w:numPr>
                <w:ilvl w:val="0"/>
                <w:numId w:val="0"/>
              </w:numPr>
              <w:ind w:firstLine="440"/>
              <w:rPr>
                <w:rFonts w:hint="default" w:ascii="仿宋" w:hAnsi="仿宋" w:eastAsia="仿宋" w:cs="仿宋"/>
                <w:sz w:val="22"/>
                <w:szCs w:val="21"/>
                <w:lang w:val="en-US" w:eastAsia="zh-CN"/>
              </w:rPr>
            </w:pPr>
            <w:r>
              <w:rPr>
                <w:rFonts w:hint="eastAsia" w:ascii="仿宋" w:hAnsi="仿宋" w:eastAsia="仿宋" w:cs="仿宋"/>
                <w:sz w:val="22"/>
                <w:szCs w:val="21"/>
                <w:lang w:val="en-US" w:eastAsia="zh-CN"/>
              </w:rPr>
              <w:t>提供2022年7~10月的《环境和职业健康安全运行检查记录》表，内容包括列入重要环境因素和重大危险源的项目，基本符合。</w:t>
            </w:r>
          </w:p>
        </w:tc>
        <w:tc>
          <w:tcPr>
            <w:tcW w:w="1585" w:type="dxa"/>
          </w:tcPr>
          <w:p>
            <w:pPr>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916" w:type="dxa"/>
          </w:tcPr>
          <w:p>
            <w:pPr>
              <w:spacing w:line="280" w:lineRule="exac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应急准备与响应</w:t>
            </w:r>
          </w:p>
        </w:tc>
        <w:tc>
          <w:tcPr>
            <w:tcW w:w="1204" w:type="dxa"/>
          </w:tcPr>
          <w:p>
            <w:pPr>
              <w:spacing w:line="280" w:lineRule="exac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EO8.2</w:t>
            </w:r>
          </w:p>
        </w:tc>
        <w:tc>
          <w:tcPr>
            <w:tcW w:w="10004" w:type="dxa"/>
            <w:vAlign w:val="center"/>
          </w:tcPr>
          <w:p>
            <w:pPr>
              <w:spacing w:line="280" w:lineRule="exact"/>
              <w:ind w:firstLine="440" w:firstLineChars="200"/>
              <w:jc w:val="left"/>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公司安全质量部负责应急管理。</w:t>
            </w:r>
          </w:p>
          <w:p>
            <w:pPr>
              <w:pStyle w:val="20"/>
              <w:spacing w:line="280" w:lineRule="exact"/>
              <w:rPr>
                <w:rFonts w:hint="eastAsia" w:ascii="仿宋" w:hAnsi="仿宋" w:eastAsia="仿宋" w:cs="仿宋"/>
                <w:sz w:val="22"/>
                <w:szCs w:val="22"/>
              </w:rPr>
            </w:pPr>
            <w:r>
              <w:rPr>
                <w:rFonts w:hint="eastAsia" w:ascii="仿宋" w:hAnsi="仿宋" w:eastAsia="仿宋" w:cs="仿宋"/>
                <w:sz w:val="22"/>
                <w:szCs w:val="22"/>
              </w:rPr>
              <w:t>编制了</w:t>
            </w:r>
            <w:r>
              <w:rPr>
                <w:rFonts w:hint="eastAsia" w:ascii="仿宋" w:hAnsi="仿宋" w:eastAsia="仿宋" w:cs="仿宋"/>
                <w:b/>
                <w:bCs/>
                <w:sz w:val="22"/>
                <w:szCs w:val="22"/>
              </w:rPr>
              <w:t>《应急准备和响应程序》</w:t>
            </w:r>
            <w:r>
              <w:rPr>
                <w:rFonts w:hint="eastAsia" w:ascii="仿宋" w:hAnsi="仿宋" w:eastAsia="仿宋" w:cs="仿宋"/>
                <w:sz w:val="22"/>
                <w:szCs w:val="22"/>
              </w:rPr>
              <w:t>，查看内容基本符合要求。</w:t>
            </w:r>
          </w:p>
          <w:p>
            <w:pPr>
              <w:pStyle w:val="20"/>
              <w:spacing w:line="280" w:lineRule="exact"/>
              <w:ind w:firstLineChars="0"/>
              <w:rPr>
                <w:rFonts w:hint="eastAsia" w:ascii="仿宋" w:hAnsi="仿宋" w:eastAsia="仿宋" w:cs="仿宋"/>
                <w:sz w:val="22"/>
                <w:szCs w:val="22"/>
              </w:rPr>
            </w:pPr>
            <w:r>
              <w:rPr>
                <w:rFonts w:hint="eastAsia" w:ascii="仿宋" w:hAnsi="仿宋" w:eastAsia="仿宋" w:cs="仿宋"/>
                <w:sz w:val="22"/>
                <w:szCs w:val="22"/>
              </w:rPr>
              <w:t>策划</w:t>
            </w:r>
            <w:r>
              <w:rPr>
                <w:rFonts w:hint="eastAsia" w:ascii="仿宋" w:hAnsi="仿宋" w:eastAsia="仿宋" w:cs="仿宋"/>
                <w:sz w:val="22"/>
                <w:szCs w:val="22"/>
                <w:lang w:val="en-US" w:eastAsia="zh-CN"/>
              </w:rPr>
              <w:t>编制</w:t>
            </w:r>
            <w:r>
              <w:rPr>
                <w:rFonts w:hint="eastAsia" w:ascii="仿宋" w:hAnsi="仿宋" w:eastAsia="仿宋" w:cs="仿宋"/>
                <w:sz w:val="22"/>
                <w:szCs w:val="22"/>
              </w:rPr>
              <w:t>了应急预案包括火灾</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交通事故、触电、高温中暑</w:t>
            </w:r>
            <w:r>
              <w:rPr>
                <w:rFonts w:hint="eastAsia" w:ascii="仿宋" w:hAnsi="仿宋" w:eastAsia="仿宋" w:cs="仿宋"/>
                <w:sz w:val="22"/>
                <w:szCs w:val="22"/>
              </w:rPr>
              <w:t>等应急预案。</w:t>
            </w:r>
          </w:p>
          <w:p>
            <w:pPr>
              <w:pStyle w:val="20"/>
              <w:spacing w:line="280" w:lineRule="exact"/>
              <w:ind w:firstLineChars="0"/>
              <w:rPr>
                <w:rFonts w:hint="eastAsia" w:ascii="仿宋" w:hAnsi="仿宋" w:eastAsia="仿宋" w:cs="仿宋"/>
                <w:sz w:val="22"/>
                <w:szCs w:val="22"/>
                <w:lang w:val="en-US" w:eastAsia="zh-CN"/>
              </w:rPr>
            </w:pPr>
            <w:r>
              <w:rPr>
                <w:rFonts w:hint="eastAsia" w:ascii="仿宋" w:hAnsi="仿宋" w:eastAsia="仿宋" w:cs="仿宋"/>
                <w:sz w:val="22"/>
                <w:szCs w:val="22"/>
              </w:rPr>
              <w:t>查应急预</w:t>
            </w:r>
            <w:r>
              <w:rPr>
                <w:rFonts w:hint="eastAsia" w:ascii="仿宋" w:hAnsi="仿宋" w:eastAsia="仿宋" w:cs="仿宋"/>
                <w:sz w:val="22"/>
                <w:szCs w:val="22"/>
                <w:lang w:val="en-US" w:eastAsia="zh-CN"/>
              </w:rPr>
              <w:t>案评估报告，通过以上评估，公司应急预案的制定基本合理。</w:t>
            </w:r>
          </w:p>
          <w:p>
            <w:pPr>
              <w:pStyle w:val="20"/>
              <w:spacing w:line="280" w:lineRule="exact"/>
              <w:ind w:firstLineChar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公司进行了消防演练，行政管理部人员参加演练。</w:t>
            </w:r>
          </w:p>
          <w:p>
            <w:pPr>
              <w:pStyle w:val="20"/>
              <w:spacing w:line="280" w:lineRule="exact"/>
              <w:ind w:firstLineChars="0"/>
              <w:rPr>
                <w:rFonts w:hint="eastAsia" w:ascii="仿宋" w:hAnsi="仿宋" w:eastAsia="仿宋" w:cs="仿宋"/>
                <w:sz w:val="28"/>
                <w:szCs w:val="24"/>
                <w:lang w:val="en-US" w:eastAsia="zh-CN"/>
              </w:rPr>
            </w:pPr>
            <w:r>
              <w:rPr>
                <w:rFonts w:hint="eastAsia" w:ascii="仿宋" w:hAnsi="仿宋" w:eastAsia="仿宋" w:cs="仿宋"/>
                <w:sz w:val="22"/>
                <w:szCs w:val="22"/>
                <w:lang w:val="en-US" w:eastAsia="zh-CN"/>
              </w:rPr>
              <w:t>查消防演习记录，演练时间2022.9.22，地点：泰仑集团空地，对演练过程进行了描述，并对该次演习和预案的有效性进行了小结和评价。</w:t>
            </w:r>
          </w:p>
        </w:tc>
        <w:tc>
          <w:tcPr>
            <w:tcW w:w="1585" w:type="dxa"/>
          </w:tcPr>
          <w:p>
            <w:pPr>
              <w:rPr>
                <w:rFonts w:hint="default" w:ascii="仿宋" w:hAnsi="仿宋" w:eastAsia="仿宋" w:cs="仿宋"/>
                <w:sz w:val="22"/>
                <w:szCs w:val="21"/>
                <w:lang w:val="en-US" w:eastAsia="zh-CN"/>
              </w:rPr>
            </w:pPr>
            <w:r>
              <w:rPr>
                <w:rFonts w:hint="eastAsia" w:ascii="仿宋" w:hAnsi="仿宋" w:eastAsia="仿宋" w:cs="仿宋"/>
                <w:sz w:val="22"/>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916" w:type="dxa"/>
            <w:vAlign w:val="top"/>
          </w:tcPr>
          <w:p>
            <w:pPr>
              <w:pStyle w:val="20"/>
              <w:spacing w:line="280" w:lineRule="exact"/>
              <w:ind w:left="0" w:leftChars="0" w:firstLine="0" w:firstLineChar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监视测量分析和评价总则</w:t>
            </w:r>
          </w:p>
        </w:tc>
        <w:tc>
          <w:tcPr>
            <w:tcW w:w="1204" w:type="dxa"/>
            <w:vAlign w:val="top"/>
          </w:tcPr>
          <w:p>
            <w:pPr>
              <w:pStyle w:val="20"/>
              <w:spacing w:line="280" w:lineRule="exact"/>
              <w:ind w:left="0" w:leftChars="0" w:firstLine="0" w:firstLineChar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QEO:9.1.1.</w:t>
            </w:r>
          </w:p>
        </w:tc>
        <w:tc>
          <w:tcPr>
            <w:tcW w:w="10004" w:type="dxa"/>
            <w:vAlign w:val="center"/>
          </w:tcPr>
          <w:p>
            <w:pPr>
              <w:pStyle w:val="20"/>
              <w:spacing w:line="280" w:lineRule="exact"/>
              <w:ind w:firstLineChar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管理体系所要求的各过程能通过目标的分解考核、内审、协调会议等方式进行监视和测量，其结果表明，各过程基本有效受控，通过审核发现，对于过程监视和测量发现的不合格也采取了改进措施。公司的过程监视和测量方法有效。</w:t>
            </w:r>
          </w:p>
          <w:p>
            <w:pPr>
              <w:pStyle w:val="20"/>
              <w:spacing w:line="280" w:lineRule="exact"/>
              <w:ind w:firstLineChar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编制了《绩效测量和监视控制程序》，检查内容有日常检查；目标指标检查；体系运行检查；日常检查由办公室每月对各个部门进行检查；目标指标由各个部门进行统计；</w:t>
            </w:r>
          </w:p>
          <w:p>
            <w:pPr>
              <w:pStyle w:val="20"/>
              <w:spacing w:line="280" w:lineRule="exact"/>
              <w:ind w:firstLineChar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抽查《QEO目标/指标/管理方案完成情况检查表》，均合格</w:t>
            </w:r>
          </w:p>
          <w:p>
            <w:pPr>
              <w:pStyle w:val="20"/>
              <w:spacing w:line="280" w:lineRule="exact"/>
              <w:ind w:firstLineChar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抽查：固废弃物处置率100%，符合目标要求。</w:t>
            </w:r>
          </w:p>
          <w:p>
            <w:pPr>
              <w:pStyle w:val="20"/>
              <w:spacing w:line="280" w:lineRule="exact"/>
              <w:ind w:firstLineChars="0"/>
              <w:rPr>
                <w:rFonts w:hint="eastAsia" w:ascii="仿宋" w:hAnsi="仿宋" w:eastAsia="仿宋" w:cs="仿宋"/>
                <w:sz w:val="22"/>
                <w:szCs w:val="22"/>
                <w:lang w:val="en-US" w:eastAsia="zh-CN"/>
              </w:rPr>
            </w:pPr>
          </w:p>
        </w:tc>
        <w:tc>
          <w:tcPr>
            <w:tcW w:w="1585" w:type="dxa"/>
          </w:tcPr>
          <w:p>
            <w:pPr>
              <w:rPr>
                <w:rFonts w:hint="default" w:ascii="仿宋" w:hAnsi="仿宋" w:eastAsia="仿宋" w:cs="仿宋"/>
                <w:sz w:val="22"/>
                <w:szCs w:val="21"/>
                <w:lang w:val="en-US" w:eastAsia="zh-CN"/>
              </w:rPr>
            </w:pPr>
            <w:r>
              <w:rPr>
                <w:rFonts w:hint="eastAsia" w:ascii="仿宋" w:hAnsi="仿宋" w:eastAsia="仿宋" w:cs="仿宋"/>
                <w:sz w:val="22"/>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916" w:type="dxa"/>
            <w:vAlign w:val="top"/>
          </w:tcPr>
          <w:p>
            <w:pPr>
              <w:pStyle w:val="20"/>
              <w:spacing w:line="280" w:lineRule="exact"/>
              <w:ind w:firstLineChar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顾客满意</w:t>
            </w:r>
          </w:p>
        </w:tc>
        <w:tc>
          <w:tcPr>
            <w:tcW w:w="1204" w:type="dxa"/>
            <w:vAlign w:val="top"/>
          </w:tcPr>
          <w:p>
            <w:pPr>
              <w:pStyle w:val="20"/>
              <w:spacing w:line="280" w:lineRule="exact"/>
              <w:ind w:left="0" w:leftChars="0" w:firstLine="0" w:firstLineChar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Q9.1.2</w:t>
            </w:r>
          </w:p>
        </w:tc>
        <w:tc>
          <w:tcPr>
            <w:tcW w:w="10004" w:type="dxa"/>
            <w:vAlign w:val="center"/>
          </w:tcPr>
          <w:p>
            <w:pPr>
              <w:pStyle w:val="20"/>
              <w:spacing w:line="280" w:lineRule="exact"/>
              <w:ind w:firstLineChars="0"/>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制定了《顾客满意度监测管理程序》控顾客满意和/不满意的信息，测量质量管理体系业绩，衡量质量管理体系的有效性并明确可以改进的领域，不断提高顾客的满意程度。提供了顾客满意度评定准则。</w:t>
            </w:r>
          </w:p>
          <w:p>
            <w:pPr>
              <w:pStyle w:val="20"/>
              <w:spacing w:line="280" w:lineRule="exact"/>
              <w:ind w:firstLineChar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2022年度对国网湖州公司德清分公司、国网湖州公司长兴分公司、国网湖州吴兴分公司等5家单位进行了满意度调查，顾客满意度为100%。目标控制值为95%，达成目标。</w:t>
            </w:r>
          </w:p>
        </w:tc>
        <w:tc>
          <w:tcPr>
            <w:tcW w:w="1585" w:type="dxa"/>
          </w:tcPr>
          <w:p>
            <w:pPr>
              <w:rPr>
                <w:rFonts w:hint="default" w:ascii="仿宋" w:hAnsi="仿宋" w:eastAsia="仿宋" w:cs="仿宋"/>
                <w:sz w:val="22"/>
                <w:szCs w:val="21"/>
                <w:lang w:val="en-US" w:eastAsia="zh-CN"/>
              </w:rPr>
            </w:pPr>
            <w:r>
              <w:rPr>
                <w:rFonts w:hint="eastAsia" w:ascii="仿宋" w:hAnsi="仿宋" w:eastAsia="仿宋" w:cs="仿宋"/>
                <w:sz w:val="22"/>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916" w:type="dxa"/>
            <w:vAlign w:val="top"/>
          </w:tcPr>
          <w:p>
            <w:pPr>
              <w:pStyle w:val="20"/>
              <w:spacing w:line="280" w:lineRule="exact"/>
              <w:ind w:left="0" w:leftChars="0" w:firstLine="0" w:firstLineChar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合规性评价</w:t>
            </w:r>
          </w:p>
        </w:tc>
        <w:tc>
          <w:tcPr>
            <w:tcW w:w="1204" w:type="dxa"/>
            <w:vAlign w:val="top"/>
          </w:tcPr>
          <w:p>
            <w:pPr>
              <w:pStyle w:val="20"/>
              <w:spacing w:line="280" w:lineRule="exact"/>
              <w:ind w:left="0" w:leftChars="0" w:firstLine="0" w:firstLineChar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EO9.1.2</w:t>
            </w:r>
          </w:p>
        </w:tc>
        <w:tc>
          <w:tcPr>
            <w:tcW w:w="10004" w:type="dxa"/>
            <w:vAlign w:val="center"/>
          </w:tcPr>
          <w:p>
            <w:pPr>
              <w:pStyle w:val="20"/>
              <w:spacing w:line="280" w:lineRule="exact"/>
              <w:ind w:firstLineChar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有 《合规性评价控制程序》等，</w:t>
            </w:r>
          </w:p>
          <w:p>
            <w:pPr>
              <w:pStyle w:val="20"/>
              <w:spacing w:line="280" w:lineRule="exact"/>
              <w:ind w:firstLineChar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见 法律法规及其他要求清单及合规性评价，评审时间</w:t>
            </w:r>
            <w:r>
              <w:rPr>
                <w:rFonts w:hint="eastAsia" w:ascii="仿宋" w:hAnsi="仿宋" w:eastAsia="仿宋" w:cs="仿宋"/>
                <w:sz w:val="22"/>
                <w:szCs w:val="22"/>
                <w:lang w:val="en-US" w:eastAsia="zh-CN"/>
              </w:rPr>
              <w:tab/>
            </w:r>
            <w:r>
              <w:rPr>
                <w:rFonts w:hint="eastAsia" w:ascii="仿宋" w:hAnsi="仿宋" w:eastAsia="仿宋" w:cs="仿宋"/>
                <w:sz w:val="22"/>
                <w:szCs w:val="22"/>
                <w:lang w:val="en-US" w:eastAsia="zh-CN"/>
              </w:rPr>
              <w:t>2022年10月11日，评审地点：公司会议室，记录人颜佳伟，</w:t>
            </w:r>
          </w:p>
          <w:p>
            <w:pPr>
              <w:pStyle w:val="20"/>
              <w:spacing w:line="280" w:lineRule="exact"/>
              <w:ind w:firstLineChar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参加人员：郑伟、杨加荣、蒋峰、詹锐烽等，抽查如下：</w:t>
            </w:r>
          </w:p>
          <w:p>
            <w:pPr>
              <w:pStyle w:val="20"/>
              <w:spacing w:line="280" w:lineRule="exact"/>
              <w:ind w:firstLineChar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中华人民共和国消防法》、浙江省消防条例、浙江省安全生产条例、浙江省固体废物污染环境防治条例、城市生活垃圾管理办法、浙江省劳动保护条例等，控制措施及现状：已制定安全防火制度及应急预案。配备消防器材。重点场所标识禁火。定期巡查，消除隐患。每年进行至少一次消防演练。</w:t>
            </w:r>
          </w:p>
          <w:p>
            <w:pPr>
              <w:pStyle w:val="20"/>
              <w:spacing w:line="280" w:lineRule="exact"/>
              <w:ind w:firstLineChars="0"/>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但列入的</w:t>
            </w:r>
            <w:r>
              <w:rPr>
                <w:rFonts w:hint="default" w:ascii="仿宋" w:hAnsi="仿宋" w:eastAsia="仿宋" w:cs="仿宋"/>
                <w:sz w:val="22"/>
                <w:szCs w:val="22"/>
                <w:lang w:val="en-US" w:eastAsia="zh-CN"/>
              </w:rPr>
              <w:t>《中华人民共和国安全生产法》</w:t>
            </w:r>
            <w:r>
              <w:rPr>
                <w:rFonts w:hint="eastAsia" w:ascii="仿宋" w:hAnsi="仿宋" w:eastAsia="仿宋" w:cs="仿宋"/>
                <w:sz w:val="22"/>
                <w:szCs w:val="22"/>
                <w:lang w:val="en-US" w:eastAsia="zh-CN"/>
              </w:rPr>
              <w:t>不是有效的2021版。现场沟通解决。</w:t>
            </w:r>
          </w:p>
        </w:tc>
        <w:tc>
          <w:tcPr>
            <w:tcW w:w="1585" w:type="dxa"/>
          </w:tcPr>
          <w:p>
            <w:pPr>
              <w:pStyle w:val="20"/>
              <w:spacing w:line="280" w:lineRule="exact"/>
              <w:ind w:firstLineChars="0"/>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916" w:type="dxa"/>
            <w:vAlign w:val="center"/>
          </w:tcPr>
          <w:p>
            <w:pPr>
              <w:pStyle w:val="20"/>
              <w:spacing w:line="280" w:lineRule="exact"/>
              <w:ind w:left="0" w:leftChars="0" w:firstLine="0" w:firstLineChar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数据分析和评价</w:t>
            </w:r>
          </w:p>
        </w:tc>
        <w:tc>
          <w:tcPr>
            <w:tcW w:w="1204" w:type="dxa"/>
            <w:vAlign w:val="center"/>
          </w:tcPr>
          <w:p>
            <w:pPr>
              <w:pStyle w:val="20"/>
              <w:spacing w:line="280" w:lineRule="exact"/>
              <w:ind w:left="0" w:leftChars="0" w:firstLine="0" w:firstLineChar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Q9.1.3</w:t>
            </w:r>
          </w:p>
        </w:tc>
        <w:tc>
          <w:tcPr>
            <w:tcW w:w="10004" w:type="dxa"/>
            <w:vAlign w:val="top"/>
          </w:tcPr>
          <w:p>
            <w:pPr>
              <w:pStyle w:val="20"/>
              <w:spacing w:line="280" w:lineRule="exact"/>
              <w:ind w:firstLineChar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查见分析和评价报表，统计的内容包括顾客满意程度、针对风险和机遇所采取措施的有效性、外部供方绩效、策划有效实施、改进的需求等。</w:t>
            </w:r>
          </w:p>
          <w:p>
            <w:pPr>
              <w:pStyle w:val="20"/>
              <w:spacing w:line="280" w:lineRule="exact"/>
              <w:ind w:firstLineChar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根据以上统计数据，企业进行了统计分析，结论：根据以上数据分析与评价，说明公司管理体系运行是正常的、有效的、适宜的；并提出了改进建议，能提交管理评审，控制利用较好。</w:t>
            </w:r>
          </w:p>
        </w:tc>
        <w:tc>
          <w:tcPr>
            <w:tcW w:w="1585" w:type="dxa"/>
          </w:tcPr>
          <w:p>
            <w:pPr>
              <w:pStyle w:val="20"/>
              <w:spacing w:line="280" w:lineRule="exact"/>
              <w:ind w:firstLineChars="0"/>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916" w:type="dxa"/>
            <w:vAlign w:val="top"/>
          </w:tcPr>
          <w:p>
            <w:pPr>
              <w:pStyle w:val="20"/>
              <w:spacing w:line="280" w:lineRule="exact"/>
              <w:ind w:left="0" w:leftChars="0" w:firstLine="0" w:firstLineChar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内部审核</w:t>
            </w:r>
          </w:p>
        </w:tc>
        <w:tc>
          <w:tcPr>
            <w:tcW w:w="1204" w:type="dxa"/>
            <w:vAlign w:val="top"/>
          </w:tcPr>
          <w:p>
            <w:pPr>
              <w:pStyle w:val="20"/>
              <w:spacing w:line="280" w:lineRule="exact"/>
              <w:ind w:left="0" w:leftChars="0" w:firstLine="0" w:firstLineChar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Q9.2</w:t>
            </w:r>
          </w:p>
        </w:tc>
        <w:tc>
          <w:tcPr>
            <w:tcW w:w="10004" w:type="dxa"/>
            <w:vAlign w:val="center"/>
          </w:tcPr>
          <w:p>
            <w:pPr>
              <w:pStyle w:val="20"/>
              <w:spacing w:line="280" w:lineRule="exact"/>
              <w:ind w:firstLineChar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编制了《内部审核程序》，由管代定期组织每年进行一次内审，间隔不超过12月份，全体内审员参加。</w:t>
            </w:r>
          </w:p>
          <w:p>
            <w:pPr>
              <w:pStyle w:val="20"/>
              <w:spacing w:line="280" w:lineRule="exact"/>
              <w:ind w:firstLineChar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依据GB/T19001-2016、GB/T24001-2016、GB/T45001-2020质量/环境/职业健康安全管理体系要求、公司管理体系文件、法律法规和业主的要求。</w:t>
            </w:r>
          </w:p>
          <w:p>
            <w:pPr>
              <w:pStyle w:val="20"/>
              <w:spacing w:line="280" w:lineRule="exact"/>
              <w:ind w:firstLineChar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提供2022年度《内部审核计划》，内审安排1次。明确审核目的、范围、依据、日期，编制:杨加伟  审批：陈家乾 ；2022-10-9。</w:t>
            </w:r>
          </w:p>
          <w:p>
            <w:pPr>
              <w:pStyle w:val="20"/>
              <w:spacing w:line="280" w:lineRule="exact"/>
              <w:ind w:firstLineChar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提供QEO《审核实施计划》；内部审核计划日程安排：2022-4-13~14，组长：郑伟 ，组员：杨加荣、潘少良，有培训记录；</w:t>
            </w:r>
          </w:p>
          <w:p>
            <w:pPr>
              <w:pStyle w:val="20"/>
              <w:spacing w:line="280" w:lineRule="exact"/>
              <w:ind w:firstLineChar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计划内容涉及各部门，条款覆盖整个体系，时间安排合理。同时考虑到互查的公正性。实际审核：2022-4-13~14，有签到表。</w:t>
            </w:r>
          </w:p>
          <w:p>
            <w:pPr>
              <w:pStyle w:val="20"/>
              <w:spacing w:line="280" w:lineRule="exact"/>
              <w:ind w:firstLineChar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查《内审检查表》，有管理层、技术管理部、安全质量部、行政管理部、系统室、变电室、线路室、配网室等部门的审核记录，条款与策划一致，记录真实、完整。包括QEO体系所有条款，没有遗漏。</w:t>
            </w:r>
          </w:p>
          <w:p>
            <w:pPr>
              <w:pStyle w:val="20"/>
              <w:spacing w:line="280" w:lineRule="exact"/>
              <w:ind w:firstLineChar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查《不合格报告》本次发现不符合1个，均为一般不符合。</w:t>
            </w:r>
          </w:p>
          <w:p>
            <w:pPr>
              <w:pStyle w:val="20"/>
              <w:spacing w:line="280" w:lineRule="exact"/>
              <w:ind w:firstLineChar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对于不符合项所采取的纠正等措施，各内审员逐一进行了验证。上述内容记录完整。</w:t>
            </w:r>
          </w:p>
          <w:p>
            <w:pPr>
              <w:pStyle w:val="20"/>
              <w:spacing w:line="280" w:lineRule="exact"/>
              <w:ind w:firstLineChar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提供《内部审核报告》，结论： 公司建立的质量/环境/职业健康安全管理体系基本符合GB/T19001-2016、GB/T24001-2016、GB/T45001-2020标准要求。管理体系的运行是适宜的、充分的、有效的。</w:t>
            </w:r>
          </w:p>
        </w:tc>
        <w:tc>
          <w:tcPr>
            <w:tcW w:w="1585" w:type="dxa"/>
          </w:tcPr>
          <w:p>
            <w:pPr>
              <w:pStyle w:val="20"/>
              <w:spacing w:line="280" w:lineRule="exact"/>
              <w:ind w:firstLineChars="0"/>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Y</w:t>
            </w:r>
          </w:p>
        </w:tc>
      </w:tr>
    </w:tbl>
    <w:p>
      <w:pPr>
        <w:pStyle w:val="20"/>
        <w:spacing w:line="280" w:lineRule="exact"/>
        <w:ind w:firstLineChars="0"/>
        <w:rPr>
          <w:rFonts w:hint="eastAsia" w:ascii="仿宋" w:hAnsi="仿宋" w:eastAsia="仿宋" w:cs="仿宋"/>
          <w:sz w:val="22"/>
          <w:szCs w:val="22"/>
          <w:lang w:val="en-US" w:eastAsia="zh-CN"/>
        </w:rPr>
      </w:pPr>
    </w:p>
    <w:p>
      <w:pPr>
        <w:pStyle w:val="9"/>
      </w:pPr>
      <w:r>
        <w:rPr>
          <w:rFonts w:hint="eastAsia"/>
        </w:rPr>
        <w:t>说明：</w:t>
      </w:r>
      <w:r>
        <w:rPr>
          <w:rFonts w:hint="eastAsia"/>
          <w:lang w:val="en-US" w:eastAsia="zh-CN"/>
        </w:rPr>
        <w:t>符合标注Y，</w:t>
      </w:r>
      <w:r>
        <w:rPr>
          <w:rFonts w:hint="eastAsia"/>
        </w:rPr>
        <w:t>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0"/>
      </w:pBdr>
      <w:spacing w:line="320" w:lineRule="exact"/>
      <w:ind w:firstLine="756" w:firstLineChars="400"/>
      <w:jc w:val="left"/>
    </w:pPr>
    <w:r>
      <w:rPr>
        <w:rStyle w:val="18"/>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F14D68"/>
    <w:multiLevelType w:val="singleLevel"/>
    <w:tmpl w:val="CCF14D68"/>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4ZWJiZGY2YjU2MmRhNjg4NDA1NWJhMzhhZTVmYzcifQ=="/>
  </w:docVars>
  <w:rsids>
    <w:rsidRoot w:val="00814B16"/>
    <w:rsid w:val="00011ABE"/>
    <w:rsid w:val="00076C21"/>
    <w:rsid w:val="00077C88"/>
    <w:rsid w:val="000A75BA"/>
    <w:rsid w:val="000B0CD5"/>
    <w:rsid w:val="000B6409"/>
    <w:rsid w:val="000F14E3"/>
    <w:rsid w:val="00115E0C"/>
    <w:rsid w:val="00121BF2"/>
    <w:rsid w:val="001311B9"/>
    <w:rsid w:val="00133E72"/>
    <w:rsid w:val="00140940"/>
    <w:rsid w:val="00140A69"/>
    <w:rsid w:val="0016036E"/>
    <w:rsid w:val="001937C7"/>
    <w:rsid w:val="001945D7"/>
    <w:rsid w:val="001A05B6"/>
    <w:rsid w:val="001A3B63"/>
    <w:rsid w:val="001C57A3"/>
    <w:rsid w:val="001F0E7B"/>
    <w:rsid w:val="001F37CF"/>
    <w:rsid w:val="002533F4"/>
    <w:rsid w:val="00273847"/>
    <w:rsid w:val="002871F4"/>
    <w:rsid w:val="00287457"/>
    <w:rsid w:val="002B36EC"/>
    <w:rsid w:val="002C22A6"/>
    <w:rsid w:val="002E29A0"/>
    <w:rsid w:val="002E55EA"/>
    <w:rsid w:val="002F05BD"/>
    <w:rsid w:val="003015FB"/>
    <w:rsid w:val="003273C2"/>
    <w:rsid w:val="003445A0"/>
    <w:rsid w:val="003541E0"/>
    <w:rsid w:val="00364D71"/>
    <w:rsid w:val="00382525"/>
    <w:rsid w:val="00384FEF"/>
    <w:rsid w:val="00397D3F"/>
    <w:rsid w:val="003C254E"/>
    <w:rsid w:val="003E434A"/>
    <w:rsid w:val="0042030E"/>
    <w:rsid w:val="0043712F"/>
    <w:rsid w:val="004450A7"/>
    <w:rsid w:val="0047490C"/>
    <w:rsid w:val="004819AB"/>
    <w:rsid w:val="00497971"/>
    <w:rsid w:val="004B20B2"/>
    <w:rsid w:val="004D14C1"/>
    <w:rsid w:val="004D6FC5"/>
    <w:rsid w:val="004E6448"/>
    <w:rsid w:val="004E7665"/>
    <w:rsid w:val="004E7D7E"/>
    <w:rsid w:val="004F4E79"/>
    <w:rsid w:val="00503F34"/>
    <w:rsid w:val="005074C4"/>
    <w:rsid w:val="00507E17"/>
    <w:rsid w:val="00516205"/>
    <w:rsid w:val="00532DE5"/>
    <w:rsid w:val="00551E35"/>
    <w:rsid w:val="0056074B"/>
    <w:rsid w:val="00567182"/>
    <w:rsid w:val="005A2330"/>
    <w:rsid w:val="005A23B2"/>
    <w:rsid w:val="005B6C34"/>
    <w:rsid w:val="005D2531"/>
    <w:rsid w:val="00621EA2"/>
    <w:rsid w:val="006256EF"/>
    <w:rsid w:val="00646303"/>
    <w:rsid w:val="0066353B"/>
    <w:rsid w:val="00663A52"/>
    <w:rsid w:val="00672093"/>
    <w:rsid w:val="00672CC5"/>
    <w:rsid w:val="00680222"/>
    <w:rsid w:val="006842EC"/>
    <w:rsid w:val="006E4E1C"/>
    <w:rsid w:val="006F2650"/>
    <w:rsid w:val="006F2C8A"/>
    <w:rsid w:val="00713C1D"/>
    <w:rsid w:val="00715292"/>
    <w:rsid w:val="007469D5"/>
    <w:rsid w:val="0075560B"/>
    <w:rsid w:val="00756C63"/>
    <w:rsid w:val="00761387"/>
    <w:rsid w:val="00774749"/>
    <w:rsid w:val="007861D2"/>
    <w:rsid w:val="007A3406"/>
    <w:rsid w:val="007B4E33"/>
    <w:rsid w:val="007C5A7D"/>
    <w:rsid w:val="007C6A31"/>
    <w:rsid w:val="007D3A58"/>
    <w:rsid w:val="007E6050"/>
    <w:rsid w:val="00814B16"/>
    <w:rsid w:val="008242EA"/>
    <w:rsid w:val="008265BB"/>
    <w:rsid w:val="00834CE8"/>
    <w:rsid w:val="0085042B"/>
    <w:rsid w:val="008631F9"/>
    <w:rsid w:val="008667F0"/>
    <w:rsid w:val="008A1509"/>
    <w:rsid w:val="008B3B2F"/>
    <w:rsid w:val="008C01A2"/>
    <w:rsid w:val="008D2E87"/>
    <w:rsid w:val="008D3475"/>
    <w:rsid w:val="0092791F"/>
    <w:rsid w:val="00954D65"/>
    <w:rsid w:val="00955C0E"/>
    <w:rsid w:val="00976860"/>
    <w:rsid w:val="00991AEB"/>
    <w:rsid w:val="00992529"/>
    <w:rsid w:val="009977CF"/>
    <w:rsid w:val="009B1072"/>
    <w:rsid w:val="00A01526"/>
    <w:rsid w:val="00A30F85"/>
    <w:rsid w:val="00A52229"/>
    <w:rsid w:val="00A76F84"/>
    <w:rsid w:val="00A86196"/>
    <w:rsid w:val="00A94706"/>
    <w:rsid w:val="00AB5CFD"/>
    <w:rsid w:val="00AE6698"/>
    <w:rsid w:val="00B007F3"/>
    <w:rsid w:val="00B03AA7"/>
    <w:rsid w:val="00B119B7"/>
    <w:rsid w:val="00B361C1"/>
    <w:rsid w:val="00B531A8"/>
    <w:rsid w:val="00B53B05"/>
    <w:rsid w:val="00B6507C"/>
    <w:rsid w:val="00C277AC"/>
    <w:rsid w:val="00C41F32"/>
    <w:rsid w:val="00C4272D"/>
    <w:rsid w:val="00C44388"/>
    <w:rsid w:val="00C60EB8"/>
    <w:rsid w:val="00C827AA"/>
    <w:rsid w:val="00C856E9"/>
    <w:rsid w:val="00C94573"/>
    <w:rsid w:val="00CA1BE3"/>
    <w:rsid w:val="00CB1EB4"/>
    <w:rsid w:val="00CD1E5C"/>
    <w:rsid w:val="00CD4ED7"/>
    <w:rsid w:val="00CD58BC"/>
    <w:rsid w:val="00D05DB2"/>
    <w:rsid w:val="00D6037A"/>
    <w:rsid w:val="00D8356A"/>
    <w:rsid w:val="00D937E0"/>
    <w:rsid w:val="00DA22FF"/>
    <w:rsid w:val="00DE1A2C"/>
    <w:rsid w:val="00DE2FCE"/>
    <w:rsid w:val="00DF19AB"/>
    <w:rsid w:val="00E0114F"/>
    <w:rsid w:val="00E11BD3"/>
    <w:rsid w:val="00E17655"/>
    <w:rsid w:val="00E219A3"/>
    <w:rsid w:val="00E41911"/>
    <w:rsid w:val="00E556FE"/>
    <w:rsid w:val="00E707CA"/>
    <w:rsid w:val="00E944DC"/>
    <w:rsid w:val="00E97654"/>
    <w:rsid w:val="00EA2EA2"/>
    <w:rsid w:val="00EB1A5C"/>
    <w:rsid w:val="00EB6AAC"/>
    <w:rsid w:val="00ED41DC"/>
    <w:rsid w:val="00EE43A0"/>
    <w:rsid w:val="00EE6BAB"/>
    <w:rsid w:val="00F01F3E"/>
    <w:rsid w:val="00F05246"/>
    <w:rsid w:val="00F11424"/>
    <w:rsid w:val="00F13731"/>
    <w:rsid w:val="00F43CC1"/>
    <w:rsid w:val="00F5455B"/>
    <w:rsid w:val="00F62C59"/>
    <w:rsid w:val="00FB5026"/>
    <w:rsid w:val="00FB6FAA"/>
    <w:rsid w:val="00FF0A51"/>
    <w:rsid w:val="00FF1D21"/>
    <w:rsid w:val="01956AAB"/>
    <w:rsid w:val="02133D95"/>
    <w:rsid w:val="023C2EED"/>
    <w:rsid w:val="024141DC"/>
    <w:rsid w:val="03700BD7"/>
    <w:rsid w:val="03933EAF"/>
    <w:rsid w:val="03AE265E"/>
    <w:rsid w:val="03E6163E"/>
    <w:rsid w:val="042A6EF2"/>
    <w:rsid w:val="047F723D"/>
    <w:rsid w:val="04E71FEF"/>
    <w:rsid w:val="05B91908"/>
    <w:rsid w:val="05E732EC"/>
    <w:rsid w:val="06D27AF8"/>
    <w:rsid w:val="06D54FB0"/>
    <w:rsid w:val="074A1D85"/>
    <w:rsid w:val="074D53D1"/>
    <w:rsid w:val="08627F12"/>
    <w:rsid w:val="08896BA5"/>
    <w:rsid w:val="088C1F29"/>
    <w:rsid w:val="08C7736A"/>
    <w:rsid w:val="08EF039D"/>
    <w:rsid w:val="09741A2E"/>
    <w:rsid w:val="0A2D3298"/>
    <w:rsid w:val="0A341FB8"/>
    <w:rsid w:val="0A755CD1"/>
    <w:rsid w:val="0AA51080"/>
    <w:rsid w:val="0B220922"/>
    <w:rsid w:val="0B4F6F61"/>
    <w:rsid w:val="0B66737F"/>
    <w:rsid w:val="0B8F20D5"/>
    <w:rsid w:val="0BA70542"/>
    <w:rsid w:val="0BBE4AEF"/>
    <w:rsid w:val="0BCE7757"/>
    <w:rsid w:val="0BD459E4"/>
    <w:rsid w:val="0C396A19"/>
    <w:rsid w:val="0C6C454B"/>
    <w:rsid w:val="0C863C7A"/>
    <w:rsid w:val="0DA03BB0"/>
    <w:rsid w:val="0EBD2E3C"/>
    <w:rsid w:val="0EC4763F"/>
    <w:rsid w:val="10A865C2"/>
    <w:rsid w:val="11332C1B"/>
    <w:rsid w:val="11B844E6"/>
    <w:rsid w:val="11CA3C1A"/>
    <w:rsid w:val="132C32C4"/>
    <w:rsid w:val="13CA160E"/>
    <w:rsid w:val="13EC5CD8"/>
    <w:rsid w:val="14044D2F"/>
    <w:rsid w:val="14CA06C4"/>
    <w:rsid w:val="1509575D"/>
    <w:rsid w:val="151412DC"/>
    <w:rsid w:val="15550FB2"/>
    <w:rsid w:val="15945CB1"/>
    <w:rsid w:val="162461E6"/>
    <w:rsid w:val="16CA40AF"/>
    <w:rsid w:val="19904BBD"/>
    <w:rsid w:val="19D126EF"/>
    <w:rsid w:val="19DA0035"/>
    <w:rsid w:val="1AC75042"/>
    <w:rsid w:val="1AF31906"/>
    <w:rsid w:val="1B6F0E38"/>
    <w:rsid w:val="1B802E40"/>
    <w:rsid w:val="1C4D7171"/>
    <w:rsid w:val="1D012171"/>
    <w:rsid w:val="1DBE15CC"/>
    <w:rsid w:val="1E353EB3"/>
    <w:rsid w:val="1E6A01BF"/>
    <w:rsid w:val="1E763007"/>
    <w:rsid w:val="1E9F5880"/>
    <w:rsid w:val="1F094D9B"/>
    <w:rsid w:val="1FAA4A5B"/>
    <w:rsid w:val="1FB57B5F"/>
    <w:rsid w:val="1FF9054D"/>
    <w:rsid w:val="200D07E9"/>
    <w:rsid w:val="2065664B"/>
    <w:rsid w:val="20B8420C"/>
    <w:rsid w:val="20D73A3A"/>
    <w:rsid w:val="20EC5803"/>
    <w:rsid w:val="217C5949"/>
    <w:rsid w:val="21AF0D0A"/>
    <w:rsid w:val="225F67BB"/>
    <w:rsid w:val="227F4849"/>
    <w:rsid w:val="22821F7B"/>
    <w:rsid w:val="22E639B9"/>
    <w:rsid w:val="22FD5AA5"/>
    <w:rsid w:val="23A6613D"/>
    <w:rsid w:val="242C438C"/>
    <w:rsid w:val="245A2A83"/>
    <w:rsid w:val="251470D6"/>
    <w:rsid w:val="255C40F0"/>
    <w:rsid w:val="264071ED"/>
    <w:rsid w:val="265D1398"/>
    <w:rsid w:val="26FE3B9A"/>
    <w:rsid w:val="27441EF5"/>
    <w:rsid w:val="27653582"/>
    <w:rsid w:val="276C4FA7"/>
    <w:rsid w:val="27902E71"/>
    <w:rsid w:val="27A16178"/>
    <w:rsid w:val="27AB74DD"/>
    <w:rsid w:val="28A10C81"/>
    <w:rsid w:val="29580844"/>
    <w:rsid w:val="2A050A46"/>
    <w:rsid w:val="2A24600D"/>
    <w:rsid w:val="2A4915D0"/>
    <w:rsid w:val="2B7C5DC4"/>
    <w:rsid w:val="2C1C3440"/>
    <w:rsid w:val="2C490644"/>
    <w:rsid w:val="2C602C01"/>
    <w:rsid w:val="2D381C69"/>
    <w:rsid w:val="2D99286E"/>
    <w:rsid w:val="2DA30834"/>
    <w:rsid w:val="2DEF06E0"/>
    <w:rsid w:val="2E3E2933"/>
    <w:rsid w:val="2E647DF6"/>
    <w:rsid w:val="2EF3730F"/>
    <w:rsid w:val="2F9E416C"/>
    <w:rsid w:val="310D2DE4"/>
    <w:rsid w:val="31BA0817"/>
    <w:rsid w:val="31C11290"/>
    <w:rsid w:val="32F83B93"/>
    <w:rsid w:val="343C3F54"/>
    <w:rsid w:val="3511191C"/>
    <w:rsid w:val="362353CB"/>
    <w:rsid w:val="366C4FC4"/>
    <w:rsid w:val="373D331B"/>
    <w:rsid w:val="37C30C14"/>
    <w:rsid w:val="37C64260"/>
    <w:rsid w:val="37E868CC"/>
    <w:rsid w:val="388B19B5"/>
    <w:rsid w:val="38CF35E8"/>
    <w:rsid w:val="38DF3F58"/>
    <w:rsid w:val="38F0269B"/>
    <w:rsid w:val="39C80763"/>
    <w:rsid w:val="3A064DE8"/>
    <w:rsid w:val="3AF70FB3"/>
    <w:rsid w:val="3C1B147E"/>
    <w:rsid w:val="3CA02558"/>
    <w:rsid w:val="3CAF36AA"/>
    <w:rsid w:val="3CE1063B"/>
    <w:rsid w:val="3CEA2015"/>
    <w:rsid w:val="3CED6733"/>
    <w:rsid w:val="3D392A58"/>
    <w:rsid w:val="3EF76F56"/>
    <w:rsid w:val="3F666DF4"/>
    <w:rsid w:val="402610AB"/>
    <w:rsid w:val="40CB5C4E"/>
    <w:rsid w:val="41D324B8"/>
    <w:rsid w:val="41E03DA1"/>
    <w:rsid w:val="42891A9A"/>
    <w:rsid w:val="432D7889"/>
    <w:rsid w:val="43483B54"/>
    <w:rsid w:val="443B38A3"/>
    <w:rsid w:val="455235D7"/>
    <w:rsid w:val="455E5271"/>
    <w:rsid w:val="45630DFF"/>
    <w:rsid w:val="45CE7741"/>
    <w:rsid w:val="46C15FBB"/>
    <w:rsid w:val="46C44060"/>
    <w:rsid w:val="46F014FB"/>
    <w:rsid w:val="479200EF"/>
    <w:rsid w:val="48455675"/>
    <w:rsid w:val="48931F3C"/>
    <w:rsid w:val="48FB5D34"/>
    <w:rsid w:val="494D2A33"/>
    <w:rsid w:val="49951DA4"/>
    <w:rsid w:val="4A1906BF"/>
    <w:rsid w:val="4BDF193C"/>
    <w:rsid w:val="4C795FDA"/>
    <w:rsid w:val="4CD41C8D"/>
    <w:rsid w:val="4CE51083"/>
    <w:rsid w:val="4D551EB6"/>
    <w:rsid w:val="4D8F3170"/>
    <w:rsid w:val="4DED56EF"/>
    <w:rsid w:val="4DF96CE5"/>
    <w:rsid w:val="4F026383"/>
    <w:rsid w:val="4F90367A"/>
    <w:rsid w:val="4FD2663D"/>
    <w:rsid w:val="4FD85DBD"/>
    <w:rsid w:val="5012779C"/>
    <w:rsid w:val="507F55C1"/>
    <w:rsid w:val="50DA086D"/>
    <w:rsid w:val="50EE1CF2"/>
    <w:rsid w:val="526A6404"/>
    <w:rsid w:val="52BF06E6"/>
    <w:rsid w:val="52CD0741"/>
    <w:rsid w:val="533F47B1"/>
    <w:rsid w:val="53A3031B"/>
    <w:rsid w:val="53BF7FBF"/>
    <w:rsid w:val="53D31D87"/>
    <w:rsid w:val="53E04287"/>
    <w:rsid w:val="54290C50"/>
    <w:rsid w:val="543071D9"/>
    <w:rsid w:val="551E34D6"/>
    <w:rsid w:val="55F66455"/>
    <w:rsid w:val="56731B3C"/>
    <w:rsid w:val="568D26C1"/>
    <w:rsid w:val="56A241DD"/>
    <w:rsid w:val="56D025AE"/>
    <w:rsid w:val="58665DC7"/>
    <w:rsid w:val="58823FEC"/>
    <w:rsid w:val="59381A7E"/>
    <w:rsid w:val="593E5EF4"/>
    <w:rsid w:val="5A407357"/>
    <w:rsid w:val="5A584374"/>
    <w:rsid w:val="5A5B1DED"/>
    <w:rsid w:val="5AA21673"/>
    <w:rsid w:val="5AE12FE7"/>
    <w:rsid w:val="5B2F5ECA"/>
    <w:rsid w:val="5BC92DFA"/>
    <w:rsid w:val="5BCC1553"/>
    <w:rsid w:val="5C3B10C6"/>
    <w:rsid w:val="5CD44C52"/>
    <w:rsid w:val="5CF52286"/>
    <w:rsid w:val="5D0B414F"/>
    <w:rsid w:val="5DE60AE0"/>
    <w:rsid w:val="5F194F46"/>
    <w:rsid w:val="5FE60C0E"/>
    <w:rsid w:val="617A7CE6"/>
    <w:rsid w:val="623A0D90"/>
    <w:rsid w:val="624955EC"/>
    <w:rsid w:val="62595323"/>
    <w:rsid w:val="62604FE7"/>
    <w:rsid w:val="62BE1E54"/>
    <w:rsid w:val="62CD2171"/>
    <w:rsid w:val="635A009E"/>
    <w:rsid w:val="63C230E7"/>
    <w:rsid w:val="6406568B"/>
    <w:rsid w:val="64DF4A2F"/>
    <w:rsid w:val="65D42EF0"/>
    <w:rsid w:val="65D96540"/>
    <w:rsid w:val="66A91828"/>
    <w:rsid w:val="675863D3"/>
    <w:rsid w:val="68177D1E"/>
    <w:rsid w:val="68D97C22"/>
    <w:rsid w:val="68FE744E"/>
    <w:rsid w:val="69482477"/>
    <w:rsid w:val="69907DAF"/>
    <w:rsid w:val="6A9F72CD"/>
    <w:rsid w:val="6AA024C0"/>
    <w:rsid w:val="6B4C3AD1"/>
    <w:rsid w:val="6B8C0D41"/>
    <w:rsid w:val="6C2350B1"/>
    <w:rsid w:val="6C705F6D"/>
    <w:rsid w:val="6CB0280D"/>
    <w:rsid w:val="6CB5285B"/>
    <w:rsid w:val="6CEA5E19"/>
    <w:rsid w:val="6D2B458A"/>
    <w:rsid w:val="6E1D7FF6"/>
    <w:rsid w:val="6E2D6717"/>
    <w:rsid w:val="6E383DC0"/>
    <w:rsid w:val="6E5D105F"/>
    <w:rsid w:val="6EE113A4"/>
    <w:rsid w:val="6EF7427F"/>
    <w:rsid w:val="6F8F13F5"/>
    <w:rsid w:val="6FDF3B3D"/>
    <w:rsid w:val="6FF92470"/>
    <w:rsid w:val="71082373"/>
    <w:rsid w:val="712A185C"/>
    <w:rsid w:val="72D66D46"/>
    <w:rsid w:val="72E15E16"/>
    <w:rsid w:val="73A0182E"/>
    <w:rsid w:val="73F43927"/>
    <w:rsid w:val="741C7488"/>
    <w:rsid w:val="747405C4"/>
    <w:rsid w:val="747D06DB"/>
    <w:rsid w:val="749D20CF"/>
    <w:rsid w:val="75413C74"/>
    <w:rsid w:val="75BC60A5"/>
    <w:rsid w:val="77E75D3E"/>
    <w:rsid w:val="78200226"/>
    <w:rsid w:val="787119EB"/>
    <w:rsid w:val="78793A13"/>
    <w:rsid w:val="78C31B1A"/>
    <w:rsid w:val="797929F2"/>
    <w:rsid w:val="79B325B0"/>
    <w:rsid w:val="7A5522A6"/>
    <w:rsid w:val="7A870D46"/>
    <w:rsid w:val="7A8B41B3"/>
    <w:rsid w:val="7DC720AD"/>
    <w:rsid w:val="7E763467"/>
    <w:rsid w:val="7EEF4AE5"/>
    <w:rsid w:val="7FDD34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细黑" w:cs="Times New Roman"/>
      <w:kern w:val="2"/>
      <w:sz w:val="21"/>
      <w:lang w:val="en-US" w:eastAsia="zh-CN" w:bidi="ar-SA"/>
    </w:rPr>
  </w:style>
  <w:style w:type="paragraph" w:styleId="5">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paragraph" w:styleId="2">
    <w:name w:val="heading 2"/>
    <w:basedOn w:val="1"/>
    <w:next w:val="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line="312" w:lineRule="auto"/>
    </w:pPr>
    <w:rPr>
      <w:rFonts w:ascii="Arial" w:hAnsi="Arial" w:eastAsia="楷体_GB2312"/>
      <w:spacing w:val="20"/>
      <w:sz w:val="24"/>
      <w:szCs w:val="20"/>
    </w:rPr>
  </w:style>
  <w:style w:type="paragraph" w:customStyle="1" w:styleId="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Normal Indent"/>
    <w:basedOn w:val="1"/>
    <w:qFormat/>
    <w:uiPriority w:val="0"/>
    <w:pPr>
      <w:ind w:firstLine="420" w:firstLineChars="200"/>
    </w:pPr>
  </w:style>
  <w:style w:type="paragraph" w:styleId="7">
    <w:name w:val="Plain Text"/>
    <w:basedOn w:val="1"/>
    <w:qFormat/>
    <w:uiPriority w:val="0"/>
    <w:rPr>
      <w:rFonts w:ascii="宋体" w:hAnsi="Courier New"/>
      <w:sz w:val="28"/>
      <w:szCs w:val="20"/>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文字"/>
    <w:basedOn w:val="1"/>
    <w:qFormat/>
    <w:uiPriority w:val="0"/>
    <w:pPr>
      <w:spacing w:before="25" w:after="25"/>
    </w:pPr>
    <w:rPr>
      <w:bCs/>
      <w:spacing w:val="10"/>
    </w:rPr>
  </w:style>
  <w:style w:type="character" w:customStyle="1" w:styleId="15">
    <w:name w:val="页眉 字符"/>
    <w:basedOn w:val="13"/>
    <w:link w:val="10"/>
    <w:qFormat/>
    <w:uiPriority w:val="99"/>
    <w:rPr>
      <w:rFonts w:ascii="Times New Roman" w:hAnsi="Times New Roman" w:eastAsia="宋体" w:cs="Times New Roman"/>
      <w:sz w:val="18"/>
      <w:szCs w:val="18"/>
    </w:rPr>
  </w:style>
  <w:style w:type="character" w:customStyle="1" w:styleId="16">
    <w:name w:val="页脚 字符"/>
    <w:basedOn w:val="13"/>
    <w:link w:val="9"/>
    <w:qFormat/>
    <w:uiPriority w:val="99"/>
    <w:rPr>
      <w:rFonts w:ascii="Times New Roman" w:hAnsi="Times New Roman" w:eastAsia="宋体" w:cs="Times New Roman"/>
      <w:sz w:val="18"/>
      <w:szCs w:val="18"/>
    </w:rPr>
  </w:style>
  <w:style w:type="character" w:customStyle="1" w:styleId="17">
    <w:name w:val="批注框文本 字符"/>
    <w:basedOn w:val="13"/>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Char"/>
    <w:basedOn w:val="1"/>
    <w:qFormat/>
    <w:uiPriority w:val="0"/>
    <w:rPr>
      <w:rFonts w:ascii="仿宋_GB2312" w:eastAsia="仿宋_GB2312"/>
      <w:b/>
      <w:sz w:val="32"/>
      <w:szCs w:val="32"/>
    </w:rPr>
  </w:style>
  <w:style w:type="paragraph" w:customStyle="1" w:styleId="20">
    <w:name w:val="_Style 2"/>
    <w:basedOn w:val="1"/>
    <w:qFormat/>
    <w:uiPriority w:val="34"/>
    <w:pPr>
      <w:ind w:firstLine="420" w:firstLineChars="200"/>
    </w:pPr>
    <w:rPr>
      <w:rFonts w:ascii="Calibri" w:hAnsi="Calibri"/>
      <w:sz w:val="24"/>
      <w:szCs w:val="22"/>
    </w:rPr>
  </w:style>
  <w:style w:type="paragraph" w:customStyle="1" w:styleId="2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5575</Words>
  <Characters>6079</Characters>
  <Lines>38</Lines>
  <Paragraphs>10</Paragraphs>
  <TotalTime>1</TotalTime>
  <ScaleCrop>false</ScaleCrop>
  <LinksUpToDate>false</LinksUpToDate>
  <CharactersWithSpaces>6129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春华秋实</cp:lastModifiedBy>
  <dcterms:modified xsi:type="dcterms:W3CDTF">2022-11-18T08:48:39Z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C693479E47E7432F8E1CA6B8C31B5A4A</vt:lpwstr>
  </property>
</Properties>
</file>