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204"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eastAsia="zh-CN"/>
              </w:rPr>
              <w:t>安质部</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val="en-US" w:eastAsia="zh-CN"/>
              </w:rPr>
              <w:t xml:space="preserve">唐于越  </w:t>
            </w:r>
            <w:r>
              <w:rPr>
                <w:rFonts w:hint="eastAsia" w:ascii="华文细黑" w:hAnsi="华文细黑" w:eastAsia="华文细黑" w:cs="华文细黑"/>
                <w:sz w:val="21"/>
                <w:szCs w:val="21"/>
              </w:rPr>
              <w:t>陪同人员：</w:t>
            </w:r>
            <w:r>
              <w:rPr>
                <w:rFonts w:hint="eastAsia" w:ascii="华文细黑" w:hAnsi="华文细黑" w:cs="华文细黑"/>
                <w:sz w:val="21"/>
                <w:szCs w:val="21"/>
                <w:lang w:val="en-US" w:eastAsia="zh-CN"/>
              </w:rPr>
              <w:t>杨加荣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张磊</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2022年</w:t>
            </w:r>
            <w:r>
              <w:rPr>
                <w:rFonts w:hint="eastAsia" w:ascii="华文细黑" w:hAnsi="华文细黑" w:cs="华文细黑"/>
                <w:sz w:val="21"/>
                <w:szCs w:val="21"/>
                <w:lang w:val="en-US" w:eastAsia="zh-CN"/>
              </w:rPr>
              <w:t>11</w:t>
            </w:r>
            <w:r>
              <w:rPr>
                <w:rFonts w:hint="eastAsia" w:ascii="华文细黑" w:hAnsi="华文细黑" w:eastAsia="华文细黑" w:cs="华文细黑"/>
                <w:sz w:val="21"/>
                <w:szCs w:val="21"/>
                <w:lang w:val="en-US" w:eastAsia="zh-CN"/>
              </w:rPr>
              <w:t>月</w:t>
            </w:r>
            <w:r>
              <w:rPr>
                <w:rFonts w:hint="eastAsia" w:ascii="华文细黑" w:hAnsi="华文细黑" w:cs="华文细黑"/>
                <w:sz w:val="21"/>
                <w:szCs w:val="21"/>
                <w:lang w:val="en-US" w:eastAsia="zh-CN"/>
              </w:rPr>
              <w:t>19</w:t>
            </w:r>
            <w:r>
              <w:rPr>
                <w:rFonts w:hint="eastAsia" w:ascii="华文细黑" w:hAnsi="华文细黑" w:eastAsia="华文细黑" w:cs="华文细黑"/>
                <w:sz w:val="21"/>
                <w:szCs w:val="21"/>
                <w:lang w:val="en-US" w:eastAsia="zh-CN"/>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pStyle w:val="2"/>
              <w:numPr>
                <w:ilvl w:val="0"/>
                <w:numId w:val="0"/>
              </w:numPr>
              <w:rPr>
                <w:rFonts w:hint="eastAsia"/>
                <w:sz w:val="21"/>
                <w:szCs w:val="21"/>
                <w:lang w:val="en-US" w:eastAsia="zh-CN"/>
              </w:rPr>
            </w:pPr>
            <w:r>
              <w:rPr>
                <w:rFonts w:hint="eastAsia"/>
                <w:sz w:val="21"/>
                <w:szCs w:val="21"/>
                <w:lang w:val="en-US" w:eastAsia="zh-CN"/>
              </w:rPr>
              <w:t>审核条款：</w:t>
            </w:r>
          </w:p>
          <w:p>
            <w:pPr>
              <w:spacing w:line="300" w:lineRule="exact"/>
              <w:jc w:val="left"/>
              <w:rPr>
                <w:rFonts w:hint="default"/>
                <w:sz w:val="21"/>
                <w:szCs w:val="21"/>
                <w:lang w:val="en-US" w:eastAsia="zh-CN"/>
              </w:rPr>
            </w:pPr>
            <w:r>
              <w:rPr>
                <w:rFonts w:hint="eastAsia"/>
                <w:sz w:val="21"/>
                <w:szCs w:val="21"/>
                <w:lang w:val="en-US" w:eastAsia="zh-CN"/>
              </w:rPr>
              <w:t>QEO：5.3、6.2</w:t>
            </w:r>
          </w:p>
          <w:p>
            <w:pPr>
              <w:pStyle w:val="2"/>
              <w:numPr>
                <w:ilvl w:val="0"/>
                <w:numId w:val="0"/>
              </w:numPr>
              <w:rPr>
                <w:rFonts w:hint="default"/>
                <w:sz w:val="21"/>
                <w:szCs w:val="21"/>
                <w:lang w:val="en-US" w:eastAsia="zh-CN"/>
              </w:rPr>
            </w:pPr>
            <w:r>
              <w:rPr>
                <w:rFonts w:hint="eastAsia"/>
                <w:sz w:val="21"/>
                <w:szCs w:val="21"/>
                <w:lang w:val="en-US" w:eastAsia="zh-CN"/>
              </w:rPr>
              <w:t>EO：8.1、8.2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16"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组织的岗位、职责和权限</w:t>
            </w:r>
          </w:p>
        </w:tc>
        <w:tc>
          <w:tcPr>
            <w:tcW w:w="1204"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QEO5.3</w:t>
            </w:r>
          </w:p>
        </w:tc>
        <w:tc>
          <w:tcPr>
            <w:tcW w:w="10004" w:type="dxa"/>
            <w:vAlign w:val="center"/>
          </w:tcPr>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审核发现，组织安质部主要负责日常安全工作检查、应急准备和响应工作。</w:t>
            </w:r>
          </w:p>
          <w:p>
            <w:pPr>
              <w:spacing w:line="280" w:lineRule="exact"/>
              <w:ind w:firstLine="420" w:firstLineChars="200"/>
              <w:rPr>
                <w:rFonts w:hint="eastAsia" w:ascii="宋体" w:hAnsi="宋体" w:eastAsia="华文细黑" w:cs="宋体"/>
                <w:kern w:val="2"/>
                <w:sz w:val="21"/>
                <w:szCs w:val="21"/>
                <w:lang w:val="en-US" w:eastAsia="zh-CN" w:bidi="ar-SA"/>
              </w:rPr>
            </w:pPr>
            <w:r>
              <w:rPr>
                <w:rFonts w:hint="eastAsia"/>
                <w:lang w:val="en-US" w:eastAsia="zh-CN"/>
              </w:rPr>
              <w:t>与安质部负责人唐于越沟通，对其部门职责和权限基本清楚，符合要求。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Align w:val="top"/>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kern w:val="2"/>
                <w:sz w:val="21"/>
                <w:szCs w:val="21"/>
                <w:lang w:val="en-US" w:eastAsia="zh-CN" w:bidi="ar-SA"/>
              </w:rPr>
            </w:pPr>
          </w:p>
        </w:tc>
        <w:tc>
          <w:tcPr>
            <w:tcW w:w="1204"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Q</w:t>
            </w:r>
            <w:r>
              <w:rPr>
                <w:rFonts w:hint="eastAsia" w:ascii="华文细黑" w:hAnsi="华文细黑" w:eastAsia="华文细黑" w:cs="华文细黑"/>
                <w:szCs w:val="21"/>
                <w:lang w:val="en-US" w:eastAsia="zh-CN"/>
              </w:rPr>
              <w:t>EO</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r>
              <w:rPr>
                <w:rFonts w:hint="eastAsia" w:ascii="宋体" w:hAnsi="宋体" w:cs="宋体"/>
                <w:szCs w:val="21"/>
                <w:lang w:eastAsia="zh-CN"/>
              </w:rPr>
              <w:t>安质部</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numPr>
                <w:ilvl w:val="0"/>
                <w:numId w:val="0"/>
              </w:num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1.不发生安全事故</w:t>
            </w:r>
          </w:p>
          <w:p>
            <w:pPr>
              <w:pStyle w:val="2"/>
              <w:numPr>
                <w:ilvl w:val="0"/>
                <w:numId w:val="0"/>
              </w:numPr>
              <w:ind w:firstLine="420" w:firstLineChars="200"/>
              <w:rPr>
                <w:rFonts w:hint="default"/>
                <w:lang w:val="en-US" w:eastAsia="zh-CN"/>
              </w:rPr>
            </w:pPr>
            <w:r>
              <w:rPr>
                <w:rFonts w:hint="eastAsia"/>
                <w:lang w:val="en-US" w:eastAsia="zh-CN"/>
              </w:rPr>
              <w:t>2.有各项应急预案</w:t>
            </w:r>
          </w:p>
          <w:p>
            <w:pPr>
              <w:ind w:firstLine="420" w:firstLineChars="200"/>
              <w:rPr>
                <w:rFonts w:hint="eastAsia" w:ascii="宋体" w:hAnsi="宋体" w:eastAsia="华文细黑" w:cs="宋体"/>
                <w:kern w:val="2"/>
                <w:sz w:val="21"/>
                <w:szCs w:val="21"/>
                <w:lang w:val="en-US" w:eastAsia="zh-CN" w:bidi="ar-SA"/>
              </w:rPr>
            </w:pPr>
            <w:r>
              <w:rPr>
                <w:rFonts w:hint="eastAsia" w:ascii="宋体" w:hAnsi="宋体" w:cs="宋体"/>
                <w:szCs w:val="21"/>
              </w:rPr>
              <w:t>目标可</w:t>
            </w:r>
            <w:r>
              <w:rPr>
                <w:rFonts w:hint="eastAsia" w:ascii="宋体" w:hAnsi="宋体" w:cs="宋体"/>
                <w:szCs w:val="21"/>
                <w:lang w:val="en-US" w:eastAsia="zh-CN"/>
              </w:rPr>
              <w:t>度量</w:t>
            </w:r>
            <w:r>
              <w:rPr>
                <w:rFonts w:hint="eastAsia" w:ascii="宋体" w:hAnsi="宋体" w:cs="宋体"/>
                <w:szCs w:val="21"/>
              </w:rPr>
              <w:t>，与方针一致。</w:t>
            </w:r>
            <w:r>
              <w:rPr>
                <w:rFonts w:hint="eastAsia" w:ascii="宋体" w:hAnsi="宋体" w:cs="宋体"/>
                <w:szCs w:val="21"/>
                <w:lang w:val="en-US" w:eastAsia="zh-CN"/>
              </w:rPr>
              <w:t>抽查截止审核期间的监视记录《方针目标对标自查表》表明：安质部的目标有按要求完成。</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16"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环境和职业健康安全运行控制</w:t>
            </w:r>
          </w:p>
        </w:tc>
        <w:tc>
          <w:tcPr>
            <w:tcW w:w="1204" w:type="dxa"/>
          </w:tcPr>
          <w:p>
            <w:pPr>
              <w:spacing w:line="280" w:lineRule="exact"/>
              <w:rPr>
                <w:rFonts w:hint="default" w:ascii="华文细黑" w:hAnsi="华文细黑" w:eastAsia="华文细黑" w:cs="华文细黑"/>
                <w:color w:val="000000"/>
                <w:kern w:val="0"/>
                <w:szCs w:val="21"/>
                <w:lang w:val="en-US" w:eastAsia="zh-CN"/>
              </w:rPr>
            </w:pPr>
            <w:r>
              <w:rPr>
                <w:rFonts w:hint="eastAsia" w:ascii="华文细黑" w:hAnsi="华文细黑" w:cs="华文细黑"/>
                <w:color w:val="000000"/>
                <w:kern w:val="0"/>
                <w:szCs w:val="21"/>
                <w:lang w:val="en-US" w:eastAsia="zh-CN"/>
              </w:rPr>
              <w:t>EO8.1</w:t>
            </w:r>
          </w:p>
        </w:tc>
        <w:tc>
          <w:tcPr>
            <w:tcW w:w="10004" w:type="dxa"/>
            <w:vAlign w:val="center"/>
          </w:tcPr>
          <w:p>
            <w:pPr>
              <w:spacing w:line="280" w:lineRule="exact"/>
              <w:ind w:firstLine="420" w:firstLineChars="200"/>
              <w:rPr>
                <w:rFonts w:hint="eastAsia"/>
                <w:color w:val="auto"/>
                <w:lang w:val="en-US" w:eastAsia="zh-CN"/>
              </w:rPr>
            </w:pPr>
            <w:r>
              <w:rPr>
                <w:rFonts w:hint="eastAsia"/>
                <w:color w:val="auto"/>
                <w:lang w:val="en-US" w:eastAsia="zh-CN"/>
              </w:rPr>
              <w:t>组织安质部的环境和职业健康安全运行控制准则包括程序文件如《环境和职业健康安全运行控制程序》等，具体运行控制情况如下：</w:t>
            </w:r>
          </w:p>
          <w:p>
            <w:pPr>
              <w:spacing w:line="280" w:lineRule="exact"/>
              <w:ind w:firstLine="420" w:firstLineChars="200"/>
              <w:rPr>
                <w:rFonts w:hint="eastAsia"/>
                <w:color w:val="auto"/>
              </w:rPr>
            </w:pPr>
            <w:r>
              <w:rPr>
                <w:rFonts w:hint="eastAsia"/>
                <w:color w:val="auto"/>
              </w:rPr>
              <w:t>1</w:t>
            </w:r>
            <w:r>
              <w:rPr>
                <w:rFonts w:hint="eastAsia"/>
                <w:color w:val="auto"/>
                <w:lang w:val="en-US" w:eastAsia="zh-CN"/>
              </w:rPr>
              <w:t>.</w:t>
            </w:r>
            <w:r>
              <w:rPr>
                <w:rFonts w:hint="eastAsia"/>
                <w:color w:val="auto"/>
              </w:rPr>
              <w:t>固废管控</w:t>
            </w:r>
          </w:p>
          <w:p>
            <w:pPr>
              <w:numPr>
                <w:ilvl w:val="0"/>
                <w:numId w:val="0"/>
              </w:numPr>
              <w:ind w:firstLine="420" w:firstLineChars="200"/>
              <w:rPr>
                <w:rFonts w:hint="default" w:ascii="Times New Roman" w:hAnsi="Times New Roman" w:cs="Times New Roman"/>
                <w:color w:val="auto"/>
                <w:lang w:val="en-US" w:eastAsia="zh-CN"/>
              </w:rPr>
            </w:pPr>
            <w:r>
              <w:rPr>
                <w:rFonts w:hint="eastAsia"/>
                <w:color w:val="auto"/>
                <w:lang w:val="en-US" w:eastAsia="zh-CN"/>
              </w:rPr>
              <w:t>审核发现，组织的固废均为一般固废：</w:t>
            </w:r>
            <w:r>
              <w:rPr>
                <w:rFonts w:hint="eastAsia"/>
                <w:color w:val="auto"/>
              </w:rPr>
              <w:t>生活垃圾</w:t>
            </w:r>
            <w:r>
              <w:rPr>
                <w:rFonts w:hint="eastAsia"/>
                <w:color w:val="auto"/>
                <w:lang w:val="en-US" w:eastAsia="zh-CN"/>
              </w:rPr>
              <w:t>分类搜集后由市政</w:t>
            </w:r>
            <w:r>
              <w:rPr>
                <w:rFonts w:hint="eastAsia"/>
                <w:color w:val="auto"/>
              </w:rPr>
              <w:t>环卫部门</w:t>
            </w:r>
            <w:r>
              <w:rPr>
                <w:rFonts w:hint="eastAsia"/>
                <w:color w:val="auto"/>
                <w:lang w:val="en-US" w:eastAsia="zh-CN"/>
              </w:rPr>
              <w:t>统一</w:t>
            </w:r>
            <w:r>
              <w:rPr>
                <w:rFonts w:hint="eastAsia"/>
                <w:color w:val="auto"/>
              </w:rPr>
              <w:t>清运；</w:t>
            </w:r>
            <w:r>
              <w:rPr>
                <w:rFonts w:hint="eastAsia"/>
                <w:color w:val="auto"/>
                <w:lang w:val="en-US" w:eastAsia="zh-CN"/>
              </w:rPr>
              <w:t>办公固废由供应商回收。现场查看组织一般固废均有按要求进行分类搜集。</w:t>
            </w:r>
          </w:p>
          <w:p>
            <w:pPr>
              <w:spacing w:line="280" w:lineRule="exact"/>
              <w:ind w:firstLine="420" w:firstLineChars="200"/>
              <w:rPr>
                <w:rFonts w:hint="eastAsia"/>
                <w:color w:val="auto"/>
                <w:lang w:val="en-US" w:eastAsia="zh-CN"/>
              </w:rPr>
            </w:pPr>
            <w:r>
              <w:rPr>
                <w:rFonts w:hint="eastAsia"/>
                <w:color w:val="auto"/>
                <w:lang w:val="en-US" w:eastAsia="zh-CN"/>
              </w:rPr>
              <w:t>2.废水管控</w:t>
            </w:r>
          </w:p>
          <w:p>
            <w:pPr>
              <w:spacing w:line="280" w:lineRule="exact"/>
              <w:ind w:firstLine="420" w:firstLineChars="200"/>
              <w:rPr>
                <w:rFonts w:hint="default"/>
                <w:color w:val="auto"/>
                <w:lang w:val="en-US" w:eastAsia="zh-CN"/>
              </w:rPr>
            </w:pPr>
            <w:r>
              <w:rPr>
                <w:rFonts w:hint="eastAsia" w:cs="Times New Roman"/>
                <w:color w:val="auto"/>
                <w:lang w:val="en-US" w:eastAsia="zh-CN"/>
              </w:rPr>
              <w:t>组织的</w:t>
            </w:r>
            <w:r>
              <w:rPr>
                <w:rFonts w:hint="eastAsia" w:ascii="Times New Roman" w:hAnsi="Times New Roman" w:cs="Times New Roman"/>
                <w:color w:val="auto"/>
              </w:rPr>
              <w:t>生活污水</w:t>
            </w:r>
            <w:r>
              <w:rPr>
                <w:rFonts w:hint="eastAsia" w:cs="Times New Roman"/>
                <w:color w:val="auto"/>
                <w:lang w:val="en-US" w:eastAsia="zh-CN"/>
              </w:rPr>
              <w:t>统一排入市政污水管网，无其它废</w:t>
            </w:r>
            <w:r>
              <w:rPr>
                <w:rFonts w:hint="eastAsia"/>
                <w:color w:val="auto"/>
                <w:lang w:val="en-US" w:eastAsia="zh-CN"/>
              </w:rPr>
              <w:t>水；现场未见办公区域废水管道中倾倒或放置化学品、油品和其他污染物等现象。</w:t>
            </w:r>
          </w:p>
          <w:p>
            <w:pPr>
              <w:bidi w:val="0"/>
              <w:ind w:firstLine="420" w:firstLineChars="200"/>
              <w:rPr>
                <w:rFonts w:hint="eastAsia"/>
                <w:color w:val="auto"/>
                <w:lang w:val="en-US" w:eastAsia="zh-CN"/>
              </w:rPr>
            </w:pPr>
            <w:r>
              <w:rPr>
                <w:rFonts w:hint="eastAsia"/>
                <w:color w:val="auto"/>
                <w:lang w:val="en-US" w:eastAsia="zh-CN"/>
              </w:rPr>
              <w:t>3.废气管控</w:t>
            </w:r>
          </w:p>
          <w:p>
            <w:pPr>
              <w:spacing w:line="280" w:lineRule="exact"/>
              <w:ind w:firstLine="420" w:firstLineChars="200"/>
              <w:rPr>
                <w:rFonts w:hint="eastAsia" w:cs="Times New Roman"/>
                <w:color w:val="auto"/>
                <w:lang w:val="en-US" w:eastAsia="zh-CN"/>
              </w:rPr>
            </w:pPr>
            <w:r>
              <w:rPr>
                <w:rFonts w:hint="eastAsia" w:cs="Times New Roman"/>
                <w:color w:val="auto"/>
                <w:lang w:val="en-US" w:eastAsia="zh-CN"/>
              </w:rPr>
              <w:t>组织涉及的废气有汽车尾气、晒图机、绘图仪产生气体的排放：组织的公用机动车辆按期参加车辆年度检测。</w:t>
            </w:r>
          </w:p>
          <w:p>
            <w:pPr>
              <w:spacing w:line="280" w:lineRule="exact"/>
              <w:ind w:firstLine="420" w:firstLineChars="200"/>
              <w:rPr>
                <w:rFonts w:hint="eastAsia"/>
                <w:color w:val="auto"/>
              </w:rPr>
            </w:pPr>
            <w:r>
              <w:rPr>
                <w:rFonts w:hint="eastAsia"/>
                <w:color w:val="auto"/>
                <w:lang w:val="en-US" w:eastAsia="zh-CN"/>
              </w:rPr>
              <w:t>4.</w:t>
            </w:r>
            <w:r>
              <w:rPr>
                <w:rFonts w:hint="eastAsia"/>
                <w:color w:val="auto"/>
              </w:rPr>
              <w:t>噪声管控</w:t>
            </w:r>
          </w:p>
          <w:p>
            <w:pPr>
              <w:pStyle w:val="2"/>
              <w:rPr>
                <w:rFonts w:hint="default"/>
                <w:color w:val="0000FF"/>
                <w:lang w:val="en-US" w:eastAsia="zh-CN"/>
              </w:rPr>
            </w:pPr>
            <w:r>
              <w:rPr>
                <w:rFonts w:hint="eastAsia" w:cs="Times New Roman"/>
                <w:color w:val="auto"/>
                <w:lang w:val="en-US" w:eastAsia="zh-CN"/>
              </w:rPr>
              <w:t>组织的业务活动不涉及噪声的排放。</w:t>
            </w:r>
          </w:p>
          <w:p>
            <w:pPr>
              <w:numPr>
                <w:ilvl w:val="0"/>
                <w:numId w:val="0"/>
              </w:numPr>
              <w:ind w:firstLine="420" w:firstLineChars="200"/>
              <w:rPr>
                <w:rFonts w:hint="eastAsia"/>
                <w:color w:val="auto"/>
                <w:lang w:val="en-US" w:eastAsia="zh-CN"/>
              </w:rPr>
            </w:pPr>
            <w:r>
              <w:rPr>
                <w:rFonts w:hint="eastAsia"/>
                <w:color w:val="auto"/>
                <w:lang w:val="en-US" w:eastAsia="zh-CN"/>
              </w:rPr>
              <w:t>5.潜在火灾管控</w:t>
            </w:r>
          </w:p>
          <w:p>
            <w:pPr>
              <w:numPr>
                <w:ilvl w:val="0"/>
                <w:numId w:val="0"/>
              </w:numPr>
              <w:ind w:firstLine="420" w:firstLineChars="200"/>
              <w:rPr>
                <w:color w:val="auto"/>
              </w:rPr>
            </w:pPr>
            <w:r>
              <w:rPr>
                <w:rFonts w:hint="eastAsia"/>
                <w:color w:val="auto"/>
                <w:lang w:val="en-US" w:eastAsia="zh-CN"/>
              </w:rPr>
              <w:t>组织</w:t>
            </w:r>
            <w:r>
              <w:rPr>
                <w:rFonts w:hint="eastAsia"/>
                <w:color w:val="auto"/>
              </w:rPr>
              <w:t>办公</w:t>
            </w:r>
            <w:r>
              <w:rPr>
                <w:rFonts w:hint="eastAsia"/>
                <w:color w:val="auto"/>
                <w:lang w:val="en-US" w:eastAsia="zh-CN"/>
              </w:rPr>
              <w:t>场所均</w:t>
            </w:r>
            <w:r>
              <w:rPr>
                <w:rFonts w:hint="eastAsia"/>
                <w:color w:val="auto"/>
              </w:rPr>
              <w:t>配有灭火器</w:t>
            </w:r>
            <w:r>
              <w:rPr>
                <w:rFonts w:hint="eastAsia"/>
                <w:color w:val="auto"/>
                <w:lang w:eastAsia="zh-CN"/>
              </w:rPr>
              <w:t>、</w:t>
            </w:r>
            <w:r>
              <w:rPr>
                <w:rFonts w:hint="eastAsia"/>
                <w:color w:val="auto"/>
                <w:lang w:val="en-US" w:eastAsia="zh-CN"/>
              </w:rPr>
              <w:t>消防栓和喷淋设施</w:t>
            </w:r>
            <w:r>
              <w:rPr>
                <w:rFonts w:hint="eastAsia"/>
                <w:color w:val="auto"/>
                <w:lang w:eastAsia="zh-CN"/>
              </w:rPr>
              <w:t>；</w:t>
            </w:r>
            <w:r>
              <w:rPr>
                <w:rFonts w:hint="eastAsia"/>
                <w:color w:val="auto"/>
                <w:lang w:val="en-US" w:eastAsia="zh-CN"/>
              </w:rPr>
              <w:t>现场检查，均有按要求点检维护，消防标志有效，消防通道畅通，基本满足要求。</w:t>
            </w:r>
          </w:p>
          <w:p>
            <w:pPr>
              <w:numPr>
                <w:ilvl w:val="0"/>
                <w:numId w:val="0"/>
              </w:numPr>
              <w:snapToGrid w:val="0"/>
              <w:ind w:firstLine="420" w:firstLineChars="200"/>
              <w:jc w:val="left"/>
              <w:rPr>
                <w:rFonts w:hint="eastAsia"/>
                <w:color w:val="auto"/>
                <w:lang w:val="en-US" w:eastAsia="zh-CN"/>
              </w:rPr>
            </w:pPr>
            <w:r>
              <w:rPr>
                <w:rFonts w:hint="eastAsia"/>
                <w:color w:val="auto"/>
                <w:lang w:val="en-US" w:eastAsia="zh-CN"/>
              </w:rPr>
              <w:t>6.潜在触电管控</w:t>
            </w:r>
          </w:p>
          <w:p>
            <w:pPr>
              <w:numPr>
                <w:ilvl w:val="0"/>
                <w:numId w:val="0"/>
              </w:numPr>
              <w:snapToGrid w:val="0"/>
              <w:ind w:firstLine="420" w:firstLineChars="200"/>
              <w:jc w:val="left"/>
              <w:rPr>
                <w:rFonts w:hint="default"/>
                <w:color w:val="auto"/>
                <w:lang w:val="en-US" w:eastAsia="zh-CN"/>
              </w:rPr>
            </w:pPr>
            <w:r>
              <w:rPr>
                <w:rFonts w:hint="eastAsia"/>
                <w:color w:val="auto"/>
                <w:lang w:val="en-US" w:eastAsia="zh-CN"/>
              </w:rPr>
              <w:t>办公生产</w:t>
            </w:r>
            <w:r>
              <w:rPr>
                <w:rFonts w:hint="eastAsia"/>
                <w:color w:val="auto"/>
              </w:rPr>
              <w:t>使用的电器设备都安装有漏电保护</w:t>
            </w:r>
            <w:r>
              <w:rPr>
                <w:rFonts w:hint="eastAsia"/>
                <w:color w:val="auto"/>
                <w:lang w:val="en-US" w:eastAsia="zh-CN"/>
              </w:rPr>
              <w:t>装置；施工现场通过管理规范要求人员注意带电设施等安全标志，严禁擅自操作等。</w:t>
            </w:r>
          </w:p>
          <w:p>
            <w:pPr>
              <w:pStyle w:val="2"/>
              <w:numPr>
                <w:ilvl w:val="0"/>
                <w:numId w:val="0"/>
              </w:numPr>
              <w:ind w:firstLine="420" w:firstLineChars="200"/>
              <w:rPr>
                <w:rFonts w:hint="eastAsia"/>
                <w:color w:val="auto"/>
                <w:lang w:val="en-US" w:eastAsia="zh-CN"/>
              </w:rPr>
            </w:pPr>
            <w:r>
              <w:rPr>
                <w:rFonts w:hint="eastAsia"/>
                <w:color w:val="auto"/>
                <w:lang w:val="en-US" w:eastAsia="zh-CN"/>
              </w:rPr>
              <w:t>7.施工现场安全防范</w:t>
            </w:r>
          </w:p>
          <w:p>
            <w:pPr>
              <w:pStyle w:val="2"/>
              <w:numPr>
                <w:ilvl w:val="0"/>
                <w:numId w:val="0"/>
              </w:numPr>
              <w:ind w:firstLine="420" w:firstLineChars="200"/>
              <w:rPr>
                <w:rFonts w:hint="default"/>
                <w:color w:val="auto"/>
                <w:lang w:val="en-US" w:eastAsia="zh-CN"/>
              </w:rPr>
            </w:pPr>
            <w:r>
              <w:rPr>
                <w:rFonts w:hint="eastAsia"/>
                <w:color w:val="auto"/>
                <w:lang w:val="en-US" w:eastAsia="zh-CN"/>
              </w:rPr>
              <w:t>组织主要通过加强专业室人员下现场安全管理工作以降低职业健康安全风险，如严格执行现场安全管理规定等，另组织还给下现场人员配置专属安全帽，以杜绝人身伤害。</w:t>
            </w:r>
          </w:p>
          <w:p>
            <w:pPr>
              <w:spacing w:line="280" w:lineRule="exact"/>
              <w:ind w:firstLine="420" w:firstLineChars="200"/>
              <w:rPr>
                <w:rFonts w:hint="default"/>
                <w:color w:val="auto"/>
                <w:lang w:val="en-US" w:eastAsia="zh-CN"/>
              </w:rPr>
            </w:pPr>
            <w:r>
              <w:rPr>
                <w:rFonts w:hint="eastAsia"/>
                <w:color w:val="auto"/>
                <w:lang w:val="en-US" w:eastAsia="zh-CN"/>
              </w:rPr>
              <w:t>8.其它健康安全运行情况</w:t>
            </w:r>
          </w:p>
          <w:p>
            <w:pPr>
              <w:pStyle w:val="2"/>
              <w:rPr>
                <w:rFonts w:hint="eastAsia"/>
                <w:lang w:val="en-US" w:eastAsia="zh-CN"/>
              </w:rPr>
            </w:pPr>
            <w:r>
              <w:rPr>
                <w:rFonts w:hint="eastAsia"/>
                <w:color w:val="auto"/>
                <w:lang w:val="en-US" w:eastAsia="zh-CN"/>
              </w:rPr>
              <w:t>组织遵循当地政府疫情防控要求，进入院内均要求扫码、测体温等。</w:t>
            </w:r>
          </w:p>
          <w:p>
            <w:pPr>
              <w:spacing w:line="280" w:lineRule="exact"/>
              <w:ind w:firstLine="420" w:firstLineChars="200"/>
              <w:rPr>
                <w:rFonts w:hint="eastAsia" w:ascii="华文细黑" w:hAnsi="华文细黑" w:eastAsia="华文细黑" w:cs="华文细黑"/>
                <w:bCs w:val="0"/>
                <w:color w:val="0000FF"/>
                <w:spacing w:val="0"/>
                <w:kern w:val="2"/>
                <w:sz w:val="21"/>
                <w:szCs w:val="21"/>
                <w:lang w:val="en-US" w:eastAsia="zh-CN" w:bidi="ar-SA"/>
              </w:rPr>
            </w:pPr>
            <w:r>
              <w:rPr>
                <w:rFonts w:hint="eastAsia"/>
                <w:color w:val="auto"/>
                <w:lang w:val="en-US" w:eastAsia="zh-CN"/>
              </w:rPr>
              <w:t>综上，安质部环境和职业健康安全运行策划和控制基本符合要求。</w:t>
            </w:r>
          </w:p>
        </w:tc>
        <w:tc>
          <w:tcPr>
            <w:tcW w:w="1585" w:type="dxa"/>
          </w:tcPr>
          <w:p>
            <w:pPr>
              <w:rPr>
                <w:rFonts w:hint="default"/>
                <w:lang w:val="en-US" w:eastAsia="zh-CN"/>
              </w:rPr>
            </w:pPr>
            <w:r>
              <w:rPr>
                <w:rFonts w:hint="eastAsia"/>
                <w:b w:val="0"/>
                <w:bCs w:val="0"/>
                <w:i w:val="0"/>
                <w:iCs w:val="0"/>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916"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应急准备和响应</w:t>
            </w:r>
          </w:p>
        </w:tc>
        <w:tc>
          <w:tcPr>
            <w:tcW w:w="1204" w:type="dxa"/>
          </w:tcPr>
          <w:p>
            <w:pPr>
              <w:spacing w:line="280" w:lineRule="exact"/>
              <w:rPr>
                <w:rFonts w:hint="default" w:ascii="华文细黑" w:hAnsi="华文细黑" w:eastAsia="华文细黑" w:cs="华文细黑"/>
                <w:color w:val="000000"/>
                <w:kern w:val="0"/>
                <w:szCs w:val="21"/>
                <w:lang w:val="en-US" w:eastAsia="zh-CN"/>
              </w:rPr>
            </w:pPr>
            <w:r>
              <w:rPr>
                <w:rFonts w:hint="eastAsia" w:ascii="华文细黑" w:hAnsi="华文细黑" w:cs="华文细黑"/>
                <w:color w:val="000000"/>
                <w:kern w:val="0"/>
                <w:szCs w:val="21"/>
                <w:lang w:val="en-US" w:eastAsia="zh-CN"/>
              </w:rPr>
              <w:t>EO8.2</w:t>
            </w:r>
          </w:p>
        </w:tc>
        <w:tc>
          <w:tcPr>
            <w:tcW w:w="10004" w:type="dxa"/>
            <w:vAlign w:val="center"/>
          </w:tcPr>
          <w:p>
            <w:pPr>
              <w:spacing w:line="280" w:lineRule="exact"/>
              <w:ind w:firstLine="420" w:firstLineChars="200"/>
              <w:rPr>
                <w:rFonts w:hint="default" w:ascii="华文细黑" w:hAnsi="华文细黑" w:cs="华文细黑"/>
                <w:szCs w:val="21"/>
                <w:lang w:val="en-US" w:eastAsia="zh-CN"/>
              </w:rPr>
            </w:pPr>
            <w:r>
              <w:rPr>
                <w:rFonts w:hint="eastAsia" w:ascii="华文细黑" w:hAnsi="华文细黑" w:cs="华文细黑"/>
                <w:szCs w:val="21"/>
                <w:lang w:val="en-US" w:eastAsia="zh-CN"/>
              </w:rPr>
              <w:t>组织制定了《应急准备和响应控制程序》，识别的紧急情况主要包括：a)办公区火灾中人员伤亡；b)交通事故中人员伤亡；c)勘察现场的踏空、跌落、野猪夹夹伤、毒蛇咬伤等；d)现场服务工地中发生的人员伤亡事件（如触电等）等；所有紧急情况均规定了相应的应急专项预案和现场处置方案。基本满足策划控制要求。</w:t>
            </w:r>
          </w:p>
          <w:p>
            <w:pPr>
              <w:spacing w:line="280" w:lineRule="exact"/>
              <w:ind w:firstLine="420" w:firstLineChars="200"/>
              <w:rPr>
                <w:rFonts w:hint="eastAsia" w:ascii="华文细黑" w:hAnsi="华文细黑" w:eastAsia="华文细黑" w:cs="华文细黑"/>
                <w:bCs w:val="0"/>
                <w:color w:val="0000FF"/>
                <w:spacing w:val="0"/>
                <w:kern w:val="2"/>
                <w:sz w:val="21"/>
                <w:szCs w:val="21"/>
                <w:lang w:val="en-US" w:eastAsia="zh-CN" w:bidi="ar-SA"/>
              </w:rPr>
            </w:pPr>
            <w:r>
              <w:rPr>
                <w:rFonts w:hint="eastAsia" w:ascii="华文细黑" w:hAnsi="华文细黑" w:cs="华文细黑"/>
                <w:szCs w:val="21"/>
                <w:lang w:val="en-US" w:eastAsia="zh-CN"/>
              </w:rPr>
              <w:t>提供</w:t>
            </w:r>
            <w:r>
              <w:rPr>
                <w:rFonts w:hint="eastAsia" w:ascii="华文细黑" w:hAnsi="华文细黑" w:cs="华文细黑"/>
                <w:color w:val="auto"/>
                <w:szCs w:val="21"/>
                <w:lang w:val="en-US" w:eastAsia="zh-CN"/>
              </w:rPr>
              <w:t>2022年9月22日火灾事</w:t>
            </w:r>
            <w:r>
              <w:rPr>
                <w:rFonts w:hint="eastAsia" w:ascii="华文细黑" w:hAnsi="华文细黑" w:cs="华文细黑"/>
                <w:szCs w:val="21"/>
                <w:lang w:val="en-US" w:eastAsia="zh-CN"/>
              </w:rPr>
              <w:t>故的应急演练记录，记录内容包括训练目的、地点、参与者、演练过程概述以及后续的评价和总结等。有相应的演练报告，基本满足应急准备和演练的控制要求。</w:t>
            </w:r>
            <w:bookmarkStart w:id="0" w:name="_GoBack"/>
            <w:bookmarkEnd w:id="0"/>
          </w:p>
        </w:tc>
        <w:tc>
          <w:tcPr>
            <w:tcW w:w="1585" w:type="dxa"/>
          </w:tcPr>
          <w:p>
            <w:pPr>
              <w:rPr>
                <w:rFonts w:hint="default"/>
                <w:lang w:val="en-US" w:eastAsia="zh-CN"/>
              </w:rPr>
            </w:pPr>
            <w:r>
              <w:rPr>
                <w:rFonts w:hint="eastAsia"/>
                <w:lang w:val="en-US" w:eastAsia="zh-CN"/>
              </w:rPr>
              <w:t>Y</w:t>
            </w:r>
          </w:p>
        </w:tc>
      </w:tr>
    </w:tbl>
    <w:p>
      <w:pPr>
        <w:pStyle w:val="7"/>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01B4"/>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6A1A11"/>
    <w:rsid w:val="01956AAB"/>
    <w:rsid w:val="01C654BC"/>
    <w:rsid w:val="01D02CEB"/>
    <w:rsid w:val="01D37272"/>
    <w:rsid w:val="01D63157"/>
    <w:rsid w:val="02264043"/>
    <w:rsid w:val="024141DC"/>
    <w:rsid w:val="029641DA"/>
    <w:rsid w:val="02BA027B"/>
    <w:rsid w:val="02DA7D7D"/>
    <w:rsid w:val="02DF21EF"/>
    <w:rsid w:val="03700BD7"/>
    <w:rsid w:val="03AE265E"/>
    <w:rsid w:val="04212517"/>
    <w:rsid w:val="042A6EF2"/>
    <w:rsid w:val="047F723D"/>
    <w:rsid w:val="04E71FEF"/>
    <w:rsid w:val="04FD5730"/>
    <w:rsid w:val="05157D90"/>
    <w:rsid w:val="05A0262C"/>
    <w:rsid w:val="05B91908"/>
    <w:rsid w:val="05E732EC"/>
    <w:rsid w:val="06CC1195"/>
    <w:rsid w:val="06D27AF8"/>
    <w:rsid w:val="06D54FB0"/>
    <w:rsid w:val="06F37774"/>
    <w:rsid w:val="074A1D85"/>
    <w:rsid w:val="074D53D1"/>
    <w:rsid w:val="07884D9B"/>
    <w:rsid w:val="08896BA5"/>
    <w:rsid w:val="08EE6D07"/>
    <w:rsid w:val="08F01FE3"/>
    <w:rsid w:val="091236BC"/>
    <w:rsid w:val="093D4697"/>
    <w:rsid w:val="09741A2E"/>
    <w:rsid w:val="0A171A87"/>
    <w:rsid w:val="0A2D3298"/>
    <w:rsid w:val="0A341FB8"/>
    <w:rsid w:val="0A755CD1"/>
    <w:rsid w:val="0AA51080"/>
    <w:rsid w:val="0B220922"/>
    <w:rsid w:val="0B4F6F61"/>
    <w:rsid w:val="0BA70542"/>
    <w:rsid w:val="0BBE4AEF"/>
    <w:rsid w:val="0BD459E4"/>
    <w:rsid w:val="0BF21DA7"/>
    <w:rsid w:val="0C396A19"/>
    <w:rsid w:val="0C6C454B"/>
    <w:rsid w:val="0C7077BF"/>
    <w:rsid w:val="0CC25F19"/>
    <w:rsid w:val="0D54529A"/>
    <w:rsid w:val="0D782A7C"/>
    <w:rsid w:val="0DA03BB0"/>
    <w:rsid w:val="0EB06BDD"/>
    <w:rsid w:val="0EC4763F"/>
    <w:rsid w:val="0EFD3F49"/>
    <w:rsid w:val="0F3A0931"/>
    <w:rsid w:val="0FA27856"/>
    <w:rsid w:val="0FB16FE5"/>
    <w:rsid w:val="10A865C2"/>
    <w:rsid w:val="11B844E6"/>
    <w:rsid w:val="11CA3C1A"/>
    <w:rsid w:val="11FD29BD"/>
    <w:rsid w:val="12AF0CEE"/>
    <w:rsid w:val="12E835E4"/>
    <w:rsid w:val="1300779B"/>
    <w:rsid w:val="134B38D8"/>
    <w:rsid w:val="14186D67"/>
    <w:rsid w:val="14867A21"/>
    <w:rsid w:val="1509575D"/>
    <w:rsid w:val="151412DC"/>
    <w:rsid w:val="15945CB1"/>
    <w:rsid w:val="15AA6F86"/>
    <w:rsid w:val="161452AB"/>
    <w:rsid w:val="164E081E"/>
    <w:rsid w:val="1671065D"/>
    <w:rsid w:val="16A62408"/>
    <w:rsid w:val="16B44FD9"/>
    <w:rsid w:val="17023AC3"/>
    <w:rsid w:val="1767428D"/>
    <w:rsid w:val="176F3CBD"/>
    <w:rsid w:val="17CF3EED"/>
    <w:rsid w:val="183F2B14"/>
    <w:rsid w:val="192F6D69"/>
    <w:rsid w:val="19DA0035"/>
    <w:rsid w:val="19EC0E2A"/>
    <w:rsid w:val="1AC75042"/>
    <w:rsid w:val="1B373314"/>
    <w:rsid w:val="1B6F0E38"/>
    <w:rsid w:val="1B802E40"/>
    <w:rsid w:val="1C4D7171"/>
    <w:rsid w:val="1C6D77F9"/>
    <w:rsid w:val="1C6E5776"/>
    <w:rsid w:val="1DC178EB"/>
    <w:rsid w:val="1DE84A88"/>
    <w:rsid w:val="1E6A01BF"/>
    <w:rsid w:val="1E763007"/>
    <w:rsid w:val="1E980220"/>
    <w:rsid w:val="1E9C234C"/>
    <w:rsid w:val="1F3D2B3E"/>
    <w:rsid w:val="1FB57B5F"/>
    <w:rsid w:val="1FF4020A"/>
    <w:rsid w:val="201A6205"/>
    <w:rsid w:val="206C5CA4"/>
    <w:rsid w:val="20B8420C"/>
    <w:rsid w:val="20EC5803"/>
    <w:rsid w:val="20ED66BA"/>
    <w:rsid w:val="217C5949"/>
    <w:rsid w:val="21AF0D0A"/>
    <w:rsid w:val="21EE4C73"/>
    <w:rsid w:val="221943D6"/>
    <w:rsid w:val="227F4849"/>
    <w:rsid w:val="22821F7B"/>
    <w:rsid w:val="22E11107"/>
    <w:rsid w:val="22E639B9"/>
    <w:rsid w:val="22FD5AA5"/>
    <w:rsid w:val="23912C5F"/>
    <w:rsid w:val="245A2A83"/>
    <w:rsid w:val="247C0C4C"/>
    <w:rsid w:val="255C40F0"/>
    <w:rsid w:val="25B477AD"/>
    <w:rsid w:val="264071ED"/>
    <w:rsid w:val="265D1398"/>
    <w:rsid w:val="267267AA"/>
    <w:rsid w:val="26844554"/>
    <w:rsid w:val="26FE3B9A"/>
    <w:rsid w:val="2728659F"/>
    <w:rsid w:val="27653582"/>
    <w:rsid w:val="276A7481"/>
    <w:rsid w:val="276C4FA7"/>
    <w:rsid w:val="278422F1"/>
    <w:rsid w:val="27902E71"/>
    <w:rsid w:val="27A16178"/>
    <w:rsid w:val="284E0490"/>
    <w:rsid w:val="28A10C81"/>
    <w:rsid w:val="29580844"/>
    <w:rsid w:val="29E96D83"/>
    <w:rsid w:val="2A050A46"/>
    <w:rsid w:val="2A24600D"/>
    <w:rsid w:val="2A4915D0"/>
    <w:rsid w:val="2AE839DA"/>
    <w:rsid w:val="2AEF0317"/>
    <w:rsid w:val="2B01115B"/>
    <w:rsid w:val="2B2A7FEE"/>
    <w:rsid w:val="2B5336EE"/>
    <w:rsid w:val="2B7C5DC4"/>
    <w:rsid w:val="2C1C3440"/>
    <w:rsid w:val="2C602C01"/>
    <w:rsid w:val="2CD30EEF"/>
    <w:rsid w:val="2D99286E"/>
    <w:rsid w:val="2DA30834"/>
    <w:rsid w:val="2DEF06E0"/>
    <w:rsid w:val="2E3E2933"/>
    <w:rsid w:val="2E647DF6"/>
    <w:rsid w:val="2E6966E5"/>
    <w:rsid w:val="2E8E7EF9"/>
    <w:rsid w:val="2F107CF7"/>
    <w:rsid w:val="2F576BAB"/>
    <w:rsid w:val="2F9E416C"/>
    <w:rsid w:val="2FFF6DD7"/>
    <w:rsid w:val="30216552"/>
    <w:rsid w:val="310D2DE4"/>
    <w:rsid w:val="31BA0817"/>
    <w:rsid w:val="31C11290"/>
    <w:rsid w:val="31F434C6"/>
    <w:rsid w:val="326072E9"/>
    <w:rsid w:val="326F1DF0"/>
    <w:rsid w:val="32F83B93"/>
    <w:rsid w:val="33264BA4"/>
    <w:rsid w:val="33E04DFC"/>
    <w:rsid w:val="34003EF7"/>
    <w:rsid w:val="343C3F54"/>
    <w:rsid w:val="345E47B9"/>
    <w:rsid w:val="34831B82"/>
    <w:rsid w:val="34D23159"/>
    <w:rsid w:val="35643762"/>
    <w:rsid w:val="35917DCF"/>
    <w:rsid w:val="362353CB"/>
    <w:rsid w:val="36507D6F"/>
    <w:rsid w:val="36DF5EC0"/>
    <w:rsid w:val="36E9174F"/>
    <w:rsid w:val="373D331B"/>
    <w:rsid w:val="37964E0D"/>
    <w:rsid w:val="37C30C14"/>
    <w:rsid w:val="37C64260"/>
    <w:rsid w:val="37E868CC"/>
    <w:rsid w:val="384006DB"/>
    <w:rsid w:val="387D5196"/>
    <w:rsid w:val="388B19B5"/>
    <w:rsid w:val="38CF35E8"/>
    <w:rsid w:val="38DF3F58"/>
    <w:rsid w:val="38F0269B"/>
    <w:rsid w:val="39C80763"/>
    <w:rsid w:val="3A064DE8"/>
    <w:rsid w:val="3A08699C"/>
    <w:rsid w:val="3A4F678F"/>
    <w:rsid w:val="3A86131C"/>
    <w:rsid w:val="3BF770DE"/>
    <w:rsid w:val="3C1B147E"/>
    <w:rsid w:val="3C957F32"/>
    <w:rsid w:val="3CAF36AA"/>
    <w:rsid w:val="3CC31DFF"/>
    <w:rsid w:val="3CEA2015"/>
    <w:rsid w:val="3CED6733"/>
    <w:rsid w:val="3D392A58"/>
    <w:rsid w:val="3E2326B8"/>
    <w:rsid w:val="3EC55271"/>
    <w:rsid w:val="3EF76F56"/>
    <w:rsid w:val="3F0702B0"/>
    <w:rsid w:val="3F0A537A"/>
    <w:rsid w:val="3F110C6B"/>
    <w:rsid w:val="3F666DF4"/>
    <w:rsid w:val="3FFD0576"/>
    <w:rsid w:val="402610AB"/>
    <w:rsid w:val="40CB5C4E"/>
    <w:rsid w:val="40D71069"/>
    <w:rsid w:val="40DB4FD0"/>
    <w:rsid w:val="414E27DD"/>
    <w:rsid w:val="41A7646C"/>
    <w:rsid w:val="41D324B8"/>
    <w:rsid w:val="41E03DA1"/>
    <w:rsid w:val="422E2F4B"/>
    <w:rsid w:val="42884F34"/>
    <w:rsid w:val="42891A9A"/>
    <w:rsid w:val="42941C9B"/>
    <w:rsid w:val="432D7889"/>
    <w:rsid w:val="433230F1"/>
    <w:rsid w:val="43483B54"/>
    <w:rsid w:val="438A7C97"/>
    <w:rsid w:val="439C4CFE"/>
    <w:rsid w:val="43A84DEB"/>
    <w:rsid w:val="455235D7"/>
    <w:rsid w:val="45630DFF"/>
    <w:rsid w:val="45CE7741"/>
    <w:rsid w:val="45EA31BD"/>
    <w:rsid w:val="45FA66F2"/>
    <w:rsid w:val="46981E37"/>
    <w:rsid w:val="469D7D45"/>
    <w:rsid w:val="46C15FBB"/>
    <w:rsid w:val="46C44060"/>
    <w:rsid w:val="479200EF"/>
    <w:rsid w:val="47A04414"/>
    <w:rsid w:val="47A54147"/>
    <w:rsid w:val="47F36DFE"/>
    <w:rsid w:val="47FD2DD9"/>
    <w:rsid w:val="48455675"/>
    <w:rsid w:val="48931F3C"/>
    <w:rsid w:val="48EE1869"/>
    <w:rsid w:val="494D2A33"/>
    <w:rsid w:val="49B17562"/>
    <w:rsid w:val="4B2176ED"/>
    <w:rsid w:val="4B5D5962"/>
    <w:rsid w:val="4BDF193C"/>
    <w:rsid w:val="4CD41C8D"/>
    <w:rsid w:val="4CE51083"/>
    <w:rsid w:val="4D8F3170"/>
    <w:rsid w:val="4DE17BEE"/>
    <w:rsid w:val="4DED56EF"/>
    <w:rsid w:val="4DF96CE5"/>
    <w:rsid w:val="4E2B33F0"/>
    <w:rsid w:val="4EB67E4F"/>
    <w:rsid w:val="4F026383"/>
    <w:rsid w:val="4F90367A"/>
    <w:rsid w:val="50935B78"/>
    <w:rsid w:val="50BE0D65"/>
    <w:rsid w:val="50D444B1"/>
    <w:rsid w:val="50DD59ED"/>
    <w:rsid w:val="50EE1CF2"/>
    <w:rsid w:val="51117AB5"/>
    <w:rsid w:val="517530BB"/>
    <w:rsid w:val="51D017FA"/>
    <w:rsid w:val="51E443B5"/>
    <w:rsid w:val="5263643C"/>
    <w:rsid w:val="526A6404"/>
    <w:rsid w:val="528F59CE"/>
    <w:rsid w:val="52CD0741"/>
    <w:rsid w:val="533E4E87"/>
    <w:rsid w:val="53A3031B"/>
    <w:rsid w:val="53BA1994"/>
    <w:rsid w:val="53D31D87"/>
    <w:rsid w:val="53E04287"/>
    <w:rsid w:val="53EC109A"/>
    <w:rsid w:val="54290C50"/>
    <w:rsid w:val="542C1497"/>
    <w:rsid w:val="543071D9"/>
    <w:rsid w:val="54B8585C"/>
    <w:rsid w:val="551E34D6"/>
    <w:rsid w:val="568D26C1"/>
    <w:rsid w:val="56A241DD"/>
    <w:rsid w:val="56D025AE"/>
    <w:rsid w:val="574C67B7"/>
    <w:rsid w:val="575B5D72"/>
    <w:rsid w:val="57CB5604"/>
    <w:rsid w:val="57E53AFB"/>
    <w:rsid w:val="58173859"/>
    <w:rsid w:val="587A4EC7"/>
    <w:rsid w:val="58823FEC"/>
    <w:rsid w:val="58CE2F9A"/>
    <w:rsid w:val="58DA6810"/>
    <w:rsid w:val="59381A7E"/>
    <w:rsid w:val="593E5EF4"/>
    <w:rsid w:val="59715B83"/>
    <w:rsid w:val="5A407357"/>
    <w:rsid w:val="5A5B1DED"/>
    <w:rsid w:val="5AA21673"/>
    <w:rsid w:val="5AAD1584"/>
    <w:rsid w:val="5AE12FE7"/>
    <w:rsid w:val="5AFA22EF"/>
    <w:rsid w:val="5B867A0A"/>
    <w:rsid w:val="5BC92DFA"/>
    <w:rsid w:val="5C015CF3"/>
    <w:rsid w:val="5CD44C52"/>
    <w:rsid w:val="5CF44DF6"/>
    <w:rsid w:val="5CF52286"/>
    <w:rsid w:val="5CFB66F2"/>
    <w:rsid w:val="5D0B414F"/>
    <w:rsid w:val="5D1A6C78"/>
    <w:rsid w:val="5DB3300D"/>
    <w:rsid w:val="5DC62779"/>
    <w:rsid w:val="5DF93AC2"/>
    <w:rsid w:val="5F194F46"/>
    <w:rsid w:val="5FE60C0E"/>
    <w:rsid w:val="5FE70991"/>
    <w:rsid w:val="5FE95AD0"/>
    <w:rsid w:val="60395667"/>
    <w:rsid w:val="60C01EF2"/>
    <w:rsid w:val="612E4AA0"/>
    <w:rsid w:val="61396238"/>
    <w:rsid w:val="617A7CE6"/>
    <w:rsid w:val="618F4E61"/>
    <w:rsid w:val="61DC4F2F"/>
    <w:rsid w:val="61E861C1"/>
    <w:rsid w:val="623A0D90"/>
    <w:rsid w:val="623C7475"/>
    <w:rsid w:val="625F6A4A"/>
    <w:rsid w:val="62B552E3"/>
    <w:rsid w:val="62BE1E54"/>
    <w:rsid w:val="635A009E"/>
    <w:rsid w:val="6389230A"/>
    <w:rsid w:val="644F0F00"/>
    <w:rsid w:val="646E23B3"/>
    <w:rsid w:val="648D591B"/>
    <w:rsid w:val="6529060A"/>
    <w:rsid w:val="65D96540"/>
    <w:rsid w:val="65FF6BAB"/>
    <w:rsid w:val="663A012F"/>
    <w:rsid w:val="66A91828"/>
    <w:rsid w:val="672C7155"/>
    <w:rsid w:val="675863D3"/>
    <w:rsid w:val="6815631A"/>
    <w:rsid w:val="68177D1E"/>
    <w:rsid w:val="68BB0CDB"/>
    <w:rsid w:val="68D97C22"/>
    <w:rsid w:val="69237BF8"/>
    <w:rsid w:val="69482477"/>
    <w:rsid w:val="69907DAF"/>
    <w:rsid w:val="69A77337"/>
    <w:rsid w:val="69AC0761"/>
    <w:rsid w:val="69E64C52"/>
    <w:rsid w:val="6A75729C"/>
    <w:rsid w:val="6A841E11"/>
    <w:rsid w:val="6A9F72CD"/>
    <w:rsid w:val="6AA024C0"/>
    <w:rsid w:val="6B471EE9"/>
    <w:rsid w:val="6B4C3AD1"/>
    <w:rsid w:val="6B8C0D41"/>
    <w:rsid w:val="6BF80185"/>
    <w:rsid w:val="6C705F6D"/>
    <w:rsid w:val="6CB0280D"/>
    <w:rsid w:val="6D2B458A"/>
    <w:rsid w:val="6D5B7F27"/>
    <w:rsid w:val="6E0F006D"/>
    <w:rsid w:val="6E103CBF"/>
    <w:rsid w:val="6E1D7FF6"/>
    <w:rsid w:val="6E6A261D"/>
    <w:rsid w:val="6E761484"/>
    <w:rsid w:val="6EE113A4"/>
    <w:rsid w:val="6EF7427F"/>
    <w:rsid w:val="6F416771"/>
    <w:rsid w:val="6FDF3B3D"/>
    <w:rsid w:val="6FF92470"/>
    <w:rsid w:val="70950698"/>
    <w:rsid w:val="712A185C"/>
    <w:rsid w:val="71EE3D7D"/>
    <w:rsid w:val="722F68CA"/>
    <w:rsid w:val="72657E89"/>
    <w:rsid w:val="72D66D46"/>
    <w:rsid w:val="72E15E16"/>
    <w:rsid w:val="73A0182E"/>
    <w:rsid w:val="73AB1BA2"/>
    <w:rsid w:val="73D00218"/>
    <w:rsid w:val="741C7488"/>
    <w:rsid w:val="744B4216"/>
    <w:rsid w:val="747405C4"/>
    <w:rsid w:val="747D06DB"/>
    <w:rsid w:val="75413C74"/>
    <w:rsid w:val="754C0156"/>
    <w:rsid w:val="755D72AA"/>
    <w:rsid w:val="758E5275"/>
    <w:rsid w:val="760B58CF"/>
    <w:rsid w:val="77E75D3E"/>
    <w:rsid w:val="78397882"/>
    <w:rsid w:val="785827F6"/>
    <w:rsid w:val="787119EB"/>
    <w:rsid w:val="78C31B1A"/>
    <w:rsid w:val="790376F9"/>
    <w:rsid w:val="79330A4E"/>
    <w:rsid w:val="797929F2"/>
    <w:rsid w:val="798E4CC4"/>
    <w:rsid w:val="79A901E5"/>
    <w:rsid w:val="79B325B0"/>
    <w:rsid w:val="7A870D46"/>
    <w:rsid w:val="7B31720F"/>
    <w:rsid w:val="7B690A61"/>
    <w:rsid w:val="7BD117D0"/>
    <w:rsid w:val="7C6517C2"/>
    <w:rsid w:val="7DC720AD"/>
    <w:rsid w:val="7DF77390"/>
    <w:rsid w:val="7E763467"/>
    <w:rsid w:val="7EB0669D"/>
    <w:rsid w:val="7EEF4AE5"/>
    <w:rsid w:val="7F513EF9"/>
    <w:rsid w:val="7FDD34C2"/>
    <w:rsid w:val="7FF26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批注框文本 字符"/>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paragraph" w:customStyle="1" w:styleId="18">
    <w:name w:val="_Style 2"/>
    <w:basedOn w:val="1"/>
    <w:qFormat/>
    <w:uiPriority w:val="34"/>
    <w:pPr>
      <w:ind w:firstLine="420" w:firstLineChars="200"/>
    </w:pPr>
    <w:rPr>
      <w:rFonts w:ascii="Calibri" w:hAnsi="Calibri"/>
      <w:sz w:val="24"/>
      <w:szCs w:val="22"/>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3</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2022-11-18T01:50:36Z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930566EB182C48D9AC7528832127439D</vt:lpwstr>
  </property>
</Properties>
</file>