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附录A：</w:t>
      </w:r>
    </w:p>
    <w:p>
      <w:pPr>
        <w:pStyle w:val="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sz w:val="24"/>
        </w:rPr>
        <w:t>防爆断路器静态水压试验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4"/>
        </w:rPr>
        <w:t>不确定度评</w:t>
      </w:r>
      <w:r>
        <w:rPr>
          <w:b/>
          <w:bCs/>
          <w:snapToGrid w:val="0"/>
          <w:color w:val="000000"/>
          <w:kern w:val="0"/>
          <w:sz w:val="24"/>
        </w:rPr>
        <w:t>定报告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1、测量过程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、测量方法：依据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Q/SLHS.77-2018《BDZ51系列防爆断路器》</w:t>
      </w:r>
      <w:r>
        <w:rPr>
          <w:sz w:val="24"/>
        </w:rPr>
        <w:t>及仪器使用说明书和相关操作规范</w:t>
      </w:r>
      <w:r>
        <w:rPr>
          <w:bCs/>
          <w:sz w:val="24"/>
        </w:rPr>
        <w:t>进行测量。</w:t>
      </w:r>
    </w:p>
    <w:p>
      <w:pPr>
        <w:spacing w:line="360" w:lineRule="auto"/>
        <w:rPr>
          <w:sz w:val="24"/>
        </w:rPr>
      </w:pPr>
      <w:r>
        <w:rPr>
          <w:sz w:val="24"/>
        </w:rPr>
        <w:t>1.2、环境条件：常温</w:t>
      </w:r>
    </w:p>
    <w:p>
      <w:pPr>
        <w:pStyle w:val="16"/>
        <w:spacing w:line="360" w:lineRule="exact"/>
        <w:ind w:firstLine="0" w:firstLineChars="0"/>
        <w:rPr>
          <w:sz w:val="24"/>
        </w:rPr>
      </w:pPr>
      <w:r>
        <w:rPr>
          <w:color w:val="000000"/>
          <w:sz w:val="24"/>
        </w:rPr>
        <w:t>1.3、检测设备：</w:t>
      </w:r>
      <w:r>
        <w:rPr>
          <w:sz w:val="24"/>
        </w:rPr>
        <w:t>压力表， 测量范围（</w:t>
      </w:r>
      <w:r>
        <w:rPr>
          <w:color w:val="000000"/>
          <w:sz w:val="24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～</w:t>
      </w:r>
      <w:r>
        <w:rPr>
          <w:rFonts w:hint="eastAsia"/>
          <w:color w:val="000000"/>
          <w:sz w:val="24"/>
          <w:shd w:val="clear" w:color="auto" w:fill="FFFFFF"/>
        </w:rPr>
        <w:t>2.5</w:t>
      </w:r>
      <w:r>
        <w:rPr>
          <w:color w:val="000000"/>
          <w:sz w:val="24"/>
          <w:shd w:val="clear" w:color="auto" w:fill="FFFFFF"/>
        </w:rPr>
        <w:t>）MPa</w:t>
      </w:r>
      <w:r>
        <w:rPr>
          <w:sz w:val="24"/>
        </w:rPr>
        <w:t>，</w:t>
      </w:r>
      <w:r>
        <w:rPr>
          <w:i/>
          <w:iCs/>
          <w:sz w:val="24"/>
        </w:rPr>
        <w:t>U</w:t>
      </w:r>
      <w:r>
        <w:rPr>
          <w:sz w:val="24"/>
        </w:rPr>
        <w:t>rel=</w:t>
      </w:r>
      <w:r>
        <w:rPr>
          <w:rFonts w:hint="eastAsia"/>
          <w:sz w:val="24"/>
          <w:lang w:val="en-US" w:eastAsia="zh-CN"/>
        </w:rPr>
        <w:t>1.6</w:t>
      </w:r>
      <w:r>
        <w:rPr>
          <w:sz w:val="24"/>
        </w:rPr>
        <w:t xml:space="preserve">% </w:t>
      </w:r>
      <w:r>
        <w:rPr>
          <w:i/>
          <w:iCs/>
          <w:sz w:val="24"/>
        </w:rPr>
        <w:t>k</w:t>
      </w:r>
      <w:r>
        <w:rPr>
          <w:sz w:val="24"/>
        </w:rPr>
        <w:t>=2,允许示值误差：±0.0</w:t>
      </w:r>
      <w:r>
        <w:rPr>
          <w:rFonts w:hint="eastAsia"/>
          <w:sz w:val="24"/>
        </w:rPr>
        <w:t>4</w:t>
      </w:r>
      <w:r>
        <w:rPr>
          <w:sz w:val="24"/>
        </w:rPr>
        <w:t>MPa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1.4、被测对象：</w:t>
      </w:r>
      <w:r>
        <w:rPr>
          <w:rFonts w:hint="eastAsia"/>
          <w:szCs w:val="21"/>
        </w:rPr>
        <w:t>压力</w:t>
      </w:r>
      <w:r>
        <w:rPr>
          <w:rFonts w:ascii="Arial" w:hAnsi="Arial" w:cs="Arial"/>
          <w:szCs w:val="21"/>
        </w:rPr>
        <w:t>≥</w:t>
      </w:r>
      <w:r>
        <w:rPr>
          <w:rFonts w:hint="eastAsia" w:ascii="宋体" w:hAnsi="宋体" w:cs="宋体"/>
          <w:szCs w:val="21"/>
        </w:rPr>
        <w:t>1.5</w:t>
      </w:r>
      <w:r>
        <w:rPr>
          <w:sz w:val="24"/>
        </w:rPr>
        <w:t>MPa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color w:val="000000"/>
          <w:sz w:val="24"/>
        </w:rPr>
        <w:t>1.5、测量过程：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sz w:val="24"/>
        </w:rPr>
      </w:pPr>
      <w:r>
        <w:rPr>
          <w:rFonts w:hint="eastAsia"/>
          <w:sz w:val="24"/>
        </w:rPr>
        <w:t>制在</w:t>
      </w:r>
      <w:r>
        <w:rPr>
          <w:rFonts w:ascii="Arial" w:hAnsi="Arial" w:cs="Arial"/>
          <w:szCs w:val="21"/>
        </w:rPr>
        <w:t>≥</w:t>
      </w:r>
      <w:r>
        <w:rPr>
          <w:rFonts w:hint="eastAsia" w:ascii="宋体" w:hAnsi="宋体" w:cs="宋体"/>
          <w:szCs w:val="21"/>
        </w:rPr>
        <w:t>1.5</w:t>
      </w:r>
      <w:r>
        <w:rPr>
          <w:rFonts w:hint="eastAsia"/>
          <w:sz w:val="24"/>
        </w:rPr>
        <w:t>MPa/min,试验时压力应缓慢上升1.5MPa，确认无泄漏后继续上升，</w:t>
      </w:r>
    </w:p>
    <w:p>
      <w:pPr>
        <w:spacing w:line="360" w:lineRule="auto"/>
        <w:ind w:left="480" w:hanging="480" w:hangingChars="200"/>
        <w:rPr>
          <w:bCs/>
          <w:color w:val="FF0000"/>
          <w:sz w:val="24"/>
        </w:rPr>
      </w:pPr>
      <w:r>
        <w:rPr>
          <w:rFonts w:hint="eastAsia"/>
          <w:sz w:val="24"/>
        </w:rPr>
        <w:t>记录压力数据。</w:t>
      </w:r>
    </w:p>
    <w:p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2、数学模型：   </w:t>
      </w:r>
      <m:oMath>
        <m:r>
          <m:rPr/>
          <w:rPr>
            <w:rFonts w:ascii="Cambria Math" w:hAns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m:oMath>
        <m:r>
          <m:rPr/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---压力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L----压力的读数值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4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4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b>
        </m:sSub>
      </m:oMath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主要来源于测量重复性，通过连续测量10次，采用A类方法进行评定。在接地电阻测定仪的正常工作状态下，人员、设备相同，在相临近的时间内，连续进行10次测量活动，得到10个试验数据汇于表一。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kern w:val="0"/>
          <w:sz w:val="24"/>
        </w:rPr>
      </w:pPr>
    </w:p>
    <w:p>
      <w:pPr>
        <w:spacing w:line="360" w:lineRule="auto"/>
        <w:ind w:firstLine="480" w:firstLineChars="200"/>
        <w:rPr>
          <w:position w:val="-22"/>
          <w:sz w:val="24"/>
        </w:rPr>
      </w:pPr>
      <w:r>
        <w:rPr>
          <w:sz w:val="24"/>
        </w:rPr>
        <w:t>测得值的算术平均值：</w:t>
      </w:r>
      <w:r>
        <w:rPr>
          <w:position w:val="-24"/>
          <w:sz w:val="24"/>
        </w:rPr>
        <w:object>
          <v:shape id="_x0000_i1025" o:spt="75" type="#_x0000_t75" style="height:42pt;width:15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w:r>
        <w:rPr>
          <w:kern w:val="0"/>
          <w:position w:val="-26"/>
          <w:sz w:val="24"/>
        </w:rPr>
        <w:object>
          <v:shape id="_x0000_i1026" o:spt="75" type="#_x0000_t75" style="height:43pt;width:17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被测量估计值（</w:t>
      </w:r>
      <w:r>
        <w:rPr>
          <w:color w:val="000000" w:themeColor="text1"/>
          <w:kern w:val="0"/>
          <w:position w:val="-4"/>
          <w:sz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kern w:val="0"/>
          <w:position w:val="-4"/>
          <w:sz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取n=1）。             </w:t>
      </w:r>
      <w:r>
        <w:rPr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=</w:t>
      </w:r>
      <w:r>
        <w:rPr>
          <w:color w:val="0D0D0D" w:themeColor="text1" w:themeTint="F2"/>
          <w:kern w:val="0"/>
          <w:position w:val="-28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2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i/>
          <w:sz w:val="24"/>
        </w:rPr>
      </w:pPr>
      <w:r>
        <w:rPr>
          <w:sz w:val="24"/>
        </w:rPr>
        <w:t>3.2测量设备引入的标准不确定度的评定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依据压力表校准证书给出的允许示值误差±0.0</w:t>
      </w:r>
      <w:r>
        <w:rPr>
          <w:rFonts w:hint="eastAsia"/>
          <w:sz w:val="24"/>
        </w:rPr>
        <w:t>4</w:t>
      </w:r>
      <w:r>
        <w:rPr>
          <w:sz w:val="24"/>
        </w:rPr>
        <w:t>MPa, 服从均匀分布，取包含因子k=</w:t>
      </w:r>
      <w:r>
        <w:rPr>
          <w:position w:val="-8"/>
          <w:sz w:val="24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sz w:val="24"/>
        </w:rPr>
        <w:t>,则测量设备引入的标准不确定度分量为：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kern w:val="0"/>
                <w:sz w:val="24"/>
              </w:rPr>
              <m:t>u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hAnsi="Cambria Math"/>
                <w:kern w:val="0"/>
                <w:sz w:val="24"/>
              </w:rPr>
              <m:t>2</m:t>
            </m:r>
            <m:ctrlPr>
              <w:rPr>
                <w:rFonts w:ascii="Cambria Math" w:hAnsi="Cambria Math"/>
                <w:i/>
                <w:kern w:val="0"/>
                <w:sz w:val="24"/>
              </w:rPr>
            </m:ctrlPr>
          </m:sub>
        </m:sSub>
        <m:r>
          <m:rPr/>
          <w:rPr>
            <w:rFonts w:ascii="Cambria Math" w:hAnsi="Cambria Math"/>
            <w:kern w:val="0"/>
            <w:sz w:val="24"/>
          </w:rPr>
          <m:t>=</m:t>
        </m:r>
      </m:oMath>
      <w:r>
        <w:rPr>
          <w:kern w:val="0"/>
          <w:position w:val="-28"/>
          <w:sz w:val="24"/>
        </w:rPr>
        <w:object>
          <v:shape id="_x0000_i1031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  <w:r>
        <w:rPr>
          <w:sz w:val="24"/>
        </w:rPr>
        <w:t>4、标准不确定度一览表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MPa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sz w:val="24"/>
        </w:rPr>
      </w:pPr>
      <w:r>
        <w:rPr>
          <w:position w:val="-12"/>
          <w:sz w:val="24"/>
          <w:vertAlign w:val="subscript"/>
        </w:rPr>
        <w:object>
          <v:shape id="_x0000_i1032" o:spt="75" type="#_x0000_t75" style="height:22pt;width:225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=2×0.</w:t>
      </w:r>
      <w:r>
        <w:rPr>
          <w:rFonts w:hint="eastAsia"/>
          <w:sz w:val="24"/>
        </w:rPr>
        <w:t>036</w:t>
      </w:r>
      <w:r>
        <w:rPr>
          <w:sz w:val="24"/>
        </w:rPr>
        <w:t xml:space="preserve"> =0.</w:t>
      </w:r>
      <w:r>
        <w:rPr>
          <w:rFonts w:hint="eastAsia"/>
          <w:sz w:val="24"/>
        </w:rPr>
        <w:t>072</w:t>
      </w:r>
      <w:r>
        <w:rPr>
          <w:sz w:val="24"/>
        </w:rPr>
        <w:t>MPa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=0.</w:t>
      </w:r>
      <w:r>
        <w:rPr>
          <w:rFonts w:hint="eastAsia"/>
          <w:sz w:val="24"/>
        </w:rPr>
        <w:t>07</w:t>
      </w:r>
      <w:r>
        <w:rPr>
          <w:sz w:val="24"/>
        </w:rPr>
        <w:t xml:space="preserve">MPa 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  <w:lang w:val="en-US" w:eastAsia="zh-CN"/>
        </w:rPr>
        <w:t xml:space="preserve">           评定人：    </w:t>
      </w:r>
      <w:r>
        <w:rPr>
          <w:rFonts w:hint="default" w:eastAsia="宋体"/>
          <w:sz w:val="24"/>
          <w:lang w:val="en-US" w:eastAsia="zh-CN"/>
        </w:rPr>
        <w:drawing>
          <wp:inline distT="0" distB="0" distL="114300" distR="114300">
            <wp:extent cx="1052830" cy="546100"/>
            <wp:effectExtent l="0" t="0" r="0" b="5080"/>
            <wp:docPr id="1" name="图片 1" descr="6d5ffcdbfeb71a3034b440b35fdd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5ffcdbfeb71a3034b440b35fdd9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en-US" w:eastAsia="zh-CN"/>
        </w:rPr>
        <w:t xml:space="preserve">   </w:t>
      </w:r>
    </w:p>
    <w:p>
      <w:pPr>
        <w:widowControl/>
        <w:adjustRightInd w:val="0"/>
        <w:spacing w:line="360" w:lineRule="auto"/>
        <w:ind w:firstLine="482" w:firstLineChars="200"/>
        <w:rPr>
          <w:sz w:val="24"/>
        </w:rPr>
      </w:pPr>
      <w:r>
        <w:rPr>
          <w:b/>
          <w:bCs/>
          <w:sz w:val="24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24362"/>
    <w:rsid w:val="00247355"/>
    <w:rsid w:val="002674CB"/>
    <w:rsid w:val="00267892"/>
    <w:rsid w:val="002903BC"/>
    <w:rsid w:val="002A2992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3C62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1AC5E46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542133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2525CF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42A3D69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4256B0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717</Words>
  <Characters>901</Characters>
  <Lines>9</Lines>
  <Paragraphs>2</Paragraphs>
  <TotalTime>2</TotalTime>
  <ScaleCrop>false</ScaleCrop>
  <LinksUpToDate>false</LinksUpToDate>
  <CharactersWithSpaces>1049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2022-11-15T01:40:08Z</dcterms:modified>
  <dc:title>直读光谱仪测量中低合金钢中锰含量的测量不确定度评定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0CC7F57CA5A84BABA1F570852AB99968</vt:lpwstr>
  </property>
</Properties>
</file>