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供销部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俞佳佳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吴江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喻荣秋（远程）微信、视频、语音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2022.11.14上午-下午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/权限；6.2质量目标及其实现的策划；8.2产品和服务的要求；8.4外部提供供方的控制；8.5.3顾客或外部供方的财产；8.5.5交付后的活动；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9.1.2顾客满意；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供销部主要负责采购与销售过程控制，主要职责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）进行市场调研，了解顾客的期望；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（2）与顾客联系并向其提供服务，负责顾客财产的管理；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（3）收集并分析顾客满意度信息，负责顾客沟通及顾客意见的处理。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（4）负责本部门的日常事务。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（5）组织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员工培训。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（6）负责组织实施合格供方的评定、选择和业绩评价；</w:t>
            </w:r>
          </w:p>
          <w:p>
            <w:pPr>
              <w:spacing w:line="440" w:lineRule="exact"/>
              <w:ind w:right="-45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（7）负责物资采购需求文件的编制和实施；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基本满足。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查见“管理目标分解考核结果（2022年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1-9月</w:t>
            </w: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）”，</w:t>
            </w:r>
            <w:r>
              <w:rPr>
                <w:rFonts w:hint="eastAsia"/>
                <w:color w:val="auto"/>
                <w:lang w:val="en-US" w:eastAsia="zh-CN"/>
              </w:rPr>
              <w:t>见供销部的目标：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部门     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质量分目标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考核方法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考核结果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供销部     供方评定率100%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已评定供方家数/AB类供方总数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100%</w:t>
            </w:r>
          </w:p>
          <w:p>
            <w:pPr>
              <w:pStyle w:val="3"/>
              <w:ind w:firstLine="147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产品交付及时率≥95％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实际按时交付批次/应交付批次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98%</w:t>
            </w:r>
          </w:p>
          <w:p>
            <w:pPr>
              <w:pStyle w:val="3"/>
              <w:ind w:firstLine="147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顾客投诉处理及时率100%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实际处理批次/应处理批次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100%</w:t>
            </w:r>
          </w:p>
          <w:p>
            <w:pPr>
              <w:pStyle w:val="3"/>
              <w:ind w:firstLine="147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顾客满意度≥92％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按调查表统计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96.6%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2239010" cy="690880"/>
                  <wp:effectExtent l="0" t="0" r="1270" b="10160"/>
                  <wp:docPr id="1" name="图片 1" descr="1668330344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83303442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lang w:val="en-US" w:eastAsia="zh-CN"/>
              </w:rPr>
              <w:t>显示目标均已全部完成。基本符合。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嘉善迈超滑动轴承材料厂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钢板、铜粉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嘉兴同泰金属材料有限公司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普磷、磷铜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嘉善五鼎机械配件厂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铜套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明确了调评价内容包括相关质量体系认证情况、生产能力和供应能力情况、历史及社会信誉情况、质量及以往 使用情况等方面；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与“合格供方名录”，一致。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查采购合同，抽见：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嘉善迈超滑动轴承材料厂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钢板、铜粉   2022.9.22    采购单号CCG202209029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嘉兴同泰金属材料有限公司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普磷、磷铜    2022.11.3   合同编号A077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嘉善五鼎机械配件厂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铜套         2022.11.7    采购单号TCG202211007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以上合同明确了产品名称、商标、型号、数量、金额、质量技术标准、运输、包装、验收、结算等；以上供方均在合格供方名录；介绍说，合同签订之前公司对合同进行评审，确定的要求是充分和适宜的。 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顾客要求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:8.2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公司有</w:t>
            </w:r>
            <w:r>
              <w:rPr>
                <w:rFonts w:hint="eastAsia"/>
              </w:rPr>
              <w:t>《顾客满意度测量与服务控制程序》</w:t>
            </w:r>
            <w:r>
              <w:rPr>
                <w:rFonts w:hint="eastAsia"/>
                <w:lang w:val="en-US" w:eastAsia="zh-CN"/>
              </w:rPr>
              <w:t>,有效文件。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企业通过产品宣传册、网页、相关活动、业务交流等方式与顾客沟通；分为售前、售中、售后沟通。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公司产品主要通过招投标、业务商谈等方式进行销售，中标或协商一致后签订合同，采购合同：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嘉善迈超滑动轴承材料厂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钢板、铜粉   2022.9.22    采购单号CCG202209029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嘉兴同泰金属材料有限公司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普磷、磷铜    2022.11.3   合同编号A077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嘉善五鼎机械配件厂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铜套         2022.11.7    采购单号TCG202211007</w:t>
            </w:r>
          </w:p>
          <w:p>
            <w:pPr>
              <w:pStyle w:val="8"/>
              <w:numPr>
                <w:ilvl w:val="0"/>
                <w:numId w:val="0"/>
              </w:numPr>
              <w:ind w:leftChars="100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48460" cy="971550"/>
                  <wp:effectExtent l="0" t="0" r="12700" b="3810"/>
                  <wp:docPr id="3" name="图片 3" descr="1668340571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83405715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00100" cy="1206500"/>
                  <wp:effectExtent l="0" t="0" r="7620" b="12700"/>
                  <wp:docPr id="4" name="图片 4" descr="1668340617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683406175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530350" cy="1086485"/>
                  <wp:effectExtent l="0" t="0" r="8890" b="10795"/>
                  <wp:docPr id="5" name="图片 5" descr="1668340676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683406760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numPr>
                <w:ilvl w:val="0"/>
                <w:numId w:val="0"/>
              </w:numPr>
              <w:ind w:leftChars="100"/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销售合同：</w:t>
            </w:r>
          </w:p>
          <w:p>
            <w:pPr>
              <w:pStyle w:val="8"/>
              <w:numPr>
                <w:ilvl w:val="0"/>
                <w:numId w:val="0"/>
              </w:numPr>
              <w:ind w:leftChars="100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芜湖强振汽车紧固件有限公司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无油轴承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2022.10.13</w:t>
            </w:r>
          </w:p>
          <w:p>
            <w:pPr>
              <w:pStyle w:val="8"/>
              <w:numPr>
                <w:ilvl w:val="0"/>
                <w:numId w:val="0"/>
              </w:numPr>
              <w:ind w:leftChars="100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常州迈滕机械有限公司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无油轴承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2022.10.21</w:t>
            </w:r>
          </w:p>
          <w:p>
            <w:pPr>
              <w:pStyle w:val="8"/>
              <w:numPr>
                <w:ilvl w:val="0"/>
                <w:numId w:val="0"/>
              </w:numPr>
              <w:ind w:leftChars="100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嘉善凯盛滑动轴承有限公司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无油轴承</w:t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2022.10.20</w:t>
            </w:r>
          </w:p>
          <w:p>
            <w:pPr>
              <w:pStyle w:val="8"/>
              <w:numPr>
                <w:ilvl w:val="0"/>
                <w:numId w:val="0"/>
              </w:numPr>
              <w:ind w:leftChars="100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941705" cy="1268095"/>
                  <wp:effectExtent l="0" t="0" r="3175" b="12065"/>
                  <wp:docPr id="6" name="图片 6" descr="166834109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683410963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41705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925830" cy="1306830"/>
                  <wp:effectExtent l="0" t="0" r="3810" b="3810"/>
                  <wp:docPr id="7" name="图片 7" descr="166834120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683412017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合同中均明确了争议解决、文书送达的要求；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查见“合同评审登表”，合同评审项目有：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产品要求是否明确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对合同或订单表不一致的要求是否已经解决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组织是否有能力满足规定的要求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对履行合同的风险是否充分识别、分析和评价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确定能够满足顾客要求后再签订合同。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双方通过QQ及微信电话等,对进行产品型号\数量\及运输方式的的沟通,直至签订合同,同时就交付的情况及售后的情况,保持联系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pStyle w:val="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公司手册中规定，顾客或外部供方的财产可能包括材料、零部件、工具和设备，顾客的场所，知识产权和个人信息。办公室应在合同或订单中明确顾客财产的具体信息。</w:t>
            </w:r>
          </w:p>
          <w:p>
            <w:pPr>
              <w:pStyle w:val="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生技部负责顾客财产的验证，生技部、仓库负责顾客财产的使用和维护，妥善保管顾客提供的财产。</w:t>
            </w:r>
          </w:p>
          <w:p>
            <w:pPr>
              <w:pStyle w:val="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组织在控制或使用顾客或外部供方的财产期间，应对其进行妥善管理。</w:t>
            </w:r>
          </w:p>
          <w:p>
            <w:pPr>
              <w:pStyle w:val="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若顾客或外部供方的财产发生丢失、损坏或发现不适用情况，组织应向顾客或外部供方报告，并保留相关记录及协议等文件信息。 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提供顾客或外部供方财产档案，查看采购合同及销售合同电子版。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Q:9.1.2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cs="宋体" w:hAnsiTheme="minorHAnsi"/>
                <w:kern w:val="0"/>
                <w:sz w:val="24"/>
                <w:szCs w:val="22"/>
                <w:lang w:val="en-US" w:eastAsia="zh-CN"/>
              </w:rPr>
              <w:t>公司有</w:t>
            </w:r>
            <w:r>
              <w:rPr>
                <w:rFonts w:hint="eastAsia"/>
              </w:rPr>
              <w:t>《顾客沟通及满意度控制程序》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有效文件。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2022年8月2日 进行了顾客满意度调查，发放调查表共4份， 8月20日收回3份。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常州迈滕机械有限公司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嘉善凯盛滑动轴承有限公司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嘉善凯盛滑动轴承有限公司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查见“顾客满意度统计分析表”，2022年8月20日，统计分析顾客满意率为96.6%。 达到顾客满意度 大于92%的目标。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顾客评价情况及原因分析：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</w:rPr>
              <w:t>顾客满意度已达到目标值的要求，但顾客普遍对价格反映一般，公司应从原材料采购，生产过程控制，节能降耗等多方面深挖潜力，努力降低成本，以进一步满足顾客要求。</w:t>
            </w:r>
            <w:r>
              <w:rPr>
                <w:rFonts w:hint="eastAsia" w:eastAsia="宋体"/>
                <w:szCs w:val="22"/>
                <w:lang w:val="en-US" w:eastAsia="zh-CN"/>
              </w:rPr>
              <w:t>基本满足。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5080</wp:posOffset>
          </wp:positionV>
          <wp:extent cx="481965" cy="485140"/>
          <wp:effectExtent l="0" t="0" r="5715" b="254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1440" w:firstLineChars="8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IISC-B-II-12(05版）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1440" w:firstLineChars="8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1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mI5OWQ4NWRjNjVjNzdmNjMxMTM2ODE2ZGNkOGIifQ=="/>
  </w:docVars>
  <w:rsids>
    <w:rsidRoot w:val="00172A27"/>
    <w:rsid w:val="0E8E0085"/>
    <w:rsid w:val="0F671A29"/>
    <w:rsid w:val="139E0EBC"/>
    <w:rsid w:val="19B76D83"/>
    <w:rsid w:val="202B1244"/>
    <w:rsid w:val="2EF064BF"/>
    <w:rsid w:val="3085552F"/>
    <w:rsid w:val="31BB6757"/>
    <w:rsid w:val="34B76CE5"/>
    <w:rsid w:val="38082ACD"/>
    <w:rsid w:val="49F8099F"/>
    <w:rsid w:val="4E330463"/>
    <w:rsid w:val="50D5045E"/>
    <w:rsid w:val="523636A7"/>
    <w:rsid w:val="52531B9D"/>
    <w:rsid w:val="526A4DF9"/>
    <w:rsid w:val="558163B2"/>
    <w:rsid w:val="5E7A09FD"/>
    <w:rsid w:val="64A66B8F"/>
    <w:rsid w:val="65AA1FC6"/>
    <w:rsid w:val="71007C82"/>
    <w:rsid w:val="7359544C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</w:pPr>
    <w:rPr>
      <w:rFonts w:ascii="宋体" w:hAnsi="宋体"/>
      <w:sz w:val="24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bCs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1784</Words>
  <Characters>2019</Characters>
  <Lines>1</Lines>
  <Paragraphs>1</Paragraphs>
  <TotalTime>2</TotalTime>
  <ScaleCrop>false</ScaleCrop>
  <LinksUpToDate>false</LinksUpToDate>
  <CharactersWithSpaces>2326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秋子(喻荣秋)</cp:lastModifiedBy>
  <dcterms:modified xsi:type="dcterms:W3CDTF">2022-11-14T06:29:54Z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F049F7A64C2D4D3AA4C9C1C834517DF4</vt:lpwstr>
  </property>
</Properties>
</file>