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17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171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陆群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陪同人员：</w:t>
            </w:r>
            <w:r>
              <w:rPr>
                <w:rFonts w:hint="eastAsia" w:ascii="楷体" w:hAnsi="楷体" w:eastAsia="楷体"/>
                <w:lang w:eastAsia="zh-CN"/>
              </w:rPr>
              <w:t>朱沛瑶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喻荣秋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微信、视频、语音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审核时间：2022.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11.14上午-下午</w:t>
            </w: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5.3岗位/职责 /权限；6.2质量目标及其实现的策划；7.1.2人员； 7.1.6组织知识；7.2能力；7.3意识；7.4沟通；7.5文件化信息；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9.2内部审核；10.2纠正措施；</w:t>
            </w: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</w:trPr>
        <w:tc>
          <w:tcPr>
            <w:tcW w:w="1809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组织的岗位职责和权限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5.3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>
            <w:pPr>
              <w:spacing w:line="440" w:lineRule="exact"/>
              <w:ind w:right="-45" w:firstLine="630" w:firstLineChars="3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办公室</w:t>
            </w:r>
            <w:r>
              <w:rPr>
                <w:rFonts w:hint="eastAsia"/>
              </w:rPr>
              <w:t>主要负责体系建立、实施、保持和持续改进；公司体系文件、记录及外来文件的管理；协助管理层贯彻落实公司管理方针和目标指标和管理评审；负责公司人力资源管理；负责制定培训计划并组织培训；负责制定内部审核计划，组织实施内部审核；负责管理体系绩效的监测和测量等工作。</w:t>
            </w:r>
          </w:p>
          <w:p>
            <w:pPr>
              <w:spacing w:line="440" w:lineRule="exact"/>
              <w:ind w:right="-45"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办公室</w:t>
            </w:r>
            <w:r>
              <w:rPr>
                <w:rFonts w:hint="eastAsia"/>
                <w:lang w:val="en-US" w:eastAsia="zh-CN"/>
              </w:rPr>
              <w:t>职责：</w:t>
            </w:r>
          </w:p>
          <w:p>
            <w:pPr>
              <w:spacing w:line="440" w:lineRule="exact"/>
              <w:ind w:right="-45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（1）编制相关岗位人员人员资格要求，对相关岗位人员进行能力评价；</w:t>
            </w:r>
          </w:p>
          <w:p>
            <w:pPr>
              <w:spacing w:line="440" w:lineRule="exact"/>
              <w:ind w:right="-45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（2）协助总经理搞好管理评审；</w:t>
            </w:r>
          </w:p>
          <w:p>
            <w:pPr>
              <w:spacing w:line="440" w:lineRule="exact"/>
              <w:ind w:right="-45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（3）组织员工培训并评审培训效果，建立员工培训档案。</w:t>
            </w:r>
          </w:p>
          <w:p>
            <w:pPr>
              <w:spacing w:line="440" w:lineRule="exact"/>
              <w:ind w:right="-45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（4）负责公司文件资料的管理及记录的管理控制；</w:t>
            </w:r>
          </w:p>
          <w:p>
            <w:pPr>
              <w:spacing w:line="440" w:lineRule="exact"/>
              <w:ind w:right="-45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（5）负责公司的日常行政事务。</w:t>
            </w:r>
          </w:p>
          <w:p>
            <w:pPr>
              <w:spacing w:line="440" w:lineRule="exact"/>
              <w:ind w:right="-45"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基本符合要求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质量目标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6.2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>
            <w:pPr>
              <w:spacing w:line="440" w:lineRule="exact"/>
              <w:ind w:right="-45" w:firstLine="630" w:firstLineChars="3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查见</w:t>
            </w:r>
            <w:r>
              <w:rPr>
                <w:rFonts w:hint="eastAsia"/>
              </w:rPr>
              <w:t>部门质量目标考核记录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办公室质量目标及考核情况： </w:t>
            </w:r>
            <w:r>
              <w:rPr>
                <w:rFonts w:hint="eastAsia"/>
              </w:rPr>
              <w:t>考核日期</w:t>
            </w:r>
            <w:r>
              <w:rPr>
                <w:rFonts w:hint="eastAsia"/>
                <w:lang w:val="en-US" w:eastAsia="zh-CN"/>
              </w:rPr>
              <w:t>2022年1-9月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质量分目标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  <w:lang w:eastAsia="zh-CN"/>
              </w:rPr>
              <w:t>考核方法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  <w:lang w:eastAsia="zh-CN"/>
              </w:rPr>
              <w:t>考核结果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培训计划完成率100%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实际培训人次/应培训人次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100%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133600" cy="607060"/>
                  <wp:effectExtent l="0" t="0" r="0" b="2540"/>
                  <wp:docPr id="3" name="图片 3" descr="1668321453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683214538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目标均已完成，符合要求。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default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7.1.2</w:t>
            </w:r>
          </w:p>
        </w:tc>
        <w:tc>
          <w:tcPr>
            <w:tcW w:w="10171" w:type="dxa"/>
            <w:vAlign w:val="center"/>
          </w:tcPr>
          <w:p>
            <w:pPr>
              <w:spacing w:line="440" w:lineRule="exact"/>
              <w:ind w:right="-45"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询</w:t>
            </w:r>
            <w:r>
              <w:rPr>
                <w:rFonts w:hint="eastAsia"/>
                <w:lang w:val="en-US" w:eastAsia="zh-CN"/>
              </w:rPr>
              <w:t>问：岗位任职要求的具体规定情况：</w:t>
            </w:r>
          </w:p>
          <w:p>
            <w:pPr>
              <w:spacing w:line="440" w:lineRule="exact"/>
              <w:ind w:right="-45"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1、在《质量手册》中规定了部门负责人的职责权限，在《岗位任职要求》规定了具体岗位的学历、能力、工作经历、经验、素质等方面的要求。包括了每个岗位的具体要求，提供生产人员的任职要求。</w:t>
            </w:r>
          </w:p>
          <w:p>
            <w:pPr>
              <w:spacing w:line="440" w:lineRule="exact"/>
              <w:ind w:right="-45"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2、内审员：</w:t>
            </w:r>
          </w:p>
          <w:p>
            <w:pPr>
              <w:spacing w:line="360" w:lineRule="auto"/>
              <w:ind w:left="449" w:leftChars="114" w:hanging="210" w:hangingChars="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/>
              </w:rPr>
              <w:t>（1）在内审组长带领下，负责本公司内审的具体工作；</w:t>
            </w:r>
            <w:r>
              <w:rPr>
                <w:rFonts w:hint="eastAsia"/>
              </w:rPr>
              <w:cr/>
            </w:r>
            <w:r>
              <w:rPr>
                <w:rFonts w:hint="eastAsia"/>
              </w:rPr>
              <w:t>（2）内审组长负责本次内审计划的编制与实施；</w:t>
            </w:r>
            <w:r>
              <w:rPr>
                <w:rFonts w:hint="eastAsia"/>
              </w:rPr>
              <w:cr/>
            </w:r>
            <w:r>
              <w:rPr>
                <w:rFonts w:hint="eastAsia"/>
              </w:rPr>
              <w:t xml:space="preserve">（3）实施现场审核，根据内审要求，对内审中发生一般或严重不符合时应开出不符合项，  </w:t>
            </w:r>
          </w:p>
          <w:p>
            <w:pPr>
              <w:spacing w:line="360" w:lineRule="auto"/>
              <w:ind w:left="479" w:leftChars="228" w:firstLine="525" w:firstLineChars="25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并形成不符合报告；</w:t>
            </w:r>
            <w:r>
              <w:rPr>
                <w:rFonts w:hint="eastAsia"/>
              </w:rPr>
              <w:cr/>
            </w:r>
            <w:r>
              <w:rPr>
                <w:rFonts w:hint="eastAsia"/>
              </w:rPr>
              <w:t>（4） 审核组长主持内审首、末次会议，并编写内审综合报告；</w:t>
            </w:r>
            <w:r>
              <w:rPr>
                <w:rFonts w:hint="eastAsia"/>
              </w:rPr>
              <w:cr/>
            </w:r>
            <w:r>
              <w:rPr>
                <w:rFonts w:hint="eastAsia"/>
              </w:rPr>
              <w:t>（5） 参与不合格项所采取纠正预防措施的有效性进行跟踪验证。</w:t>
            </w:r>
          </w:p>
          <w:p>
            <w:pPr>
              <w:spacing w:line="440" w:lineRule="exact"/>
              <w:ind w:right="-45"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--抽查内审员</w:t>
            </w:r>
            <w:r>
              <w:rPr>
                <w:rFonts w:hint="eastAsia"/>
              </w:rPr>
              <w:t>狄佳燕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吕冬冬</w:t>
            </w:r>
            <w:r>
              <w:rPr>
                <w:rFonts w:hint="eastAsia"/>
                <w:lang w:val="en-US" w:eastAsia="zh-CN"/>
              </w:rPr>
              <w:t>的任职资格：经过培训，质量管理知识经过考核合格，任命为内审员。</w:t>
            </w:r>
          </w:p>
          <w:p>
            <w:pPr>
              <w:spacing w:line="440" w:lineRule="exact"/>
              <w:ind w:right="-45" w:firstLine="630" w:firstLineChars="300"/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企业员工目前12人，均具有多年同类产品工作经验，管理人员4人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1809" w:type="dxa"/>
          </w:tcPr>
          <w:p>
            <w:pPr>
              <w:spacing w:line="360" w:lineRule="auto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组织知识</w:t>
            </w:r>
          </w:p>
        </w:tc>
        <w:tc>
          <w:tcPr>
            <w:tcW w:w="1311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7.1.6</w:t>
            </w:r>
          </w:p>
        </w:tc>
        <w:tc>
          <w:tcPr>
            <w:tcW w:w="1017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cs="宋体"/>
                <w:kern w:val="0"/>
              </w:rPr>
            </w:pPr>
            <w:r>
              <w:rPr>
                <w:rFonts w:hint="eastAsia" w:cs="宋体"/>
                <w:kern w:val="0"/>
              </w:rPr>
              <w:t>公司应确定质量管理体系运行、过程、确保产品和服务符合性及顾客满意所需的知识。这些知识应得到保持、保护、需要时便于获取。企业的知识包括：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cs="宋体"/>
                <w:kern w:val="0"/>
              </w:rPr>
            </w:pPr>
            <w:r>
              <w:rPr>
                <w:rFonts w:hint="eastAsia" w:cs="宋体"/>
                <w:kern w:val="0"/>
              </w:rPr>
              <w:t>从失败、临近失败的情况和成功中吸取经验教训；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cs="宋体"/>
                <w:kern w:val="0"/>
              </w:rPr>
            </w:pPr>
            <w:r>
              <w:rPr>
                <w:rFonts w:hint="eastAsia" w:cs="宋体"/>
                <w:kern w:val="0"/>
              </w:rPr>
              <w:t>获取公司内部人员的知识和经验；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cs="宋体"/>
                <w:kern w:val="0"/>
              </w:rPr>
            </w:pPr>
            <w:r>
              <w:rPr>
                <w:rFonts w:hint="eastAsia" w:cs="宋体"/>
                <w:kern w:val="0"/>
              </w:rPr>
              <w:t>从顾客、供应商和合作伙伴方面收集知识；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cs="宋体"/>
                <w:kern w:val="0"/>
              </w:rPr>
            </w:pPr>
            <w:r>
              <w:rPr>
                <w:rFonts w:hint="eastAsia" w:cs="宋体"/>
                <w:kern w:val="0"/>
              </w:rPr>
              <w:t>获取组织内部存在的知识（隐性的和显性的），如辅导计划、继任计划等；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cs="宋体"/>
                <w:kern w:val="0"/>
              </w:rPr>
            </w:pPr>
            <w:r>
              <w:rPr>
                <w:rFonts w:hint="eastAsia" w:cs="宋体"/>
                <w:kern w:val="0"/>
              </w:rPr>
              <w:t>与竞争对手或标杆企业的比较；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cs="宋体"/>
                <w:kern w:val="0"/>
              </w:rPr>
            </w:pPr>
            <w:r>
              <w:rPr>
                <w:rFonts w:hint="eastAsia" w:cs="宋体"/>
                <w:kern w:val="0"/>
              </w:rPr>
              <w:t>与相关方分享公司知识，以确保公司发展的可持续性；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根据改进的结果更新必要的企业知识。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hint="eastAsia" w:cs="宋体"/>
                <w:kern w:val="0"/>
              </w:rPr>
            </w:pPr>
            <w:r>
              <w:rPr>
                <w:rFonts w:hint="eastAsia" w:cs="宋体"/>
                <w:kern w:val="0"/>
              </w:rPr>
              <w:t>在应对变化的需求和趋势时，组织应考虑现有的知识基础，确定如何获取必需的更多知识。 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hint="eastAsia" w:cs="宋体"/>
                <w:kern w:val="0"/>
              </w:rPr>
            </w:pPr>
            <w:r>
              <w:rPr>
                <w:rFonts w:hint="eastAsia" w:cs="宋体"/>
                <w:kern w:val="0"/>
              </w:rPr>
              <w:t>a)质量管理体系运行所需的知识； 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hint="eastAsia" w:cs="宋体"/>
                <w:kern w:val="0"/>
              </w:rPr>
            </w:pPr>
            <w:r>
              <w:rPr>
                <w:rFonts w:hint="eastAsia" w:cs="宋体"/>
                <w:kern w:val="0"/>
              </w:rPr>
              <w:t>b)过程所需的知识； 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hint="eastAsia" w:cs="宋体"/>
                <w:kern w:val="0"/>
              </w:rPr>
            </w:pPr>
            <w:r>
              <w:rPr>
                <w:rFonts w:hint="eastAsia" w:cs="宋体"/>
                <w:kern w:val="0"/>
              </w:rPr>
              <w:t>c)确保产品和服务符合性所需的知识； 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hint="eastAsia" w:cs="宋体"/>
                <w:kern w:val="0"/>
              </w:rPr>
            </w:pPr>
            <w:r>
              <w:rPr>
                <w:rFonts w:hint="eastAsia" w:cs="宋体"/>
                <w:kern w:val="0"/>
              </w:rPr>
              <w:t>d)顾客满意所需的知识； 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hint="eastAsia" w:cs="宋体"/>
                <w:kern w:val="0"/>
              </w:rPr>
            </w:pPr>
            <w:r>
              <w:rPr>
                <w:rFonts w:hint="eastAsia" w:cs="宋体"/>
                <w:kern w:val="0"/>
              </w:rPr>
              <w:t>e)员工岗位技能所需的知识； 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f)体系变化时，评估所需更多的知识。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</w:rPr>
              <w:t xml:space="preserve"> 企业知识的管理按《</w:t>
            </w:r>
            <w:r>
              <w:rPr>
                <w:rFonts w:hint="eastAsia"/>
              </w:rPr>
              <w:t>知识管理控制程序》的有关要求实施。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kern w:val="0"/>
                <w:lang w:val="en-US" w:eastAsia="zh-CN"/>
              </w:rPr>
              <w:t>内外部知识</w:t>
            </w:r>
            <w:r>
              <w:rPr>
                <w:rFonts w:hint="eastAsia" w:cs="宋体"/>
                <w:kern w:val="0"/>
              </w:rPr>
              <w:t>在公司内部通过传递、交流、培训等方式获取。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80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能力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7.2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720" w:firstLineChars="300"/>
              <w:jc w:val="left"/>
              <w:rPr>
                <w:rFonts w:hint="eastAsia" w:cs="宋体"/>
                <w:kern w:val="0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kern w:val="0"/>
              </w:rPr>
              <w:t>公司按各岗位任职资格要求,</w:t>
            </w:r>
            <w:r>
              <w:rPr>
                <w:rFonts w:hint="eastAsia" w:cs="宋体"/>
                <w:kern w:val="0"/>
                <w:lang w:val="en-US" w:eastAsia="zh-CN"/>
              </w:rPr>
              <w:t>在手册中</w:t>
            </w:r>
            <w:r>
              <w:rPr>
                <w:rFonts w:hint="eastAsia" w:cs="宋体"/>
                <w:kern w:val="0"/>
              </w:rPr>
              <w:t>对工作人员进行任职资格评价，最终确认满足岗位能力要求情况。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hint="eastAsia" w:cs="宋体"/>
                <w:kern w:val="0"/>
                <w:lang w:val="en-US" w:eastAsia="zh-CN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>查见</w:t>
            </w:r>
            <w:r>
              <w:rPr>
                <w:rFonts w:hint="eastAsia" w:cs="宋体"/>
                <w:kern w:val="0"/>
              </w:rPr>
              <w:t>2022年度培训计划，</w:t>
            </w:r>
            <w:r>
              <w:rPr>
                <w:rFonts w:hint="eastAsia" w:cs="宋体"/>
                <w:kern w:val="0"/>
                <w:lang w:val="en-US" w:eastAsia="zh-CN"/>
              </w:rPr>
              <w:t>培训内容有：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hint="eastAsia" w:cs="宋体"/>
                <w:kern w:val="0"/>
                <w:lang w:val="en-US" w:eastAsia="zh-CN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>ISO质量管理体系标准宣贯培训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hint="eastAsia" w:cs="宋体"/>
                <w:kern w:val="0"/>
                <w:lang w:val="en-US" w:eastAsia="zh-CN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>《质量手册》宣贯培训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hint="eastAsia" w:cs="宋体"/>
                <w:kern w:val="0"/>
                <w:lang w:val="en-US" w:eastAsia="zh-CN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>岗位技能培训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hint="eastAsia" w:cs="宋体"/>
                <w:kern w:val="0"/>
                <w:lang w:val="en-US" w:eastAsia="zh-CN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>厂纪厂规、岗位职责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hint="eastAsia" w:cs="宋体"/>
                <w:kern w:val="0"/>
                <w:lang w:val="en-US" w:eastAsia="zh-CN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>内审员培训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hint="eastAsia" w:cs="宋体"/>
                <w:kern w:val="0"/>
                <w:lang w:val="en-US" w:eastAsia="zh-CN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>法律法规学习培训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hint="eastAsia" w:cs="宋体"/>
                <w:kern w:val="0"/>
                <w:lang w:val="en-US" w:eastAsia="zh-CN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>安全生产培训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491230" cy="1997075"/>
                  <wp:effectExtent l="0" t="0" r="13970" b="14605"/>
                  <wp:docPr id="1" name="图片 1" descr="1668407850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684078503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1230" cy="199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hint="eastAsia" w:cs="宋体"/>
                <w:kern w:val="0"/>
                <w:lang w:val="en-US" w:eastAsia="zh-CN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>抽查《培训记录表》：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hint="default" w:cs="宋体"/>
                <w:kern w:val="0"/>
                <w:lang w:val="en-US" w:eastAsia="zh-CN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>ISO质量管理体系标准宣贯培训    2022.3.21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hint="default" w:cs="宋体"/>
                <w:kern w:val="0"/>
                <w:lang w:val="en-US" w:eastAsia="zh-CN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>《质量手册》宣贯培训            2022.3.25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hint="default" w:cs="宋体"/>
                <w:kern w:val="0"/>
                <w:lang w:val="en-US" w:eastAsia="zh-CN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>岗位技能培训                    2022.4.15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hint="default" w:cs="宋体"/>
                <w:kern w:val="0"/>
                <w:lang w:val="en-US" w:eastAsia="zh-CN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 xml:space="preserve"> 内审员培训                     2022.6.10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hint="eastAsia" w:cs="宋体"/>
                <w:kern w:val="0"/>
                <w:lang w:val="en-US" w:eastAsia="zh-CN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>法律法规学习培训                2022.8.18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hint="default" w:cs="宋体"/>
                <w:kern w:val="0"/>
                <w:lang w:val="en-US" w:eastAsia="zh-CN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>季峰   N2   证书号：33042119771223123X，有效期2023.5.23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hint="eastAsia" w:cs="宋体"/>
                <w:kern w:val="0"/>
                <w:lang w:val="en-US" w:eastAsia="zh-CN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drawing>
                <wp:inline distT="0" distB="0" distL="114300" distR="114300">
                  <wp:extent cx="1155700" cy="1664970"/>
                  <wp:effectExtent l="0" t="0" r="2540" b="11430"/>
                  <wp:docPr id="5" name="图片 5" descr="166840867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684086728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66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>特殊工种：无。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80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意识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7.3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>公司通过学习、会议、宣传等方法使在组织控制范围内的相关工作人员知晓和理解：质量方针、相关的质量目标；员工为本公司管理体系有效性的贡献的意义和途径，包括改进管理绩效的益处；不符合质量管理体系要求的后果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80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沟通</w:t>
            </w:r>
          </w:p>
        </w:tc>
        <w:tc>
          <w:tcPr>
            <w:tcW w:w="131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7.4</w:t>
            </w:r>
          </w:p>
        </w:tc>
        <w:tc>
          <w:tcPr>
            <w:tcW w:w="10171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企业在《质量手册》中规定沟通的方式，《质量手册》7</w:t>
            </w:r>
            <w:r>
              <w:t>.4</w:t>
            </w:r>
            <w:r>
              <w:rPr>
                <w:rFonts w:hint="eastAsia"/>
              </w:rPr>
              <w:t>规定内外部沟通方式如下：</w:t>
            </w:r>
          </w:p>
          <w:p>
            <w:pPr>
              <w:pStyle w:val="2"/>
              <w:rPr>
                <w:rFonts w:hint="eastAsia" w:eastAsia="楷体"/>
                <w:lang w:val="en-US" w:eastAsia="zh-CN"/>
              </w:rPr>
            </w:pPr>
            <w:r>
              <w:rPr>
                <w:rFonts w:hint="eastAsia" w:eastAsia="楷体"/>
                <w:lang w:val="en-US" w:eastAsia="zh-CN"/>
              </w:rPr>
              <w:t>内部沟通：</w:t>
            </w:r>
          </w:p>
          <w:p>
            <w:pPr>
              <w:spacing w:line="360" w:lineRule="auto"/>
              <w:ind w:left="435" w:leftChars="207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1)、综合管理例会、协调会、品质例会等会议、讨论、培训；</w:t>
            </w:r>
          </w:p>
          <w:p>
            <w:pPr>
              <w:spacing w:line="360" w:lineRule="auto"/>
              <w:ind w:left="435" w:leftChars="207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2)、电话和内部虚拟网；</w:t>
            </w:r>
          </w:p>
          <w:p>
            <w:pPr>
              <w:spacing w:line="360" w:lineRule="auto"/>
              <w:ind w:left="435" w:leftChars="207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3)、布告栏、板报、报纸；</w:t>
            </w:r>
          </w:p>
          <w:p>
            <w:pPr>
              <w:spacing w:line="360" w:lineRule="auto"/>
              <w:ind w:left="435" w:leftChars="207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4）、互联网和电子邮件等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楷体"/>
                <w:lang w:val="en-US" w:eastAsia="zh-CN"/>
              </w:rPr>
              <w:t>外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部沟通：</w:t>
            </w:r>
          </w:p>
          <w:p>
            <w:pPr>
              <w:pStyle w:val="6"/>
              <w:spacing w:line="440" w:lineRule="exact"/>
              <w:ind w:firstLine="420" w:firstLineChars="20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1) 就适用的法律法规的要求、政治环境、供应商沟通等开展外部交流，以文件、汇报材料、会议等形式，保持与相关方的沟通、协商、交流，并将有关协商和信息交流的安排通报相关方；</w:t>
            </w:r>
          </w:p>
          <w:p>
            <w:pPr>
              <w:spacing w:line="360" w:lineRule="auto"/>
              <w:ind w:right="-44" w:firstLine="315" w:firstLineChars="150"/>
              <w:rPr>
                <w:rFonts w:hint="default" w:eastAsia="楷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2) 当相关方要求就品质问题等答复时，应将处理结果通告对方。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809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形成文件信息总则</w:t>
            </w:r>
          </w:p>
        </w:tc>
        <w:tc>
          <w:tcPr>
            <w:tcW w:w="1311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7.5.1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/>
              </w:rPr>
              <w:t>公司编制了《文件控制程序》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《记录控制程序》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公司质量管理体系包括：手册、程序文件、管理制度、作业文件和外来文件、记录；公司建立文件和记录时考虑本公司的规模、经营现状、合规义务的需要，过程的复杂性以及人员的能力等因素，确定了为确保管理体系有效性所需的支持性文件，查以上文件均经过审批，发布日期</w:t>
            </w:r>
            <w:r>
              <w:rPr>
                <w:rFonts w:hint="eastAsia"/>
                <w:lang w:val="en-US" w:eastAsia="zh-CN"/>
              </w:rPr>
              <w:t>2022.3.20</w:t>
            </w:r>
            <w:r>
              <w:rPr>
                <w:rFonts w:hint="eastAsia"/>
              </w:rPr>
              <w:t>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809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创建和更新</w:t>
            </w:r>
          </w:p>
        </w:tc>
        <w:tc>
          <w:tcPr>
            <w:tcW w:w="1311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 xml:space="preserve"> 7.5.2</w:t>
            </w:r>
          </w:p>
        </w:tc>
        <w:tc>
          <w:tcPr>
            <w:tcW w:w="10171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文件按程序执行更改和作废；负责人明确创建和更新成文信息时，确保文件标识和说明、适宜的格式和媒介、文件经过评审和批准，确保适宜性和充分性。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查文件编制及更新要求：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1、查质量手册：内容包括：标题、编制人员、日期，文件编号等；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2、查程序文件：内容包括：标题、编制人员、日期，文件编号等。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809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成文信息的控制</w:t>
            </w:r>
          </w:p>
        </w:tc>
        <w:tc>
          <w:tcPr>
            <w:tcW w:w="1311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 xml:space="preserve"> 7.5.3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公司有文件</w:t>
            </w:r>
            <w:r>
              <w:rPr>
                <w:rFonts w:hint="eastAsia"/>
              </w:rPr>
              <w:t>清单（有质量手册、程序文件及各项制度和作业文件）、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记录</w:t>
            </w:r>
            <w:r>
              <w:rPr>
                <w:rFonts w:hint="eastAsia"/>
                <w:lang w:val="en-US" w:eastAsia="zh-CN"/>
              </w:rPr>
              <w:t>清单</w:t>
            </w:r>
            <w:r>
              <w:rPr>
                <w:rFonts w:hint="eastAsia"/>
              </w:rPr>
              <w:t>类、</w:t>
            </w:r>
            <w:r>
              <w:rPr>
                <w:rFonts w:hint="eastAsia"/>
                <w:lang w:val="en-US" w:eastAsia="zh-CN"/>
              </w:rPr>
              <w:t>外来文件</w:t>
            </w:r>
            <w:r>
              <w:rPr>
                <w:rFonts w:hint="eastAsia"/>
              </w:rPr>
              <w:t>，有名称、版本、编号、负责部门，明确记录保存期限。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查有“受控文件清单”，包含有质量手册、程序</w:t>
            </w:r>
            <w:r>
              <w:rPr>
                <w:rFonts w:hint="eastAsia"/>
                <w:lang w:val="en-US" w:eastAsia="zh-CN"/>
              </w:rPr>
              <w:t>文件</w:t>
            </w:r>
            <w:r>
              <w:rPr>
                <w:rFonts w:hint="eastAsia"/>
              </w:rPr>
              <w:t>等；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外来文件：收集的相关法律法规、技术标准：产品质量法、计量法、民典法、标准化法、劳动法、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GB/T 19000-2016《质量管理体系 基础和术语》、质量管理体系 要求 GB/T19001-2016、GB/T1804-2000一般公差 未注公差的线性和角度尺寸的公差，经常网上查阅、及时与顾客沟通确保最新版本；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提供“记录清单”，显示了记录名称、编号、保存期、使用部门等内容。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zh-CN"/>
              </w:rPr>
              <w:t>--抽查：</w:t>
            </w:r>
            <w:r>
              <w:rPr>
                <w:rFonts w:hint="eastAsia"/>
              </w:rPr>
              <w:t>《年度培训计划》，其成文信息标识清晰，填写规范、齐全、清晰。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各成文信息由各部门负责保存，以便查阅，办公室每季度对各部门文件保管情况进行检查，目前尚无文件销毁的记录。成文信息管理目前基本满足要求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查看：抽查合格供方名单、培训记录表、管理评审报告、2022质量目标完成情况等记录清楚，无随意乱涂改。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9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分析与评价</w:t>
            </w:r>
          </w:p>
        </w:tc>
        <w:tc>
          <w:tcPr>
            <w:tcW w:w="131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9.1.3</w:t>
            </w:r>
          </w:p>
        </w:tc>
        <w:tc>
          <w:tcPr>
            <w:tcW w:w="10171" w:type="dxa"/>
          </w:tcPr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公司编制了，《</w:t>
            </w:r>
            <w:r>
              <w:rPr>
                <w:rFonts w:hint="eastAsia"/>
                <w:lang w:val="zh-CN"/>
              </w:rPr>
              <w:t>产品的监视和测量程序</w:t>
            </w:r>
            <w:r>
              <w:rPr>
                <w:rFonts w:hint="eastAsia"/>
                <w:lang w:val="en-US" w:eastAsia="zh-CN"/>
              </w:rPr>
              <w:t>》，《顾客沟通及满意度控制程序》有效文件。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组织确定的分析与评价内容包括：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a）产品和服务的符合性；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b）顾客满意程度；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c）质量管理体系的绩效和有效性；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d）策划是否得到有效实施；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e）针对风险和机遇所采取措施的有效性；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f）外部供方的绩效；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g）质量管理体系改进的需求。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查自公司管理体系运行以来，通</w:t>
            </w:r>
            <w:r>
              <w:rPr>
                <w:rFonts w:hint="eastAsia"/>
              </w:rPr>
              <w:t>过对管理目标的状态评价产品和服务的符合性良好；对顾客满意度评价为达到目标要求；外部供方绩效良好。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通过内审评审公司管理体系的策划已有效实施；通过管理评审评价公司管理体系</w:t>
            </w:r>
            <w:r>
              <w:rPr>
                <w:rFonts w:hint="eastAsia"/>
                <w:lang w:val="en-US" w:eastAsia="zh-CN"/>
              </w:rPr>
              <w:t>充分性、适宜性、有效性。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6"/>
              <w:spacing w:line="360" w:lineRule="auto"/>
              <w:rPr>
                <w:rFonts w:hint="eastAsia" w:ascii="楷体" w:hAnsi="楷体" w:eastAsia="楷体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Cs w:val="24"/>
                <w:lang w:val="en-US" w:eastAsia="zh-CN"/>
              </w:rPr>
              <w:t>Y</w:t>
            </w:r>
          </w:p>
          <w:p>
            <w:pPr>
              <w:pStyle w:val="6"/>
              <w:spacing w:line="360" w:lineRule="auto"/>
              <w:rPr>
                <w:rFonts w:ascii="楷体" w:hAnsi="楷体" w:eastAsia="楷体"/>
                <w:szCs w:val="24"/>
              </w:rPr>
            </w:pPr>
          </w:p>
          <w:p>
            <w:pPr>
              <w:pStyle w:val="6"/>
              <w:spacing w:line="360" w:lineRule="auto"/>
              <w:rPr>
                <w:rFonts w:ascii="楷体" w:hAnsi="楷体" w:eastAsia="楷体"/>
                <w:szCs w:val="24"/>
              </w:rPr>
            </w:pPr>
          </w:p>
          <w:p>
            <w:pPr>
              <w:pStyle w:val="6"/>
              <w:spacing w:line="360" w:lineRule="auto"/>
              <w:rPr>
                <w:rFonts w:ascii="楷体" w:hAnsi="楷体" w:eastAsia="楷体"/>
                <w:szCs w:val="24"/>
              </w:rPr>
            </w:pPr>
          </w:p>
          <w:p>
            <w:pPr>
              <w:pStyle w:val="6"/>
              <w:spacing w:line="360" w:lineRule="auto"/>
              <w:rPr>
                <w:rFonts w:ascii="楷体" w:hAnsi="楷体" w:eastAsia="楷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80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内部审核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9.2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公司有《内部审核控制程序》  ，有效文件。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查见2022.8.22内审情况：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有2022年年度内部审核计划、内审员任命书、首末次会议签到表、内审报告等。 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本次内审发现1个一般不符合项，“未对人员进行培训后评价，不符合GB/T19001-2016标准的7.2 条款。办公室对不符合项进行了原因分析，制定了纠正措施，对纠正措施的完成情况进行了验证。有培训记录，及培训评价记录。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内审结论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a、建立的文件化管理体系基本符合ISO9001:2015标准要求，具有可操作性，能有效的指导本公司的管理体系的有效运行。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b、本公司领导的质量意识较强，能有效领导公司管理体系的有效运行并确保持续改进。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c、建立的管理体系符合标准和策划的要求，并在各部门得到有效实施，自我完善、自我改进机制基本健全，具有实现质量目标的能力。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d、从产品质量及检验情况来看，质量稳定，未有严重不合格品情况发生，且顾客反映良好。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e、此次内审发现的不合格项分布在不同部门、不同条款中，均为一般不合格，未造成系统性和区域性不合格，未对产品质量造成后果也未造成顾客投诉现象。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因此，审核组认为，我公司管理体系基本能按策划和ISO9001:2015标准的要求有效运行。公司内部审核基本有效。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199515" cy="1764030"/>
                  <wp:effectExtent l="0" t="0" r="4445" b="3810"/>
                  <wp:docPr id="6" name="图片 6" descr="e7e2a88f8e8998628f3f2768ab2a1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7e2a88f8e8998628f3f2768ab2a1f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176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196975" cy="1760220"/>
                  <wp:effectExtent l="0" t="0" r="6985" b="7620"/>
                  <wp:docPr id="7" name="图片 7" descr="28ebb9c3412e0a0ca4cd7eb5f3498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8ebb9c3412e0a0ca4cd7eb5f34985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975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80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不合格与纠正措施</w:t>
            </w:r>
          </w:p>
        </w:tc>
        <w:tc>
          <w:tcPr>
            <w:tcW w:w="131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10.2</w:t>
            </w:r>
          </w:p>
        </w:tc>
        <w:tc>
          <w:tcPr>
            <w:tcW w:w="10171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保持实施不合格输出</w:t>
            </w:r>
            <w:r>
              <w:rPr>
                <w:rFonts w:hint="eastAsia"/>
                <w:lang w:val="zh-CN" w:eastAsia="zh-CN"/>
              </w:rPr>
              <w:t>制程序</w:t>
            </w:r>
            <w:r>
              <w:rPr>
                <w:rFonts w:hint="eastAsia"/>
                <w:lang w:val="en-US" w:eastAsia="zh-CN"/>
              </w:rPr>
              <w:t xml:space="preserve">、 持续改进控制程序，其内容符合组织实际及标准要求。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查纠正措施实施情况：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对2022.8.22公司内审中提出一项不合格项，进行了原因分析,并制定、实施了纠正措施，并由内审员对所采取的纠正措施进行了验证，纠正措施有效。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系运行以来公司按照体系的要求，通过运行控制、加强培训，以及开展管理评审活动等方式采取预防措施，防止不符合/不合格的发生，不符合得到了有效控制，人员质量意识有了明显提高，没有发现潜在的不符合，没有发生重大质量事故和投诉处罚。基本符合 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pStyle w:val="1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1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-70485</wp:posOffset>
          </wp:positionV>
          <wp:extent cx="485775" cy="485775"/>
          <wp:effectExtent l="0" t="0" r="0" b="0"/>
          <wp:wrapNone/>
          <wp:docPr id="2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21"/>
        <w:rFonts w:hint="default"/>
      </w:rPr>
      <w:t>北京国标联合认证有限公司</w:t>
    </w:r>
    <w:r>
      <w:rPr>
        <w:rStyle w:val="21"/>
        <w:rFonts w:hint="default"/>
      </w:rPr>
      <w:tab/>
    </w:r>
    <w:r>
      <w:rPr>
        <w:rStyle w:val="21"/>
        <w:rFonts w:hint="default"/>
      </w:rPr>
      <w:tab/>
    </w:r>
    <w:r>
      <w:rPr>
        <w:rStyle w:val="21"/>
        <w:rFonts w:hint="default"/>
      </w:rPr>
      <w:tab/>
    </w:r>
  </w:p>
  <w:p>
    <w:pPr>
      <w:pStyle w:val="11"/>
      <w:pBdr>
        <w:bottom w:val="none" w:color="auto" w:sz="0" w:space="1"/>
      </w:pBdr>
      <w:spacing w:line="320" w:lineRule="exact"/>
      <w:ind w:firstLine="900" w:firstLineChars="500"/>
      <w:jc w:val="left"/>
    </w:pPr>
    <w:r>
      <w:pict>
        <v:shape id="文本框 1" o:spid="_x0000_s4097" o:spt="202" type="#_x0000_t202" style="position:absolute;left:0pt;margin-left:554.75pt;margin-top:2.2pt;height:20.2pt;width:172pt;z-index:251659264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  <w:p/>
            </w:txbxContent>
          </v:textbox>
        </v:shape>
      </w:pict>
    </w:r>
    <w:r>
      <w:rPr>
        <w:rStyle w:val="21"/>
        <w:rFonts w:hint="default"/>
        <w:w w:val="90"/>
      </w:rPr>
      <w:t>Beijing International Standard united Certification Co.,Ltd.</w:t>
    </w:r>
  </w:p>
  <w:p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762000</wp:posOffset>
          </wp:positionH>
          <wp:positionV relativeFrom="page">
            <wp:posOffset>552450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E381D"/>
    <w:multiLevelType w:val="multilevel"/>
    <w:tmpl w:val="2F2E381D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0YmI5OWQ4NWRjNjVjNzdmNjMxMTM2ODE2ZGNkOGIifQ=="/>
  </w:docVars>
  <w:rsids>
    <w:rsidRoot w:val="009973B4"/>
    <w:rsid w:val="0000123C"/>
    <w:rsid w:val="000038DC"/>
    <w:rsid w:val="00004817"/>
    <w:rsid w:val="00006469"/>
    <w:rsid w:val="000146B2"/>
    <w:rsid w:val="00014A12"/>
    <w:rsid w:val="00015792"/>
    <w:rsid w:val="000214B6"/>
    <w:rsid w:val="000242A4"/>
    <w:rsid w:val="0002531E"/>
    <w:rsid w:val="000277D0"/>
    <w:rsid w:val="0003138C"/>
    <w:rsid w:val="00032100"/>
    <w:rsid w:val="0003373A"/>
    <w:rsid w:val="00035FB9"/>
    <w:rsid w:val="00037ED3"/>
    <w:rsid w:val="000412F6"/>
    <w:rsid w:val="00044945"/>
    <w:rsid w:val="00045092"/>
    <w:rsid w:val="00047FFE"/>
    <w:rsid w:val="0005199E"/>
    <w:rsid w:val="00052580"/>
    <w:rsid w:val="0005697E"/>
    <w:rsid w:val="000579CF"/>
    <w:rsid w:val="00060270"/>
    <w:rsid w:val="000605A7"/>
    <w:rsid w:val="00061EE8"/>
    <w:rsid w:val="00061F6E"/>
    <w:rsid w:val="000628FA"/>
    <w:rsid w:val="000629CE"/>
    <w:rsid w:val="0006551C"/>
    <w:rsid w:val="00073F1C"/>
    <w:rsid w:val="000811D9"/>
    <w:rsid w:val="00081CD2"/>
    <w:rsid w:val="000821FC"/>
    <w:rsid w:val="00082216"/>
    <w:rsid w:val="00082398"/>
    <w:rsid w:val="00083343"/>
    <w:rsid w:val="00083864"/>
    <w:rsid w:val="000849D2"/>
    <w:rsid w:val="00084DAD"/>
    <w:rsid w:val="000870FB"/>
    <w:rsid w:val="00087401"/>
    <w:rsid w:val="0009053D"/>
    <w:rsid w:val="00092F91"/>
    <w:rsid w:val="00094791"/>
    <w:rsid w:val="000A013C"/>
    <w:rsid w:val="000A067A"/>
    <w:rsid w:val="000A0E5E"/>
    <w:rsid w:val="000A30F9"/>
    <w:rsid w:val="000A5E44"/>
    <w:rsid w:val="000A6B86"/>
    <w:rsid w:val="000A7B3C"/>
    <w:rsid w:val="000B1394"/>
    <w:rsid w:val="000B2640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6C51"/>
    <w:rsid w:val="000D763A"/>
    <w:rsid w:val="000E2B69"/>
    <w:rsid w:val="000E2C6E"/>
    <w:rsid w:val="000E355F"/>
    <w:rsid w:val="000E4402"/>
    <w:rsid w:val="000E4767"/>
    <w:rsid w:val="000E6004"/>
    <w:rsid w:val="000E721A"/>
    <w:rsid w:val="000E7EF7"/>
    <w:rsid w:val="000F283C"/>
    <w:rsid w:val="000F30C6"/>
    <w:rsid w:val="000F35F1"/>
    <w:rsid w:val="000F38E4"/>
    <w:rsid w:val="000F5002"/>
    <w:rsid w:val="000F7D53"/>
    <w:rsid w:val="001022F1"/>
    <w:rsid w:val="00103234"/>
    <w:rsid w:val="001037D5"/>
    <w:rsid w:val="00106F20"/>
    <w:rsid w:val="0010726B"/>
    <w:rsid w:val="001076D1"/>
    <w:rsid w:val="0011516C"/>
    <w:rsid w:val="00116E41"/>
    <w:rsid w:val="00123A35"/>
    <w:rsid w:val="00124A78"/>
    <w:rsid w:val="00124C1B"/>
    <w:rsid w:val="00132572"/>
    <w:rsid w:val="00133E48"/>
    <w:rsid w:val="00135F92"/>
    <w:rsid w:val="0013745B"/>
    <w:rsid w:val="00144917"/>
    <w:rsid w:val="00145688"/>
    <w:rsid w:val="001456CB"/>
    <w:rsid w:val="001462CD"/>
    <w:rsid w:val="00147EDB"/>
    <w:rsid w:val="00150609"/>
    <w:rsid w:val="00152DB7"/>
    <w:rsid w:val="00155674"/>
    <w:rsid w:val="001564F9"/>
    <w:rsid w:val="00157177"/>
    <w:rsid w:val="00157722"/>
    <w:rsid w:val="001662A1"/>
    <w:rsid w:val="001677C1"/>
    <w:rsid w:val="00170B6A"/>
    <w:rsid w:val="0017135E"/>
    <w:rsid w:val="0017204F"/>
    <w:rsid w:val="00175A5E"/>
    <w:rsid w:val="00176572"/>
    <w:rsid w:val="00176B5D"/>
    <w:rsid w:val="00181F3C"/>
    <w:rsid w:val="00182FDD"/>
    <w:rsid w:val="001833DD"/>
    <w:rsid w:val="00183631"/>
    <w:rsid w:val="00186A4E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519"/>
    <w:rsid w:val="001A572D"/>
    <w:rsid w:val="001A6166"/>
    <w:rsid w:val="001A7197"/>
    <w:rsid w:val="001B03C3"/>
    <w:rsid w:val="001B324E"/>
    <w:rsid w:val="001B36F4"/>
    <w:rsid w:val="001B5EC9"/>
    <w:rsid w:val="001B6887"/>
    <w:rsid w:val="001B6E5E"/>
    <w:rsid w:val="001B700E"/>
    <w:rsid w:val="001C01E7"/>
    <w:rsid w:val="001C0776"/>
    <w:rsid w:val="001C27FE"/>
    <w:rsid w:val="001C2BC9"/>
    <w:rsid w:val="001C34EA"/>
    <w:rsid w:val="001C39CB"/>
    <w:rsid w:val="001C6664"/>
    <w:rsid w:val="001D1D7C"/>
    <w:rsid w:val="001D40F4"/>
    <w:rsid w:val="001D4AD8"/>
    <w:rsid w:val="001D54FF"/>
    <w:rsid w:val="001D5787"/>
    <w:rsid w:val="001D6B47"/>
    <w:rsid w:val="001E03CF"/>
    <w:rsid w:val="001E163B"/>
    <w:rsid w:val="001E1974"/>
    <w:rsid w:val="001E312D"/>
    <w:rsid w:val="001E350D"/>
    <w:rsid w:val="001E5B1C"/>
    <w:rsid w:val="001E72C1"/>
    <w:rsid w:val="001F2D6A"/>
    <w:rsid w:val="001F2F45"/>
    <w:rsid w:val="001F35DE"/>
    <w:rsid w:val="001F4890"/>
    <w:rsid w:val="001F71E8"/>
    <w:rsid w:val="00202097"/>
    <w:rsid w:val="00202594"/>
    <w:rsid w:val="00202BC2"/>
    <w:rsid w:val="00203DBD"/>
    <w:rsid w:val="00214113"/>
    <w:rsid w:val="00215081"/>
    <w:rsid w:val="0022048B"/>
    <w:rsid w:val="00222532"/>
    <w:rsid w:val="00222973"/>
    <w:rsid w:val="002244CE"/>
    <w:rsid w:val="002247B6"/>
    <w:rsid w:val="00227E14"/>
    <w:rsid w:val="00231F3C"/>
    <w:rsid w:val="0023236D"/>
    <w:rsid w:val="00234332"/>
    <w:rsid w:val="00235A5D"/>
    <w:rsid w:val="00235ED5"/>
    <w:rsid w:val="00237445"/>
    <w:rsid w:val="002417B3"/>
    <w:rsid w:val="00245047"/>
    <w:rsid w:val="002455AD"/>
    <w:rsid w:val="00245CB6"/>
    <w:rsid w:val="00253CBF"/>
    <w:rsid w:val="002612B5"/>
    <w:rsid w:val="00262AFE"/>
    <w:rsid w:val="00262DC0"/>
    <w:rsid w:val="002651A6"/>
    <w:rsid w:val="002665DA"/>
    <w:rsid w:val="00267A82"/>
    <w:rsid w:val="002715B5"/>
    <w:rsid w:val="002760CB"/>
    <w:rsid w:val="0027659A"/>
    <w:rsid w:val="002769EB"/>
    <w:rsid w:val="0028195E"/>
    <w:rsid w:val="00282AB8"/>
    <w:rsid w:val="0028403B"/>
    <w:rsid w:val="002918D0"/>
    <w:rsid w:val="00293B8F"/>
    <w:rsid w:val="00293C8B"/>
    <w:rsid w:val="0029464B"/>
    <w:rsid w:val="002973F0"/>
    <w:rsid w:val="002975C1"/>
    <w:rsid w:val="00297F05"/>
    <w:rsid w:val="002A0E6E"/>
    <w:rsid w:val="002A33CC"/>
    <w:rsid w:val="002A4A4F"/>
    <w:rsid w:val="002A5715"/>
    <w:rsid w:val="002A5E69"/>
    <w:rsid w:val="002A62D8"/>
    <w:rsid w:val="002B14F1"/>
    <w:rsid w:val="002B1808"/>
    <w:rsid w:val="002B762A"/>
    <w:rsid w:val="002C1ACE"/>
    <w:rsid w:val="002C3E0D"/>
    <w:rsid w:val="002C60B0"/>
    <w:rsid w:val="002C6F14"/>
    <w:rsid w:val="002D41FB"/>
    <w:rsid w:val="002E054C"/>
    <w:rsid w:val="002E0587"/>
    <w:rsid w:val="002E1E1D"/>
    <w:rsid w:val="002E72F8"/>
    <w:rsid w:val="002F030C"/>
    <w:rsid w:val="002F1DCE"/>
    <w:rsid w:val="002F4435"/>
    <w:rsid w:val="002F58F7"/>
    <w:rsid w:val="003006E2"/>
    <w:rsid w:val="00300ED4"/>
    <w:rsid w:val="003037C2"/>
    <w:rsid w:val="003076A4"/>
    <w:rsid w:val="0031011C"/>
    <w:rsid w:val="003120F5"/>
    <w:rsid w:val="00313B80"/>
    <w:rsid w:val="00317077"/>
    <w:rsid w:val="00317401"/>
    <w:rsid w:val="00317FAF"/>
    <w:rsid w:val="0032112D"/>
    <w:rsid w:val="00321658"/>
    <w:rsid w:val="00323E21"/>
    <w:rsid w:val="00326566"/>
    <w:rsid w:val="00326FC1"/>
    <w:rsid w:val="00330DBC"/>
    <w:rsid w:val="00337922"/>
    <w:rsid w:val="0034001B"/>
    <w:rsid w:val="00340867"/>
    <w:rsid w:val="00342255"/>
    <w:rsid w:val="00342857"/>
    <w:rsid w:val="00342DC0"/>
    <w:rsid w:val="00344EE3"/>
    <w:rsid w:val="00350CBB"/>
    <w:rsid w:val="00351CD4"/>
    <w:rsid w:val="003608CB"/>
    <w:rsid w:val="00360D60"/>
    <w:rsid w:val="003627B6"/>
    <w:rsid w:val="003635B6"/>
    <w:rsid w:val="003675FE"/>
    <w:rsid w:val="0037076F"/>
    <w:rsid w:val="003708D5"/>
    <w:rsid w:val="003727CD"/>
    <w:rsid w:val="0037587D"/>
    <w:rsid w:val="0038061A"/>
    <w:rsid w:val="0038063B"/>
    <w:rsid w:val="00380837"/>
    <w:rsid w:val="00382EDD"/>
    <w:rsid w:val="003836CA"/>
    <w:rsid w:val="0038596F"/>
    <w:rsid w:val="00386A98"/>
    <w:rsid w:val="00392D5A"/>
    <w:rsid w:val="003947A2"/>
    <w:rsid w:val="003952C8"/>
    <w:rsid w:val="00395630"/>
    <w:rsid w:val="00397029"/>
    <w:rsid w:val="003A1E9C"/>
    <w:rsid w:val="003A38E1"/>
    <w:rsid w:val="003A422E"/>
    <w:rsid w:val="003A53EE"/>
    <w:rsid w:val="003A57BB"/>
    <w:rsid w:val="003A62C3"/>
    <w:rsid w:val="003A66F6"/>
    <w:rsid w:val="003B0424"/>
    <w:rsid w:val="003B07D4"/>
    <w:rsid w:val="003B0E41"/>
    <w:rsid w:val="003B1EE5"/>
    <w:rsid w:val="003B63F4"/>
    <w:rsid w:val="003B686D"/>
    <w:rsid w:val="003B6EB8"/>
    <w:rsid w:val="003C16DD"/>
    <w:rsid w:val="003D1723"/>
    <w:rsid w:val="003D3376"/>
    <w:rsid w:val="003D470D"/>
    <w:rsid w:val="003D56CA"/>
    <w:rsid w:val="003D6BE3"/>
    <w:rsid w:val="003E0E52"/>
    <w:rsid w:val="003E2BA3"/>
    <w:rsid w:val="003E2C93"/>
    <w:rsid w:val="003E7D0D"/>
    <w:rsid w:val="003F1800"/>
    <w:rsid w:val="003F20A5"/>
    <w:rsid w:val="003F36AE"/>
    <w:rsid w:val="003F4B68"/>
    <w:rsid w:val="003F57F4"/>
    <w:rsid w:val="003F6D4B"/>
    <w:rsid w:val="00400B96"/>
    <w:rsid w:val="004016BA"/>
    <w:rsid w:val="00401C89"/>
    <w:rsid w:val="00405AA6"/>
    <w:rsid w:val="00405D57"/>
    <w:rsid w:val="00405D5F"/>
    <w:rsid w:val="00410914"/>
    <w:rsid w:val="00415AA3"/>
    <w:rsid w:val="00415C37"/>
    <w:rsid w:val="00417B7B"/>
    <w:rsid w:val="00420650"/>
    <w:rsid w:val="00420C60"/>
    <w:rsid w:val="00423C08"/>
    <w:rsid w:val="004254A5"/>
    <w:rsid w:val="0043032D"/>
    <w:rsid w:val="00430432"/>
    <w:rsid w:val="00432319"/>
    <w:rsid w:val="0043370D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57B7F"/>
    <w:rsid w:val="00463AD4"/>
    <w:rsid w:val="00463D9F"/>
    <w:rsid w:val="00463F22"/>
    <w:rsid w:val="00463F50"/>
    <w:rsid w:val="00465FE1"/>
    <w:rsid w:val="0047169C"/>
    <w:rsid w:val="00472CA2"/>
    <w:rsid w:val="00475491"/>
    <w:rsid w:val="00485202"/>
    <w:rsid w:val="004869FB"/>
    <w:rsid w:val="00491340"/>
    <w:rsid w:val="00491735"/>
    <w:rsid w:val="00494A46"/>
    <w:rsid w:val="0049505E"/>
    <w:rsid w:val="004A00CC"/>
    <w:rsid w:val="004A1070"/>
    <w:rsid w:val="004A3578"/>
    <w:rsid w:val="004A4AF8"/>
    <w:rsid w:val="004A4B90"/>
    <w:rsid w:val="004A57F4"/>
    <w:rsid w:val="004A5E31"/>
    <w:rsid w:val="004A7106"/>
    <w:rsid w:val="004B217F"/>
    <w:rsid w:val="004B3E7F"/>
    <w:rsid w:val="004B557A"/>
    <w:rsid w:val="004B5AC8"/>
    <w:rsid w:val="004B604C"/>
    <w:rsid w:val="004C07FE"/>
    <w:rsid w:val="004C331B"/>
    <w:rsid w:val="004C3A73"/>
    <w:rsid w:val="004C5731"/>
    <w:rsid w:val="004C5BFE"/>
    <w:rsid w:val="004C78A9"/>
    <w:rsid w:val="004C7A42"/>
    <w:rsid w:val="004D0464"/>
    <w:rsid w:val="004D3E4C"/>
    <w:rsid w:val="004D55E7"/>
    <w:rsid w:val="004D62EF"/>
    <w:rsid w:val="004D631F"/>
    <w:rsid w:val="004E15B9"/>
    <w:rsid w:val="004E1A2B"/>
    <w:rsid w:val="004E5197"/>
    <w:rsid w:val="004E5609"/>
    <w:rsid w:val="004E61BC"/>
    <w:rsid w:val="004F185D"/>
    <w:rsid w:val="004F3000"/>
    <w:rsid w:val="004F493F"/>
    <w:rsid w:val="00500159"/>
    <w:rsid w:val="005028A7"/>
    <w:rsid w:val="0050433E"/>
    <w:rsid w:val="005052B3"/>
    <w:rsid w:val="005056ED"/>
    <w:rsid w:val="00505819"/>
    <w:rsid w:val="00505AEA"/>
    <w:rsid w:val="005064D2"/>
    <w:rsid w:val="00513B4A"/>
    <w:rsid w:val="00515C94"/>
    <w:rsid w:val="00517E4C"/>
    <w:rsid w:val="005203B2"/>
    <w:rsid w:val="005213FF"/>
    <w:rsid w:val="00521BB1"/>
    <w:rsid w:val="00521CF0"/>
    <w:rsid w:val="0052238D"/>
    <w:rsid w:val="00527341"/>
    <w:rsid w:val="00531857"/>
    <w:rsid w:val="0053208B"/>
    <w:rsid w:val="005333EF"/>
    <w:rsid w:val="00533A85"/>
    <w:rsid w:val="005345E9"/>
    <w:rsid w:val="00534814"/>
    <w:rsid w:val="00535403"/>
    <w:rsid w:val="00536930"/>
    <w:rsid w:val="00541AE2"/>
    <w:rsid w:val="00541AF7"/>
    <w:rsid w:val="00544CA6"/>
    <w:rsid w:val="00546A95"/>
    <w:rsid w:val="00546D5F"/>
    <w:rsid w:val="00547B16"/>
    <w:rsid w:val="00550E23"/>
    <w:rsid w:val="00552BDE"/>
    <w:rsid w:val="005571F6"/>
    <w:rsid w:val="00560A2A"/>
    <w:rsid w:val="00564D4C"/>
    <w:rsid w:val="00564E53"/>
    <w:rsid w:val="00571FB2"/>
    <w:rsid w:val="00576C70"/>
    <w:rsid w:val="00577BF8"/>
    <w:rsid w:val="00583277"/>
    <w:rsid w:val="0058509F"/>
    <w:rsid w:val="0059163C"/>
    <w:rsid w:val="00592C3E"/>
    <w:rsid w:val="00597617"/>
    <w:rsid w:val="005A000F"/>
    <w:rsid w:val="005A024A"/>
    <w:rsid w:val="005A1F3C"/>
    <w:rsid w:val="005A37FF"/>
    <w:rsid w:val="005B090A"/>
    <w:rsid w:val="005B173D"/>
    <w:rsid w:val="005B17B6"/>
    <w:rsid w:val="005B6888"/>
    <w:rsid w:val="005C5E80"/>
    <w:rsid w:val="005C621D"/>
    <w:rsid w:val="005D0876"/>
    <w:rsid w:val="005D12C1"/>
    <w:rsid w:val="005D1D88"/>
    <w:rsid w:val="005D638F"/>
    <w:rsid w:val="005D6786"/>
    <w:rsid w:val="005D6A00"/>
    <w:rsid w:val="005F4B58"/>
    <w:rsid w:val="005F6C65"/>
    <w:rsid w:val="00600F02"/>
    <w:rsid w:val="00601460"/>
    <w:rsid w:val="006014D4"/>
    <w:rsid w:val="006028A0"/>
    <w:rsid w:val="00603BD9"/>
    <w:rsid w:val="0060444D"/>
    <w:rsid w:val="006078B1"/>
    <w:rsid w:val="0061191A"/>
    <w:rsid w:val="00615E1C"/>
    <w:rsid w:val="006162F8"/>
    <w:rsid w:val="00623037"/>
    <w:rsid w:val="00624222"/>
    <w:rsid w:val="0063647F"/>
    <w:rsid w:val="0064245F"/>
    <w:rsid w:val="00642776"/>
    <w:rsid w:val="00642D31"/>
    <w:rsid w:val="00644FE2"/>
    <w:rsid w:val="00645E5C"/>
    <w:rsid w:val="00645FB8"/>
    <w:rsid w:val="00650027"/>
    <w:rsid w:val="00651301"/>
    <w:rsid w:val="00651986"/>
    <w:rsid w:val="00652F53"/>
    <w:rsid w:val="00653844"/>
    <w:rsid w:val="006545E8"/>
    <w:rsid w:val="006548C1"/>
    <w:rsid w:val="00660E81"/>
    <w:rsid w:val="00664736"/>
    <w:rsid w:val="00664F3E"/>
    <w:rsid w:val="0066550D"/>
    <w:rsid w:val="00665980"/>
    <w:rsid w:val="006666F9"/>
    <w:rsid w:val="006711B0"/>
    <w:rsid w:val="00671EF1"/>
    <w:rsid w:val="0067640C"/>
    <w:rsid w:val="006820C6"/>
    <w:rsid w:val="006836D9"/>
    <w:rsid w:val="0068548D"/>
    <w:rsid w:val="00686C6C"/>
    <w:rsid w:val="00687C93"/>
    <w:rsid w:val="00691265"/>
    <w:rsid w:val="006924A0"/>
    <w:rsid w:val="006946B4"/>
    <w:rsid w:val="00695256"/>
    <w:rsid w:val="00695570"/>
    <w:rsid w:val="006958B3"/>
    <w:rsid w:val="006969F1"/>
    <w:rsid w:val="00696AF1"/>
    <w:rsid w:val="006976FD"/>
    <w:rsid w:val="006A14D3"/>
    <w:rsid w:val="006A2E2A"/>
    <w:rsid w:val="006A3B31"/>
    <w:rsid w:val="006A68F3"/>
    <w:rsid w:val="006B0113"/>
    <w:rsid w:val="006B0194"/>
    <w:rsid w:val="006B027B"/>
    <w:rsid w:val="006B1DB0"/>
    <w:rsid w:val="006B2C63"/>
    <w:rsid w:val="006B39AA"/>
    <w:rsid w:val="006B4127"/>
    <w:rsid w:val="006B4B8D"/>
    <w:rsid w:val="006B4F28"/>
    <w:rsid w:val="006C1B56"/>
    <w:rsid w:val="006C24BF"/>
    <w:rsid w:val="006C3105"/>
    <w:rsid w:val="006C36FE"/>
    <w:rsid w:val="006C40B9"/>
    <w:rsid w:val="006D1BC5"/>
    <w:rsid w:val="006D4DF7"/>
    <w:rsid w:val="006D68AD"/>
    <w:rsid w:val="006E0781"/>
    <w:rsid w:val="006E0A80"/>
    <w:rsid w:val="006E1168"/>
    <w:rsid w:val="006E3185"/>
    <w:rsid w:val="006E3438"/>
    <w:rsid w:val="006E4893"/>
    <w:rsid w:val="006E678B"/>
    <w:rsid w:val="006E762B"/>
    <w:rsid w:val="006F05E9"/>
    <w:rsid w:val="006F107D"/>
    <w:rsid w:val="006F13F5"/>
    <w:rsid w:val="006F301C"/>
    <w:rsid w:val="006F3433"/>
    <w:rsid w:val="006F6678"/>
    <w:rsid w:val="006F6B16"/>
    <w:rsid w:val="0070367F"/>
    <w:rsid w:val="00706274"/>
    <w:rsid w:val="00710655"/>
    <w:rsid w:val="00710688"/>
    <w:rsid w:val="00712F3C"/>
    <w:rsid w:val="00714948"/>
    <w:rsid w:val="0071645E"/>
    <w:rsid w:val="007170AA"/>
    <w:rsid w:val="007175F5"/>
    <w:rsid w:val="00717A4D"/>
    <w:rsid w:val="0072638A"/>
    <w:rsid w:val="00726642"/>
    <w:rsid w:val="00730A6F"/>
    <w:rsid w:val="00732B66"/>
    <w:rsid w:val="00734F93"/>
    <w:rsid w:val="007378E4"/>
    <w:rsid w:val="00737C8F"/>
    <w:rsid w:val="007406DE"/>
    <w:rsid w:val="00740E7F"/>
    <w:rsid w:val="00743E79"/>
    <w:rsid w:val="007447AC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2915"/>
    <w:rsid w:val="00765D3B"/>
    <w:rsid w:val="007703AA"/>
    <w:rsid w:val="00772340"/>
    <w:rsid w:val="00773360"/>
    <w:rsid w:val="007737BA"/>
    <w:rsid w:val="00775497"/>
    <w:rsid w:val="007757F3"/>
    <w:rsid w:val="007815DC"/>
    <w:rsid w:val="007839F5"/>
    <w:rsid w:val="00787C80"/>
    <w:rsid w:val="0079074B"/>
    <w:rsid w:val="00790D5E"/>
    <w:rsid w:val="00790FC6"/>
    <w:rsid w:val="00795FA6"/>
    <w:rsid w:val="007A23ED"/>
    <w:rsid w:val="007A47FB"/>
    <w:rsid w:val="007A6E97"/>
    <w:rsid w:val="007A7056"/>
    <w:rsid w:val="007B106B"/>
    <w:rsid w:val="007B275D"/>
    <w:rsid w:val="007B35C5"/>
    <w:rsid w:val="007B5EF5"/>
    <w:rsid w:val="007B668F"/>
    <w:rsid w:val="007C5216"/>
    <w:rsid w:val="007C7C8D"/>
    <w:rsid w:val="007D3653"/>
    <w:rsid w:val="007D732D"/>
    <w:rsid w:val="007E1991"/>
    <w:rsid w:val="007E31D2"/>
    <w:rsid w:val="007E586D"/>
    <w:rsid w:val="007E6AEB"/>
    <w:rsid w:val="007E6B6E"/>
    <w:rsid w:val="007E7C11"/>
    <w:rsid w:val="007F01EC"/>
    <w:rsid w:val="007F3104"/>
    <w:rsid w:val="007F42B2"/>
    <w:rsid w:val="007F5F2D"/>
    <w:rsid w:val="007F6A62"/>
    <w:rsid w:val="007F7DF2"/>
    <w:rsid w:val="008015B9"/>
    <w:rsid w:val="0080201A"/>
    <w:rsid w:val="00803706"/>
    <w:rsid w:val="0080433F"/>
    <w:rsid w:val="008079FA"/>
    <w:rsid w:val="00810D58"/>
    <w:rsid w:val="00814A40"/>
    <w:rsid w:val="00815916"/>
    <w:rsid w:val="00815AF5"/>
    <w:rsid w:val="008160E3"/>
    <w:rsid w:val="008204E3"/>
    <w:rsid w:val="008343CB"/>
    <w:rsid w:val="00834F70"/>
    <w:rsid w:val="00835B31"/>
    <w:rsid w:val="00843E19"/>
    <w:rsid w:val="00846E6D"/>
    <w:rsid w:val="00850591"/>
    <w:rsid w:val="0085156E"/>
    <w:rsid w:val="00853CCF"/>
    <w:rsid w:val="00855580"/>
    <w:rsid w:val="008575F9"/>
    <w:rsid w:val="00860F99"/>
    <w:rsid w:val="00862823"/>
    <w:rsid w:val="00862D4A"/>
    <w:rsid w:val="008638DE"/>
    <w:rsid w:val="00863B20"/>
    <w:rsid w:val="008646DE"/>
    <w:rsid w:val="00864902"/>
    <w:rsid w:val="00864BE7"/>
    <w:rsid w:val="00865200"/>
    <w:rsid w:val="00865E31"/>
    <w:rsid w:val="00871695"/>
    <w:rsid w:val="008745C0"/>
    <w:rsid w:val="00884594"/>
    <w:rsid w:val="00885631"/>
    <w:rsid w:val="00885B48"/>
    <w:rsid w:val="00886006"/>
    <w:rsid w:val="00887D34"/>
    <w:rsid w:val="00890397"/>
    <w:rsid w:val="00891C25"/>
    <w:rsid w:val="00892F29"/>
    <w:rsid w:val="00894200"/>
    <w:rsid w:val="0089475B"/>
    <w:rsid w:val="00895E03"/>
    <w:rsid w:val="00896433"/>
    <w:rsid w:val="008973EE"/>
    <w:rsid w:val="008A0235"/>
    <w:rsid w:val="008A5C1F"/>
    <w:rsid w:val="008A7C7E"/>
    <w:rsid w:val="008B1A10"/>
    <w:rsid w:val="008B1D31"/>
    <w:rsid w:val="008B21BA"/>
    <w:rsid w:val="008B4EE2"/>
    <w:rsid w:val="008B7644"/>
    <w:rsid w:val="008C199E"/>
    <w:rsid w:val="008C1CA5"/>
    <w:rsid w:val="008C5941"/>
    <w:rsid w:val="008D089D"/>
    <w:rsid w:val="008D0CD7"/>
    <w:rsid w:val="008E0E14"/>
    <w:rsid w:val="008E5E8E"/>
    <w:rsid w:val="008E792C"/>
    <w:rsid w:val="008F0B04"/>
    <w:rsid w:val="008F6788"/>
    <w:rsid w:val="008F7C55"/>
    <w:rsid w:val="00900E5D"/>
    <w:rsid w:val="00901BAF"/>
    <w:rsid w:val="009064EF"/>
    <w:rsid w:val="0091272B"/>
    <w:rsid w:val="00913190"/>
    <w:rsid w:val="00915512"/>
    <w:rsid w:val="0092660E"/>
    <w:rsid w:val="00930694"/>
    <w:rsid w:val="0093207D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258"/>
    <w:rsid w:val="00962D33"/>
    <w:rsid w:val="00962F78"/>
    <w:rsid w:val="00963280"/>
    <w:rsid w:val="0096346D"/>
    <w:rsid w:val="00963E50"/>
    <w:rsid w:val="00964A18"/>
    <w:rsid w:val="00964CF5"/>
    <w:rsid w:val="00965A0E"/>
    <w:rsid w:val="0096609F"/>
    <w:rsid w:val="00967CB2"/>
    <w:rsid w:val="00970DA2"/>
    <w:rsid w:val="00971600"/>
    <w:rsid w:val="00972B2C"/>
    <w:rsid w:val="009769AA"/>
    <w:rsid w:val="009770D2"/>
    <w:rsid w:val="00980802"/>
    <w:rsid w:val="00982CB8"/>
    <w:rsid w:val="00982E86"/>
    <w:rsid w:val="009839E0"/>
    <w:rsid w:val="00984342"/>
    <w:rsid w:val="009868D6"/>
    <w:rsid w:val="00990577"/>
    <w:rsid w:val="0099301F"/>
    <w:rsid w:val="0099512C"/>
    <w:rsid w:val="00996655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9EE"/>
    <w:rsid w:val="009D2F66"/>
    <w:rsid w:val="009D57CF"/>
    <w:rsid w:val="009D685F"/>
    <w:rsid w:val="009D7E70"/>
    <w:rsid w:val="009E0C14"/>
    <w:rsid w:val="009E2238"/>
    <w:rsid w:val="009E30DA"/>
    <w:rsid w:val="009E3D68"/>
    <w:rsid w:val="009E458B"/>
    <w:rsid w:val="009E461A"/>
    <w:rsid w:val="009E6193"/>
    <w:rsid w:val="009E6D95"/>
    <w:rsid w:val="009E7DD1"/>
    <w:rsid w:val="009F0D84"/>
    <w:rsid w:val="009F60A1"/>
    <w:rsid w:val="009F6777"/>
    <w:rsid w:val="009F7BFC"/>
    <w:rsid w:val="009F7EED"/>
    <w:rsid w:val="00A0091F"/>
    <w:rsid w:val="00A03F62"/>
    <w:rsid w:val="00A0615F"/>
    <w:rsid w:val="00A06235"/>
    <w:rsid w:val="00A0721A"/>
    <w:rsid w:val="00A138EC"/>
    <w:rsid w:val="00A13A49"/>
    <w:rsid w:val="00A14BEC"/>
    <w:rsid w:val="00A15CD8"/>
    <w:rsid w:val="00A22E30"/>
    <w:rsid w:val="00A23822"/>
    <w:rsid w:val="00A2451B"/>
    <w:rsid w:val="00A274F0"/>
    <w:rsid w:val="00A3538B"/>
    <w:rsid w:val="00A3604B"/>
    <w:rsid w:val="00A363E6"/>
    <w:rsid w:val="00A378F6"/>
    <w:rsid w:val="00A41F32"/>
    <w:rsid w:val="00A42D8B"/>
    <w:rsid w:val="00A4482F"/>
    <w:rsid w:val="00A45A8E"/>
    <w:rsid w:val="00A506D1"/>
    <w:rsid w:val="00A50B4B"/>
    <w:rsid w:val="00A50F53"/>
    <w:rsid w:val="00A52368"/>
    <w:rsid w:val="00A54B81"/>
    <w:rsid w:val="00A55098"/>
    <w:rsid w:val="00A600E6"/>
    <w:rsid w:val="00A61009"/>
    <w:rsid w:val="00A61BC7"/>
    <w:rsid w:val="00A648EC"/>
    <w:rsid w:val="00A6529A"/>
    <w:rsid w:val="00A66A37"/>
    <w:rsid w:val="00A704D7"/>
    <w:rsid w:val="00A7519D"/>
    <w:rsid w:val="00A801DE"/>
    <w:rsid w:val="00A811EC"/>
    <w:rsid w:val="00A81FD7"/>
    <w:rsid w:val="00A824AF"/>
    <w:rsid w:val="00A83D8A"/>
    <w:rsid w:val="00A842D0"/>
    <w:rsid w:val="00A90A22"/>
    <w:rsid w:val="00A93E26"/>
    <w:rsid w:val="00A93E66"/>
    <w:rsid w:val="00A969B9"/>
    <w:rsid w:val="00A97734"/>
    <w:rsid w:val="00AA1858"/>
    <w:rsid w:val="00AA4F88"/>
    <w:rsid w:val="00AA6B46"/>
    <w:rsid w:val="00AA7F40"/>
    <w:rsid w:val="00AA7FA8"/>
    <w:rsid w:val="00AB1F9C"/>
    <w:rsid w:val="00AB41FC"/>
    <w:rsid w:val="00AB7C37"/>
    <w:rsid w:val="00AB7D2F"/>
    <w:rsid w:val="00AC00D4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E752D"/>
    <w:rsid w:val="00AF0AAB"/>
    <w:rsid w:val="00AF156F"/>
    <w:rsid w:val="00AF314B"/>
    <w:rsid w:val="00AF32D4"/>
    <w:rsid w:val="00AF3B58"/>
    <w:rsid w:val="00AF616B"/>
    <w:rsid w:val="00B01EFA"/>
    <w:rsid w:val="00B034AD"/>
    <w:rsid w:val="00B04169"/>
    <w:rsid w:val="00B0685B"/>
    <w:rsid w:val="00B14206"/>
    <w:rsid w:val="00B144C7"/>
    <w:rsid w:val="00B17991"/>
    <w:rsid w:val="00B22671"/>
    <w:rsid w:val="00B22D22"/>
    <w:rsid w:val="00B23030"/>
    <w:rsid w:val="00B237B9"/>
    <w:rsid w:val="00B23CAA"/>
    <w:rsid w:val="00B23D4F"/>
    <w:rsid w:val="00B2489D"/>
    <w:rsid w:val="00B324EA"/>
    <w:rsid w:val="00B34503"/>
    <w:rsid w:val="00B3665A"/>
    <w:rsid w:val="00B410EE"/>
    <w:rsid w:val="00B542B9"/>
    <w:rsid w:val="00B57843"/>
    <w:rsid w:val="00B63BD0"/>
    <w:rsid w:val="00B709FC"/>
    <w:rsid w:val="00B728E8"/>
    <w:rsid w:val="00B72906"/>
    <w:rsid w:val="00B73B0E"/>
    <w:rsid w:val="00B73EA8"/>
    <w:rsid w:val="00B8202D"/>
    <w:rsid w:val="00B82181"/>
    <w:rsid w:val="00B826F3"/>
    <w:rsid w:val="00B8395C"/>
    <w:rsid w:val="00B85E59"/>
    <w:rsid w:val="00B90548"/>
    <w:rsid w:val="00B91271"/>
    <w:rsid w:val="00B91605"/>
    <w:rsid w:val="00B91895"/>
    <w:rsid w:val="00B929FC"/>
    <w:rsid w:val="00B929FD"/>
    <w:rsid w:val="00B95B99"/>
    <w:rsid w:val="00B95F69"/>
    <w:rsid w:val="00B95F75"/>
    <w:rsid w:val="00B96AF8"/>
    <w:rsid w:val="00B96B2E"/>
    <w:rsid w:val="00BA2954"/>
    <w:rsid w:val="00BA420F"/>
    <w:rsid w:val="00BA48B9"/>
    <w:rsid w:val="00BA4A2A"/>
    <w:rsid w:val="00BA66E9"/>
    <w:rsid w:val="00BB2CE4"/>
    <w:rsid w:val="00BB31C5"/>
    <w:rsid w:val="00BB6AD3"/>
    <w:rsid w:val="00BC0122"/>
    <w:rsid w:val="00BC16C1"/>
    <w:rsid w:val="00BC2015"/>
    <w:rsid w:val="00BC3AA4"/>
    <w:rsid w:val="00BC528D"/>
    <w:rsid w:val="00BC66FE"/>
    <w:rsid w:val="00BC71B0"/>
    <w:rsid w:val="00BD4E08"/>
    <w:rsid w:val="00BD6DBC"/>
    <w:rsid w:val="00BE0992"/>
    <w:rsid w:val="00BE17FE"/>
    <w:rsid w:val="00BE363D"/>
    <w:rsid w:val="00BE3E2D"/>
    <w:rsid w:val="00BE48B3"/>
    <w:rsid w:val="00BF2DEB"/>
    <w:rsid w:val="00BF310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1790"/>
    <w:rsid w:val="00C23379"/>
    <w:rsid w:val="00C24A16"/>
    <w:rsid w:val="00C269BE"/>
    <w:rsid w:val="00C27570"/>
    <w:rsid w:val="00C31C73"/>
    <w:rsid w:val="00C4059C"/>
    <w:rsid w:val="00C425C8"/>
    <w:rsid w:val="00C46BF6"/>
    <w:rsid w:val="00C47138"/>
    <w:rsid w:val="00C5112E"/>
    <w:rsid w:val="00C513CB"/>
    <w:rsid w:val="00C51A36"/>
    <w:rsid w:val="00C5320D"/>
    <w:rsid w:val="00C54308"/>
    <w:rsid w:val="00C548BE"/>
    <w:rsid w:val="00C548E8"/>
    <w:rsid w:val="00C55228"/>
    <w:rsid w:val="00C62031"/>
    <w:rsid w:val="00C62CBA"/>
    <w:rsid w:val="00C6305A"/>
    <w:rsid w:val="00C66D8B"/>
    <w:rsid w:val="00C6799A"/>
    <w:rsid w:val="00C67E19"/>
    <w:rsid w:val="00C67E47"/>
    <w:rsid w:val="00C71E85"/>
    <w:rsid w:val="00C73C26"/>
    <w:rsid w:val="00C73FF7"/>
    <w:rsid w:val="00C745AF"/>
    <w:rsid w:val="00C750BE"/>
    <w:rsid w:val="00C76A3E"/>
    <w:rsid w:val="00C76DEF"/>
    <w:rsid w:val="00C7736E"/>
    <w:rsid w:val="00C7739B"/>
    <w:rsid w:val="00C86F9B"/>
    <w:rsid w:val="00C87FEE"/>
    <w:rsid w:val="00C90930"/>
    <w:rsid w:val="00C9113A"/>
    <w:rsid w:val="00C920A9"/>
    <w:rsid w:val="00C93340"/>
    <w:rsid w:val="00CA5DC4"/>
    <w:rsid w:val="00CB0154"/>
    <w:rsid w:val="00CB0A84"/>
    <w:rsid w:val="00CB0D49"/>
    <w:rsid w:val="00CB127F"/>
    <w:rsid w:val="00CB260B"/>
    <w:rsid w:val="00CB2E47"/>
    <w:rsid w:val="00CB3729"/>
    <w:rsid w:val="00CB43FE"/>
    <w:rsid w:val="00CB49AB"/>
    <w:rsid w:val="00CB49F0"/>
    <w:rsid w:val="00CB60E6"/>
    <w:rsid w:val="00CB673E"/>
    <w:rsid w:val="00CB697E"/>
    <w:rsid w:val="00CB7A95"/>
    <w:rsid w:val="00CC2A01"/>
    <w:rsid w:val="00CC6864"/>
    <w:rsid w:val="00CC7C8B"/>
    <w:rsid w:val="00CD1E19"/>
    <w:rsid w:val="00CD3561"/>
    <w:rsid w:val="00CD394A"/>
    <w:rsid w:val="00CD6C83"/>
    <w:rsid w:val="00CE0AA5"/>
    <w:rsid w:val="00CE2A9E"/>
    <w:rsid w:val="00CE315A"/>
    <w:rsid w:val="00CE40F0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3B86"/>
    <w:rsid w:val="00D1449C"/>
    <w:rsid w:val="00D1453D"/>
    <w:rsid w:val="00D15523"/>
    <w:rsid w:val="00D17651"/>
    <w:rsid w:val="00D209B7"/>
    <w:rsid w:val="00D21AF9"/>
    <w:rsid w:val="00D30CC3"/>
    <w:rsid w:val="00D30F40"/>
    <w:rsid w:val="00D3392D"/>
    <w:rsid w:val="00D34A3D"/>
    <w:rsid w:val="00D34C3B"/>
    <w:rsid w:val="00D379ED"/>
    <w:rsid w:val="00D37D1B"/>
    <w:rsid w:val="00D41F5E"/>
    <w:rsid w:val="00D429D7"/>
    <w:rsid w:val="00D42D53"/>
    <w:rsid w:val="00D52E26"/>
    <w:rsid w:val="00D55E69"/>
    <w:rsid w:val="00D562F6"/>
    <w:rsid w:val="00D570B2"/>
    <w:rsid w:val="00D66956"/>
    <w:rsid w:val="00D70C55"/>
    <w:rsid w:val="00D74868"/>
    <w:rsid w:val="00D74BF6"/>
    <w:rsid w:val="00D74FBF"/>
    <w:rsid w:val="00D7539C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119F"/>
    <w:rsid w:val="00DA2CBF"/>
    <w:rsid w:val="00DB1D00"/>
    <w:rsid w:val="00DC2601"/>
    <w:rsid w:val="00DC3FCA"/>
    <w:rsid w:val="00DC570B"/>
    <w:rsid w:val="00DD00DF"/>
    <w:rsid w:val="00DD10DC"/>
    <w:rsid w:val="00DD1C8E"/>
    <w:rsid w:val="00DD1D21"/>
    <w:rsid w:val="00DD4CB0"/>
    <w:rsid w:val="00DD5F01"/>
    <w:rsid w:val="00DD7876"/>
    <w:rsid w:val="00DE146D"/>
    <w:rsid w:val="00DE2AF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406"/>
    <w:rsid w:val="00E11CD7"/>
    <w:rsid w:val="00E13D9A"/>
    <w:rsid w:val="00E14BA9"/>
    <w:rsid w:val="00E20F64"/>
    <w:rsid w:val="00E20FE1"/>
    <w:rsid w:val="00E221C3"/>
    <w:rsid w:val="00E31F2E"/>
    <w:rsid w:val="00E32D13"/>
    <w:rsid w:val="00E41911"/>
    <w:rsid w:val="00E43467"/>
    <w:rsid w:val="00E43822"/>
    <w:rsid w:val="00E43A35"/>
    <w:rsid w:val="00E457E0"/>
    <w:rsid w:val="00E45C87"/>
    <w:rsid w:val="00E52C97"/>
    <w:rsid w:val="00E54035"/>
    <w:rsid w:val="00E54234"/>
    <w:rsid w:val="00E54B10"/>
    <w:rsid w:val="00E5717A"/>
    <w:rsid w:val="00E6219F"/>
    <w:rsid w:val="00E62996"/>
    <w:rsid w:val="00E63714"/>
    <w:rsid w:val="00E64A51"/>
    <w:rsid w:val="00E6527A"/>
    <w:rsid w:val="00E654D3"/>
    <w:rsid w:val="00E66224"/>
    <w:rsid w:val="00E676F9"/>
    <w:rsid w:val="00E67C09"/>
    <w:rsid w:val="00E806B5"/>
    <w:rsid w:val="00E910C0"/>
    <w:rsid w:val="00E9133C"/>
    <w:rsid w:val="00E954BE"/>
    <w:rsid w:val="00E95637"/>
    <w:rsid w:val="00E963EE"/>
    <w:rsid w:val="00E97424"/>
    <w:rsid w:val="00EA0EE8"/>
    <w:rsid w:val="00EA290A"/>
    <w:rsid w:val="00EA55F7"/>
    <w:rsid w:val="00EA5870"/>
    <w:rsid w:val="00EA6F4E"/>
    <w:rsid w:val="00EA7465"/>
    <w:rsid w:val="00EB0164"/>
    <w:rsid w:val="00EB2E04"/>
    <w:rsid w:val="00EB49A0"/>
    <w:rsid w:val="00EB5DF5"/>
    <w:rsid w:val="00EB65F7"/>
    <w:rsid w:val="00EC075B"/>
    <w:rsid w:val="00EC42F5"/>
    <w:rsid w:val="00EC4AD8"/>
    <w:rsid w:val="00EC526F"/>
    <w:rsid w:val="00EC54DD"/>
    <w:rsid w:val="00ED0F62"/>
    <w:rsid w:val="00ED49CB"/>
    <w:rsid w:val="00EE173B"/>
    <w:rsid w:val="00EE1F14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1198"/>
    <w:rsid w:val="00F11201"/>
    <w:rsid w:val="00F115BF"/>
    <w:rsid w:val="00F129E5"/>
    <w:rsid w:val="00F13103"/>
    <w:rsid w:val="00F14D99"/>
    <w:rsid w:val="00F2038C"/>
    <w:rsid w:val="00F204EA"/>
    <w:rsid w:val="00F25AFF"/>
    <w:rsid w:val="00F26351"/>
    <w:rsid w:val="00F31E8A"/>
    <w:rsid w:val="00F32CB9"/>
    <w:rsid w:val="00F33729"/>
    <w:rsid w:val="00F3372A"/>
    <w:rsid w:val="00F349E4"/>
    <w:rsid w:val="00F35B1F"/>
    <w:rsid w:val="00F35CD7"/>
    <w:rsid w:val="00F3666E"/>
    <w:rsid w:val="00F36BE9"/>
    <w:rsid w:val="00F377A9"/>
    <w:rsid w:val="00F41617"/>
    <w:rsid w:val="00F42776"/>
    <w:rsid w:val="00F44D4E"/>
    <w:rsid w:val="00F4767C"/>
    <w:rsid w:val="00F47878"/>
    <w:rsid w:val="00F5567F"/>
    <w:rsid w:val="00F55DB9"/>
    <w:rsid w:val="00F56BAF"/>
    <w:rsid w:val="00F57E3E"/>
    <w:rsid w:val="00F606E1"/>
    <w:rsid w:val="00F61B7C"/>
    <w:rsid w:val="00F6254E"/>
    <w:rsid w:val="00F66C77"/>
    <w:rsid w:val="00F6739D"/>
    <w:rsid w:val="00F70CBA"/>
    <w:rsid w:val="00F7355A"/>
    <w:rsid w:val="00F83639"/>
    <w:rsid w:val="00F83DBF"/>
    <w:rsid w:val="00F83EB6"/>
    <w:rsid w:val="00F840C3"/>
    <w:rsid w:val="00F856F5"/>
    <w:rsid w:val="00F8598C"/>
    <w:rsid w:val="00F868CA"/>
    <w:rsid w:val="00F956F5"/>
    <w:rsid w:val="00F97505"/>
    <w:rsid w:val="00FA0572"/>
    <w:rsid w:val="00FA0833"/>
    <w:rsid w:val="00FA2988"/>
    <w:rsid w:val="00FA350D"/>
    <w:rsid w:val="00FA415D"/>
    <w:rsid w:val="00FA6475"/>
    <w:rsid w:val="00FB03C3"/>
    <w:rsid w:val="00FB150B"/>
    <w:rsid w:val="00FB5A65"/>
    <w:rsid w:val="00FB5CE0"/>
    <w:rsid w:val="00FB6C45"/>
    <w:rsid w:val="00FC01AB"/>
    <w:rsid w:val="00FC04E1"/>
    <w:rsid w:val="00FC2C3B"/>
    <w:rsid w:val="00FC5A11"/>
    <w:rsid w:val="00FC6957"/>
    <w:rsid w:val="00FC7367"/>
    <w:rsid w:val="00FD0852"/>
    <w:rsid w:val="00FD0A28"/>
    <w:rsid w:val="00FD2869"/>
    <w:rsid w:val="00FD3905"/>
    <w:rsid w:val="00FD5EE5"/>
    <w:rsid w:val="00FD72A6"/>
    <w:rsid w:val="00FE09C9"/>
    <w:rsid w:val="00FE3DB1"/>
    <w:rsid w:val="00FE62BD"/>
    <w:rsid w:val="00FE64AA"/>
    <w:rsid w:val="00FE673C"/>
    <w:rsid w:val="00FE78FA"/>
    <w:rsid w:val="00FF5C66"/>
    <w:rsid w:val="00FF67DD"/>
    <w:rsid w:val="0B5605CC"/>
    <w:rsid w:val="108219C2"/>
    <w:rsid w:val="1404150D"/>
    <w:rsid w:val="17FB3F17"/>
    <w:rsid w:val="22676256"/>
    <w:rsid w:val="341F157C"/>
    <w:rsid w:val="3FAB56D5"/>
    <w:rsid w:val="4934433D"/>
    <w:rsid w:val="496C1203"/>
    <w:rsid w:val="4FF0324F"/>
    <w:rsid w:val="5EA12B9A"/>
    <w:rsid w:val="63F3530E"/>
    <w:rsid w:val="73262347"/>
    <w:rsid w:val="73C4399B"/>
    <w:rsid w:val="752941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Cs w:val="24"/>
    </w:rPr>
  </w:style>
  <w:style w:type="paragraph" w:styleId="6">
    <w:name w:val="Body Text"/>
    <w:basedOn w:val="1"/>
    <w:link w:val="25"/>
    <w:unhideWhenUsed/>
    <w:qFormat/>
    <w:uiPriority w:val="0"/>
    <w:pPr>
      <w:spacing w:line="420" w:lineRule="exact"/>
    </w:pPr>
    <w:rPr>
      <w:sz w:val="24"/>
    </w:r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Plain Text"/>
    <w:basedOn w:val="1"/>
    <w:link w:val="26"/>
    <w:qFormat/>
    <w:uiPriority w:val="0"/>
    <w:rPr>
      <w:rFonts w:ascii="宋体" w:hAnsi="Courier New"/>
    </w:rPr>
  </w:style>
  <w:style w:type="paragraph" w:styleId="9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spacing w:line="500" w:lineRule="exact"/>
    </w:pPr>
    <w:rPr>
      <w:sz w:val="30"/>
    </w:rPr>
  </w:style>
  <w:style w:type="paragraph" w:styleId="13">
    <w:name w:val="Title"/>
    <w:basedOn w:val="1"/>
    <w:link w:val="27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paragraph" w:styleId="14">
    <w:name w:val="Body Text First Indent 2"/>
    <w:basedOn w:val="7"/>
    <w:next w:val="1"/>
    <w:qFormat/>
    <w:uiPriority w:val="0"/>
    <w:pPr>
      <w:snapToGrid/>
      <w:spacing w:afterLines="0" w:line="240" w:lineRule="auto"/>
      <w:ind w:left="0" w:leftChars="0" w:right="0" w:firstLine="420" w:firstLineChars="200"/>
    </w:pPr>
    <w:rPr>
      <w:rFonts w:ascii="Times New Roman" w:hAnsi="Times New Roman" w:eastAsia="宋体"/>
      <w:sz w:val="32"/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customStyle="1" w:styleId="18">
    <w:name w:val="页眉 Char"/>
    <w:basedOn w:val="16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6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Char"/>
    <w:basedOn w:val="16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2">
    <w:name w:val="fontstyle01"/>
    <w:basedOn w:val="16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3">
    <w:name w:val="fontstyle2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4">
    <w:name w:val="标题 2 Char"/>
    <w:basedOn w:val="16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正文文本 Char"/>
    <w:basedOn w:val="16"/>
    <w:link w:val="6"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6">
    <w:name w:val="纯文本 Char"/>
    <w:basedOn w:val="16"/>
    <w:link w:val="8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7">
    <w:name w:val="标题 Char"/>
    <w:basedOn w:val="16"/>
    <w:link w:val="13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9">
    <w:name w:val="cjk"/>
    <w:basedOn w:val="1"/>
    <w:qFormat/>
    <w:uiPriority w:val="0"/>
    <w:pPr>
      <w:widowControl/>
      <w:spacing w:before="100" w:beforeAutospacing="1" w:after="142"/>
    </w:pPr>
    <w:rPr>
      <w:rFonts w:ascii="等线" w:hAnsi="等线" w:eastAsia="等线" w:cs="宋体"/>
      <w:color w:val="000000"/>
      <w:kern w:val="0"/>
      <w:sz w:val="20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bCs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3440</Words>
  <Characters>3729</Characters>
  <Lines>22</Lines>
  <Paragraphs>6</Paragraphs>
  <TotalTime>34</TotalTime>
  <ScaleCrop>false</ScaleCrop>
  <LinksUpToDate>false</LinksUpToDate>
  <CharactersWithSpaces>3925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秋子(喻荣秋)</cp:lastModifiedBy>
  <dcterms:modified xsi:type="dcterms:W3CDTF">2022-11-14T08:14:20Z</dcterms:modified>
  <cp:revision>1494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EC565313168845B8B9E6F823D0EBD139</vt:lpwstr>
  </property>
</Properties>
</file>