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216"/>
        <w:gridCol w:w="716"/>
        <w:gridCol w:w="9766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18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82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综合部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0" w:name="管理者代表"/>
            <w:r>
              <w:rPr>
                <w:rFonts w:hint="eastAsia"/>
                <w:sz w:val="24"/>
                <w:szCs w:val="24"/>
              </w:rPr>
              <w:t>周森涟漪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许浩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18" w:type="dxa"/>
            <w:vMerge w:val="continue"/>
            <w:vAlign w:val="center"/>
          </w:tcPr>
          <w:p/>
        </w:tc>
        <w:tc>
          <w:tcPr>
            <w:tcW w:w="1216" w:type="dxa"/>
            <w:vMerge w:val="continue"/>
            <w:vAlign w:val="center"/>
          </w:tcPr>
          <w:p/>
        </w:tc>
        <w:tc>
          <w:tcPr>
            <w:tcW w:w="10482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张静</w:t>
            </w:r>
            <w:bookmarkStart w:id="2" w:name="_GoBack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（远程、腾讯会议、微信）  </w:t>
            </w:r>
            <w:bookmarkEnd w:id="2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t>2022年11月2</w:t>
            </w:r>
            <w:r>
              <w:rPr>
                <w:rFonts w:hint="eastAsia"/>
                <w:lang w:val="en-US" w:eastAsia="zh-CN"/>
              </w:rPr>
              <w:t>5</w:t>
            </w:r>
            <w:r>
              <w:t>日 下午</w:t>
            </w:r>
            <w:bookmarkEnd w:id="1"/>
          </w:p>
        </w:tc>
        <w:tc>
          <w:tcPr>
            <w:tcW w:w="129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8" w:type="dxa"/>
            <w:vMerge w:val="continue"/>
            <w:vAlign w:val="center"/>
          </w:tcPr>
          <w:p/>
        </w:tc>
        <w:tc>
          <w:tcPr>
            <w:tcW w:w="1216" w:type="dxa"/>
            <w:vMerge w:val="continue"/>
            <w:vAlign w:val="center"/>
          </w:tcPr>
          <w:p/>
        </w:tc>
        <w:tc>
          <w:tcPr>
            <w:tcW w:w="10482" w:type="dxa"/>
            <w:gridSpan w:val="2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t>E:6.1.2/6.1.3/6.1.4/9.1.2</w:t>
            </w:r>
          </w:p>
          <w:p>
            <w:pPr>
              <w:spacing w:before="120"/>
              <w:ind w:firstLine="1470" w:firstLineChars="700"/>
              <w:rPr>
                <w:sz w:val="24"/>
                <w:szCs w:val="24"/>
              </w:rPr>
            </w:pPr>
            <w:r>
              <w:t>O:6.1.2/6.1.3/6.1.4/9.1.2</w:t>
            </w:r>
          </w:p>
        </w:tc>
        <w:tc>
          <w:tcPr>
            <w:tcW w:w="129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8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环境因素</w:t>
            </w:r>
          </w:p>
        </w:tc>
        <w:tc>
          <w:tcPr>
            <w:tcW w:w="1216" w:type="dxa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E6.1.2</w:t>
            </w:r>
          </w:p>
        </w:tc>
        <w:tc>
          <w:tcPr>
            <w:tcW w:w="716" w:type="dxa"/>
            <w:shd w:val="clear" w:color="auto" w:fill="auto"/>
          </w:tcPr>
          <w:p>
            <w:r>
              <w:rPr>
                <w:rFonts w:hint="eastAsia"/>
              </w:rPr>
              <w:t>文件</w:t>
            </w:r>
          </w:p>
        </w:tc>
        <w:tc>
          <w:tcPr>
            <w:tcW w:w="9766" w:type="dxa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手册第6.1条款、</w:t>
            </w:r>
            <w:r>
              <w:rPr/>
              <w:sym w:font="Wingdings" w:char="00FE"/>
            </w:r>
            <w:r>
              <w:rPr>
                <w:rFonts w:hint="eastAsia"/>
              </w:rPr>
              <w:t>《环境因素、危险源的识别与评价控制程序》</w:t>
            </w:r>
          </w:p>
        </w:tc>
        <w:tc>
          <w:tcPr>
            <w:tcW w:w="1293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pPr>
              <w:pStyle w:val="2"/>
            </w:pPr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18" w:type="dxa"/>
            <w:vMerge w:val="continue"/>
            <w:shd w:val="clear" w:color="auto" w:fill="auto"/>
          </w:tcPr>
          <w:p/>
        </w:tc>
        <w:tc>
          <w:tcPr>
            <w:tcW w:w="1216" w:type="dxa"/>
            <w:vMerge w:val="continue"/>
            <w:shd w:val="clear" w:color="auto" w:fill="auto"/>
          </w:tcPr>
          <w:p/>
        </w:tc>
        <w:tc>
          <w:tcPr>
            <w:tcW w:w="716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766" w:type="dxa"/>
            <w:shd w:val="clear" w:color="auto" w:fill="auto"/>
          </w:tcPr>
          <w:p>
            <w:r>
              <w:rPr>
                <w:rFonts w:hint="eastAsia"/>
              </w:rPr>
              <w:t>组织在识别环境因素和相关的环境影响时，需考虑非正常情况、潜在的紧急情况和全生命周期。</w:t>
            </w:r>
          </w:p>
          <w:p>
            <w:r>
              <w:rPr>
                <w:rFonts w:hint="eastAsia"/>
              </w:rPr>
              <w:t>环境因素识别考虑了下列过程：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设计开发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原材料采购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strike/>
                <w:dstrike w:val="0"/>
                <w:color w:val="000000"/>
              </w:rPr>
              <w:t>生产/</w:t>
            </w:r>
            <w:r>
              <w:rPr>
                <w:rFonts w:hint="eastAsia"/>
                <w:color w:val="000000"/>
              </w:rPr>
              <w:t xml:space="preserve">服务提供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产品检测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产品储存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产品交付  </w:t>
            </w:r>
          </w:p>
          <w:p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产品使用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最终处置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组织的环境因素包括：</w:t>
            </w:r>
          </w:p>
          <w:p>
            <w:r>
              <w:rPr>
                <w:rFonts w:hint="eastAsia"/>
              </w:rPr>
              <w:t xml:space="preserve">能源资源消耗：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蒸汽（外购）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氮气（自制）</w:t>
            </w: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固体废弃物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危险废弃物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危险化学品引起的环境影响：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泄露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燃烧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爆炸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  <w:lang w:val="en-US" w:eastAsia="zh-CN"/>
              </w:rPr>
              <w:t>火灾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有《环境因素评价表》，2022-05-12，对各部门的环境因素进行了评价；</w:t>
            </w:r>
          </w:p>
          <w:p>
            <w:pPr>
              <w:pStyle w:val="6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有《重要环境因素清单》，内容如下：</w:t>
            </w:r>
          </w:p>
          <w:p>
            <w:pPr>
              <w:pStyle w:val="6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评价重要环境因素的准则：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环境因素识别与评价控制程序</w:t>
            </w:r>
            <w:r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  <w:lang w:val="en-US" w:eastAsia="zh-CN"/>
              </w:rPr>
              <w:t>和《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危险源辨识与风险评价控制程序</w:t>
            </w:r>
            <w:r>
              <w:rPr>
                <w:rFonts w:hint="eastAsia"/>
                <w:u w:val="single"/>
                <w:lang w:val="en-US" w:eastAsia="zh-CN"/>
              </w:rPr>
              <w:t>》</w:t>
            </w:r>
          </w:p>
          <w:p>
            <w:pPr>
              <w:rPr>
                <w:b/>
                <w:bCs/>
                <w:u w:val="single"/>
              </w:rPr>
            </w:pPr>
          </w:p>
          <w:p>
            <w:r>
              <w:rPr>
                <w:rFonts w:hint="eastAsia"/>
                <w:b/>
                <w:bCs/>
              </w:rPr>
              <w:t>重要环境因素，及其控制措施是</w:t>
            </w:r>
            <w:r>
              <w:rPr>
                <w:rFonts w:hint="eastAsia"/>
              </w:rPr>
              <w:t>：</w:t>
            </w:r>
          </w:p>
          <w:tbl>
            <w:tblPr>
              <w:tblStyle w:val="8"/>
              <w:tblW w:w="91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9"/>
              <w:gridCol w:w="2815"/>
              <w:gridCol w:w="2518"/>
              <w:gridCol w:w="13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重要环境因素</w:t>
                  </w:r>
                </w:p>
              </w:tc>
              <w:tc>
                <w:tcPr>
                  <w:tcW w:w="281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</w:rPr>
                    <w:t>状态</w:t>
                  </w:r>
                </w:p>
              </w:tc>
              <w:tc>
                <w:tcPr>
                  <w:tcW w:w="2518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</w:rPr>
                    <w:t>控制措施</w:t>
                  </w:r>
                </w:p>
              </w:tc>
              <w:tc>
                <w:tcPr>
                  <w:tcW w:w="1391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火灾</w:t>
                  </w:r>
                </w:p>
              </w:tc>
              <w:tc>
                <w:tcPr>
                  <w:tcW w:w="281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紧急   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消防设施、日常检查、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应急演练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固体废弃物排放</w:t>
                  </w:r>
                </w:p>
              </w:tc>
              <w:tc>
                <w:tcPr>
                  <w:tcW w:w="281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>紧急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/>
                      <w:szCs w:val="24"/>
                    </w:rPr>
                    <w:t>指定有资格的处理商处理，签定处置协议</w:t>
                  </w:r>
                </w:p>
              </w:tc>
              <w:tc>
                <w:tcPr>
                  <w:tcW w:w="1391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水、电消耗</w:t>
                  </w:r>
                </w:p>
              </w:tc>
              <w:tc>
                <w:tcPr>
                  <w:tcW w:w="281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>紧急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加强管理教育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widowControl/>
                    <w:jc w:val="both"/>
                    <w:rPr>
                      <w:rFonts w:hint="eastAsia" w:ascii="宋体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污水排放</w:t>
                  </w:r>
                </w:p>
              </w:tc>
              <w:tc>
                <w:tcPr>
                  <w:tcW w:w="281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color w:val="000000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>紧急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>
                  <w:pPr>
                    <w:widowControl/>
                    <w:jc w:val="both"/>
                    <w:rPr>
                      <w:rFonts w:hint="default" w:ascii="宋体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进入污水管网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lang w:val="en-US" w:eastAsia="zh-CN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废气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排放</w:t>
                  </w:r>
                </w:p>
              </w:tc>
              <w:tc>
                <w:tcPr>
                  <w:tcW w:w="281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>紧急</w:t>
                  </w:r>
                </w:p>
              </w:tc>
              <w:tc>
                <w:tcPr>
                  <w:tcW w:w="2518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widowControl/>
                    <w:jc w:val="both"/>
                    <w:rPr>
                      <w:rFonts w:hint="eastAsia" w:ascii="宋体" w:hAnsi="Times New Roman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cs="宋体"/>
                      <w:color w:val="000000"/>
                      <w:kern w:val="0"/>
                      <w:szCs w:val="21"/>
                      <w:highlight w:val="none"/>
                    </w:rPr>
                    <w:t>噪声</w:t>
                  </w:r>
                </w:p>
              </w:tc>
              <w:tc>
                <w:tcPr>
                  <w:tcW w:w="281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color w:val="00000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 xml:space="preserve">正常 </w:t>
                  </w:r>
                  <w:r>
                    <w:rPr>
                      <w:color w:val="00000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 xml:space="preserve">异常 </w:t>
                  </w:r>
                  <w:r>
                    <w:rPr>
                      <w:color w:val="000000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highlight w:val="none"/>
                    </w:rPr>
                    <w:t xml:space="preserve">紧急   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>
                  <w:pPr>
                    <w:widowControl/>
                    <w:jc w:val="both"/>
                    <w:rPr>
                      <w:rFonts w:hint="default" w:ascii="宋体" w:hAnsi="Times New Roman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9" w:type="dxa"/>
                  <w:shd w:val="clear" w:color="auto" w:fill="auto"/>
                  <w:vAlign w:val="top"/>
                </w:tcPr>
                <w:p>
                  <w:pPr>
                    <w:widowControl/>
                    <w:jc w:val="both"/>
                    <w:rPr>
                      <w:rFonts w:hint="eastAsia" w:ascii="宋体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81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正常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异常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紧急  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>
                  <w:pPr>
                    <w:widowControl/>
                    <w:jc w:val="both"/>
                    <w:rPr>
                      <w:rFonts w:hint="default" w:ascii="宋体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lang w:val="en-US" w:eastAsia="zh-CN"/>
                    </w:rPr>
                  </w:pPr>
                </w:p>
              </w:tc>
            </w:tr>
          </w:tbl>
          <w:p/>
        </w:tc>
        <w:tc>
          <w:tcPr>
            <w:tcW w:w="1293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8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危险源辨识</w:t>
            </w:r>
          </w:p>
        </w:tc>
        <w:tc>
          <w:tcPr>
            <w:tcW w:w="1216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O6.1.2</w:t>
            </w:r>
          </w:p>
        </w:tc>
        <w:tc>
          <w:tcPr>
            <w:tcW w:w="71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76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手册第6.1条款、</w:t>
            </w:r>
            <w:r>
              <w:rPr/>
              <w:sym w:font="Wingdings" w:char="00FE"/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环境因素识别与评价控制程序</w:t>
            </w:r>
            <w:r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  <w:lang w:val="en-US" w:eastAsia="zh-CN"/>
              </w:rPr>
              <w:t>和《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>危险源辨识与风险评价控制程序</w:t>
            </w:r>
            <w:r>
              <w:rPr>
                <w:rFonts w:hint="eastAsia"/>
                <w:u w:val="single"/>
                <w:lang w:val="en-US" w:eastAsia="zh-CN"/>
              </w:rPr>
              <w:t>》</w:t>
            </w:r>
          </w:p>
        </w:tc>
        <w:tc>
          <w:tcPr>
            <w:tcW w:w="1293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符合</w:t>
            </w:r>
          </w:p>
          <w:p>
            <w:pPr>
              <w:pStyle w:val="2"/>
              <w:rPr>
                <w:highlight w:val="none"/>
              </w:rPr>
            </w:pP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8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71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766" w:type="dxa"/>
            <w:shd w:val="clear" w:color="auto" w:fill="auto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组织在</w:t>
            </w:r>
            <w:r>
              <w:rPr>
                <w:rFonts w:hint="eastAsia"/>
                <w:vertAlign w:val="baseline"/>
                <w:lang w:val="en-US" w:eastAsia="zh-CN"/>
              </w:rPr>
              <w:t>辨识危险源</w:t>
            </w:r>
            <w:r>
              <w:rPr>
                <w:rFonts w:hint="eastAsia"/>
                <w:vertAlign w:val="baseline"/>
              </w:rPr>
              <w:t>和相关的</w:t>
            </w:r>
            <w:r>
              <w:rPr>
                <w:rFonts w:hint="eastAsia"/>
                <w:vertAlign w:val="baseline"/>
                <w:lang w:val="en-US" w:eastAsia="zh-CN"/>
              </w:rPr>
              <w:t>职业健康安全风险</w:t>
            </w:r>
            <w:r>
              <w:rPr>
                <w:rFonts w:hint="eastAsia"/>
                <w:vertAlign w:val="baseline"/>
              </w:rPr>
              <w:t>时，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</w:rPr>
              <w:t>考虑</w:t>
            </w:r>
            <w:r>
              <w:rPr>
                <w:rFonts w:hint="eastAsia"/>
                <w:vertAlign w:val="baseline"/>
                <w:lang w:val="en-US" w:eastAsia="zh-CN"/>
              </w:rPr>
              <w:t>下列因素：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社会因素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领导作用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组织的文化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常规活动和状况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非常规活动和状况 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内部</w:t>
            </w:r>
            <w:r>
              <w:rPr>
                <w:highlight w:val="none"/>
              </w:rPr>
              <w:t>或</w:t>
            </w:r>
            <w:r>
              <w:rPr>
                <w:rFonts w:hint="eastAsia"/>
                <w:highlight w:val="none"/>
              </w:rPr>
              <w:t>外部以往发生的相关事件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vertAlign w:val="baseline"/>
              </w:rPr>
              <w:t>潜在的紧急情况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内部员工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相关方人员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其他</w:t>
            </w:r>
          </w:p>
          <w:p>
            <w:pPr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工作场所附近</w:t>
            </w:r>
            <w:r>
              <w:rPr>
                <w:highlight w:val="none"/>
              </w:rPr>
              <w:t>的状况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实际或拟定的变更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</w:rPr>
              <w:t>危险源的知识和相关信息的变更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危险源辨识考虑了下列过程：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设计开发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原材料采购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strike/>
                <w:dstrike w:val="0"/>
                <w:color w:val="000000"/>
                <w:lang w:val="en-US" w:eastAsia="zh-CN"/>
              </w:rPr>
              <w:t>生产/</w:t>
            </w:r>
            <w:r>
              <w:rPr>
                <w:rFonts w:hint="eastAsia"/>
                <w:color w:val="000000"/>
                <w:lang w:val="en-US" w:eastAsia="zh-CN"/>
              </w:rPr>
              <w:t xml:space="preserve">服务提供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产品检测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产品储存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产品交付 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辅助活动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公用工程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有《危险源调查评价表》，2022-05-12，对各部门的危险源进行了评价；</w:t>
            </w:r>
          </w:p>
          <w:p>
            <w:pPr>
              <w:pStyle w:val="6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有《不可接受风险清单》，内容如下：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评价不可接受风险的准则：《</w:t>
            </w:r>
            <w:r>
              <w:rPr>
                <w:rFonts w:hint="eastAsia"/>
                <w:szCs w:val="22"/>
              </w:rPr>
              <w:t>危险源辨识和风险评价控制程序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u w:val="single"/>
              </w:rPr>
              <w:t xml:space="preserve">LEC法  </w:t>
            </w:r>
          </w:p>
          <w:p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组织的重大危险源包括</w:t>
            </w:r>
            <w:r>
              <w:rPr>
                <w:rFonts w:hint="eastAsia"/>
                <w:b/>
                <w:bCs/>
              </w:rPr>
              <w:t>，及其控制措施是</w:t>
            </w:r>
            <w:r>
              <w:rPr>
                <w:rFonts w:hint="eastAsia"/>
              </w:rPr>
              <w:t>：</w:t>
            </w:r>
          </w:p>
          <w:tbl>
            <w:tblPr>
              <w:tblStyle w:val="8"/>
              <w:tblW w:w="131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084"/>
              <w:gridCol w:w="3735"/>
              <w:gridCol w:w="56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</w:rPr>
                    <w:t>重要危险源</w:t>
                  </w:r>
                </w:p>
              </w:tc>
              <w:tc>
                <w:tcPr>
                  <w:tcW w:w="208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职业健康安全风险</w:t>
                  </w:r>
                </w:p>
              </w:tc>
              <w:tc>
                <w:tcPr>
                  <w:tcW w:w="373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  <w:tc>
                <w:tcPr>
                  <w:tcW w:w="5659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火灾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  <w:lang w:val="en-GB"/>
                    </w:rPr>
                  </w:pPr>
                  <w:r>
                    <w:rPr>
                      <w:rFonts w:hint="eastAsia"/>
                    </w:rPr>
                    <w:t>烧伤</w:t>
                  </w:r>
                </w:p>
              </w:tc>
              <w:tc>
                <w:tcPr>
                  <w:tcW w:w="373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消防设施、日常检查、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应急演练</w:t>
                  </w:r>
                </w:p>
              </w:tc>
              <w:tc>
                <w:tcPr>
                  <w:tcW w:w="565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交通事故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碾压伤、撞击伤</w:t>
                  </w:r>
                </w:p>
              </w:tc>
              <w:tc>
                <w:tcPr>
                  <w:tcW w:w="373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继续交通安全教育</w:t>
                  </w:r>
                </w:p>
              </w:tc>
              <w:tc>
                <w:tcPr>
                  <w:tcW w:w="565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触电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电击伤</w:t>
                  </w:r>
                </w:p>
              </w:tc>
              <w:tc>
                <w:tcPr>
                  <w:tcW w:w="373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安装漏电保护</w:t>
                  </w:r>
                </w:p>
              </w:tc>
              <w:tc>
                <w:tcPr>
                  <w:tcW w:w="565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新冠疫情感染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疾病</w:t>
                  </w:r>
                </w:p>
              </w:tc>
              <w:tc>
                <w:tcPr>
                  <w:tcW w:w="373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专人管理</w:t>
                  </w:r>
                </w:p>
              </w:tc>
              <w:tc>
                <w:tcPr>
                  <w:tcW w:w="565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冷冻库误锁</w:t>
                  </w: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冻伤</w:t>
                  </w:r>
                </w:p>
              </w:tc>
              <w:tc>
                <w:tcPr>
                  <w:tcW w:w="3735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安装内部开启装置</w:t>
                  </w:r>
                </w:p>
              </w:tc>
              <w:tc>
                <w:tcPr>
                  <w:tcW w:w="5659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销售部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3735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565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084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373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565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</w:tc>
        <w:tc>
          <w:tcPr>
            <w:tcW w:w="1293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8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Style w:val="12"/>
                <w:rFonts w:hint="eastAsia"/>
                <w:highlight w:val="none"/>
              </w:rPr>
              <w:t>法律法规要求和其他要求的确定</w:t>
            </w:r>
            <w:r>
              <w:rPr>
                <w:rStyle w:val="12"/>
                <w:rFonts w:hint="eastAsia"/>
                <w:highlight w:val="none"/>
                <w:lang w:val="en-US" w:eastAsia="zh-CN"/>
              </w:rPr>
              <w:t>\</w:t>
            </w:r>
            <w:r>
              <w:rPr>
                <w:rFonts w:hint="eastAsia"/>
                <w:color w:val="000000"/>
                <w:szCs w:val="21"/>
                <w:highlight w:val="none"/>
              </w:rPr>
              <w:t>合规义务</w:t>
            </w:r>
          </w:p>
        </w:tc>
        <w:tc>
          <w:tcPr>
            <w:tcW w:w="1216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E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/>
                <w:color w:val="000000"/>
                <w:szCs w:val="21"/>
                <w:highlight w:val="none"/>
              </w:rPr>
              <w:t>6.1.3</w:t>
            </w:r>
          </w:p>
        </w:tc>
        <w:tc>
          <w:tcPr>
            <w:tcW w:w="71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76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手册第6.1.3条款、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法律法规和其他要求控制程序</w:t>
            </w:r>
            <w:r>
              <w:rPr>
                <w:rFonts w:hint="eastAsia"/>
                <w:sz w:val="21"/>
                <w:szCs w:val="21"/>
                <w:highlight w:val="none"/>
              </w:rPr>
              <w:t>》</w:t>
            </w:r>
          </w:p>
        </w:tc>
        <w:tc>
          <w:tcPr>
            <w:tcW w:w="1293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符合</w:t>
            </w:r>
          </w:p>
          <w:p>
            <w:pPr>
              <w:pStyle w:val="2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18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71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76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组织收集法律法规和其他要求的渠道：</w:t>
            </w:r>
          </w:p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专业网站  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</w:rPr>
              <w:t xml:space="preserve">主管机构 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专业书店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其他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行业/协会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）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提供有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《法律法规清单》，环境法规共25种；职业健康安全法规13种；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列举主要的相关法律法规是：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2"/>
              <w:gridCol w:w="1127"/>
              <w:gridCol w:w="2138"/>
              <w:gridCol w:w="15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  <w:jc w:val="center"/>
              </w:trPr>
              <w:tc>
                <w:tcPr>
                  <w:tcW w:w="4402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  <w:t>法律法规名称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  <w:t>具体条款</w:t>
                  </w:r>
                </w:p>
              </w:tc>
              <w:tc>
                <w:tcPr>
                  <w:tcW w:w="2138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  <w:t>应用过程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  <w:jc w:val="center"/>
              </w:trPr>
              <w:tc>
                <w:tcPr>
                  <w:tcW w:w="4402" w:type="dxa"/>
                  <w:shd w:val="clear" w:color="auto" w:fill="auto"/>
                  <w:vAlign w:val="center"/>
                </w:tcPr>
                <w:p>
                  <w:pPr>
                    <w:pStyle w:val="17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《中华人民共和国消防法》</w:t>
                  </w:r>
                </w:p>
              </w:tc>
              <w:tc>
                <w:tcPr>
                  <w:tcW w:w="1127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2138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  <w:t>消防过程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4402" w:type="dxa"/>
                  <w:shd w:val="clear" w:color="auto" w:fill="auto"/>
                  <w:vAlign w:val="center"/>
                </w:tcPr>
                <w:p>
                  <w:pPr>
                    <w:pStyle w:val="17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《中华人民共和国固体废物污染环境防治法》</w:t>
                  </w:r>
                </w:p>
              </w:tc>
              <w:tc>
                <w:tcPr>
                  <w:tcW w:w="1127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2138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  <w:t>固废处理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4402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cs="Times New Roman"/>
                      <w:szCs w:val="24"/>
                      <w:highlight w:val="none"/>
                      <w:lang w:val="en-US" w:eastAsia="zh-CN"/>
                    </w:rPr>
                    <w:t>上海</w:t>
                  </w: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  <w:t>市生活垃圾管理条例</w:t>
                  </w:r>
                </w:p>
              </w:tc>
              <w:tc>
                <w:tcPr>
                  <w:tcW w:w="1127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</w:rPr>
                    <w:t>全部</w:t>
                  </w:r>
                </w:p>
              </w:tc>
              <w:tc>
                <w:tcPr>
                  <w:tcW w:w="2138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Cs w:val="24"/>
                      <w:highlight w:val="none"/>
                      <w:lang w:val="en-US" w:eastAsia="zh-CN"/>
                    </w:rPr>
                    <w:t>固体废弃物管理过程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" w:hRule="atLeast"/>
                <w:jc w:val="center"/>
              </w:trPr>
              <w:tc>
                <w:tcPr>
                  <w:tcW w:w="4402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工伤保险条例</w:t>
                  </w:r>
                </w:p>
              </w:tc>
              <w:tc>
                <w:tcPr>
                  <w:tcW w:w="1127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213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szCs w:val="24"/>
                      <w:highlight w:val="none"/>
                      <w:lang w:val="en-US" w:eastAsia="zh-CN"/>
                    </w:rPr>
                    <w:t>工伤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" w:hRule="atLeast"/>
                <w:jc w:val="center"/>
              </w:trPr>
              <w:tc>
                <w:tcPr>
                  <w:tcW w:w="4402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道路交通安全法</w:t>
                  </w:r>
                </w:p>
              </w:tc>
              <w:tc>
                <w:tcPr>
                  <w:tcW w:w="1127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全部</w:t>
                  </w:r>
                </w:p>
              </w:tc>
              <w:tc>
                <w:tcPr>
                  <w:tcW w:w="2138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cs="Times New Roman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szCs w:val="24"/>
                      <w:highlight w:val="none"/>
                      <w:lang w:val="en-US" w:eastAsia="zh-CN"/>
                    </w:rPr>
                    <w:t>道路交通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highlight w:val="none"/>
                    </w:rPr>
                    <w:t>各部门</w:t>
                  </w:r>
                </w:p>
              </w:tc>
            </w:tr>
          </w:tbl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color w:val="000000"/>
                <w:szCs w:val="18"/>
                <w:highlight w:val="none"/>
              </w:rPr>
              <w:t>查看《排污许可证》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不适用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有效期至：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污染物排放种类：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生活污水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工业废水 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废气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粉尘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厂界噪声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污染物排放总量：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达标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未达标，需要改进：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污染物排放浓度：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达标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 xml:space="preserve">未达标，需要改进： </w:t>
            </w:r>
            <w:r>
              <w:rPr>
                <w:rFonts w:hint="eastAsia"/>
                <w:color w:val="000000"/>
                <w:highlight w:val="none"/>
                <w:u w:val="single"/>
              </w:rPr>
              <w:t xml:space="preserve">                     </w:t>
            </w:r>
          </w:p>
          <w:p>
            <w:pPr>
              <w:pStyle w:val="7"/>
              <w:ind w:left="0" w:leftChars="0" w:firstLine="0" w:firstLineChars="0"/>
            </w:pP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根据</w:t>
            </w:r>
            <w:r>
              <w:rPr>
                <w:rFonts w:hint="eastAsia"/>
                <w:color w:val="000000"/>
                <w:highlight w:val="none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  <w:highlight w:val="none"/>
              </w:rPr>
              <w:t>确认环境影响评价的种类：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——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不适用</w:t>
            </w:r>
          </w:p>
          <w:p>
            <w:pPr>
              <w:rPr>
                <w:color w:val="000000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18"/>
                <w:highlight w:val="none"/>
              </w:rPr>
              <w:t>环境影响登记表</w:t>
            </w:r>
            <w:r>
              <w:rPr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>环境影响报告表</w:t>
            </w:r>
            <w:r>
              <w:rPr>
                <w:rFonts w:hint="eastAsia"/>
                <w:color w:val="000000"/>
                <w:highlight w:val="none"/>
              </w:rPr>
              <w:t xml:space="preserve">  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highlight w:val="none"/>
              </w:rPr>
              <w:t>环境影响报告书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</w:rPr>
              <w:t>其他——</w:t>
            </w:r>
          </w:p>
          <w:p>
            <w:pPr>
              <w:pStyle w:val="2"/>
              <w:rPr>
                <w:rFonts w:hint="default" w:eastAsia="宋体"/>
                <w:color w:val="FF0000"/>
                <w:highlight w:val="none"/>
                <w:lang w:val="en-US" w:eastAsia="zh-CN"/>
              </w:rPr>
            </w:pPr>
            <w:r>
              <w:rPr>
                <w:highlight w:val="none"/>
              </w:rPr>
              <w:t>备案号：</w:t>
            </w:r>
          </w:p>
          <w:p>
            <w:pPr>
              <w:pStyle w:val="2"/>
              <w:rPr>
                <w:rFonts w:hint="default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消防备案：</w:t>
            </w:r>
            <w:r>
              <w:rPr>
                <w:rFonts w:hint="eastAsia"/>
                <w:highlight w:val="none"/>
                <w:lang w:val="en-US" w:eastAsia="zh-CN"/>
              </w:rPr>
              <w:t>不适用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公司内配备了灭火器</w:t>
            </w:r>
          </w:p>
        </w:tc>
        <w:tc>
          <w:tcPr>
            <w:tcW w:w="1293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8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措施的策划</w:t>
            </w:r>
          </w:p>
        </w:tc>
        <w:tc>
          <w:tcPr>
            <w:tcW w:w="1216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EO6.1.4</w:t>
            </w:r>
          </w:p>
        </w:tc>
        <w:tc>
          <w:tcPr>
            <w:tcW w:w="71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766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手册第6.1条款、</w:t>
            </w:r>
            <w:r>
              <w:rPr>
                <w:color w:val="000000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《环境/职业健康目标、指标管理方案完成情况检查表》</w:t>
            </w:r>
          </w:p>
        </w:tc>
        <w:tc>
          <w:tcPr>
            <w:tcW w:w="1293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符合</w:t>
            </w:r>
          </w:p>
          <w:p>
            <w:pPr>
              <w:pStyle w:val="2"/>
              <w:rPr>
                <w:highlight w:val="none"/>
              </w:rPr>
            </w:pP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1718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1216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716" w:type="dxa"/>
            <w:shd w:val="clear" w:color="auto" w:fill="auto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运行证据</w:t>
            </w:r>
          </w:p>
        </w:tc>
        <w:tc>
          <w:tcPr>
            <w:tcW w:w="9766" w:type="dxa"/>
            <w:shd w:val="clear" w:color="auto" w:fill="auto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组织针对重要环境因素、合规义务、风险和机遇制订了控制措施（管理方案）</w:t>
            </w:r>
          </w:p>
          <w:tbl>
            <w:tblPr>
              <w:tblStyle w:val="8"/>
              <w:tblW w:w="93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0"/>
              <w:gridCol w:w="1670"/>
              <w:gridCol w:w="4760"/>
              <w:gridCol w:w="10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控制内容</w:t>
                  </w:r>
                </w:p>
              </w:tc>
              <w:tc>
                <w:tcPr>
                  <w:tcW w:w="167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类别</w:t>
                  </w:r>
                </w:p>
              </w:tc>
              <w:tc>
                <w:tcPr>
                  <w:tcW w:w="476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控制措施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highlight w:val="none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0" w:type="dxa"/>
                  <w:shd w:val="clear" w:color="auto" w:fill="auto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节能降耗</w:t>
                  </w:r>
                </w:p>
              </w:tc>
              <w:tc>
                <w:tcPr>
                  <w:tcW w:w="1670" w:type="dxa"/>
                  <w:shd w:val="clear" w:color="auto" w:fill="auto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重要环境因素</w:t>
                  </w:r>
                </w:p>
              </w:tc>
              <w:tc>
                <w:tcPr>
                  <w:tcW w:w="47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节约用电；控制空调温度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0" w:type="dxa"/>
                  <w:shd w:val="clear" w:color="auto" w:fill="auto"/>
                  <w:vAlign w:val="center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固体废弃物处理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重要环境因素</w:t>
                  </w:r>
                </w:p>
              </w:tc>
              <w:tc>
                <w:tcPr>
                  <w:tcW w:w="476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垃圾分类管理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0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发生火灾</w:t>
                  </w:r>
                </w:p>
              </w:tc>
              <w:tc>
                <w:tcPr>
                  <w:tcW w:w="1670" w:type="dxa"/>
                  <w:shd w:val="clear" w:color="auto" w:fill="auto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重要环境因素、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不可接受风险</w:t>
                  </w:r>
                </w:p>
              </w:tc>
              <w:tc>
                <w:tcPr>
                  <w:tcW w:w="476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消防设施、日常检查、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应急演练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触电事故为零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不可接受风险</w:t>
                  </w:r>
                </w:p>
              </w:tc>
              <w:tc>
                <w:tcPr>
                  <w:tcW w:w="47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使用漏电保护器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??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val="en-US" w:eastAsia="zh-CN"/>
                    </w:rPr>
                    <w:t>意外伤害为零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不可接受风险</w:t>
                  </w:r>
                </w:p>
              </w:tc>
              <w:tc>
                <w:tcPr>
                  <w:tcW w:w="476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对员工进行交通安全的教育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各部门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0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交通事故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不可接受风险</w:t>
                  </w:r>
                </w:p>
              </w:tc>
              <w:tc>
                <w:tcPr>
                  <w:tcW w:w="476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对员工进行交通安全的教育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销售部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0" w:type="dxa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4760" w:type="dxa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090" w:type="dxa"/>
                </w:tcPr>
                <w:p>
                  <w:pPr>
                    <w:jc w:val="left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3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18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合规性评价</w:t>
            </w:r>
          </w:p>
        </w:tc>
        <w:tc>
          <w:tcPr>
            <w:tcW w:w="1216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E</w:t>
            </w:r>
            <w:r>
              <w:rPr>
                <w:rFonts w:hint="eastAsia"/>
                <w:highlight w:val="none"/>
                <w:lang w:val="en-US" w:eastAsia="zh-CN"/>
              </w:rPr>
              <w:t>O</w:t>
            </w:r>
            <w:r>
              <w:rPr>
                <w:rFonts w:hint="eastAsia"/>
                <w:highlight w:val="none"/>
              </w:rPr>
              <w:t>9.1.2</w:t>
            </w:r>
          </w:p>
        </w:tc>
        <w:tc>
          <w:tcPr>
            <w:tcW w:w="71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76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hint="eastAsia"/>
                <w:highlight w:val="none"/>
                <w:lang w:val="en-US" w:eastAsia="zh-CN"/>
              </w:rPr>
              <w:t>管理手册9.1 条款、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2"/>
                <w:szCs w:val="16"/>
                <w:highlight w:val="none"/>
              </w:rPr>
              <w:t>法律和其他要求控制程序</w:t>
            </w:r>
            <w:r>
              <w:rPr>
                <w:rFonts w:hint="eastAsia"/>
                <w:highlight w:val="none"/>
                <w:lang w:eastAsia="zh-CN"/>
              </w:rPr>
              <w:t>》</w:t>
            </w:r>
          </w:p>
        </w:tc>
        <w:tc>
          <w:tcPr>
            <w:tcW w:w="1293" w:type="dxa"/>
            <w:vMerge w:val="restart"/>
            <w:vAlign w:val="top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符合</w:t>
            </w:r>
          </w:p>
          <w:p>
            <w:pPr>
              <w:pStyle w:val="2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18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1216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716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766" w:type="dxa"/>
          </w:tcPr>
          <w:p>
            <w:pPr>
              <w:rPr>
                <w:rFonts w:hint="eastAsia"/>
                <w:lang w:eastAsia="zh-CN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>自管理体系建立后/</w:t>
            </w:r>
            <w:r>
              <w:rPr/>
              <w:sym w:font="Wingdings" w:char="00FE"/>
            </w:r>
            <w:r>
              <w:rPr>
                <w:rFonts w:hint="eastAsia"/>
              </w:rPr>
              <w:t>近一年，</w:t>
            </w:r>
            <w:r>
              <w:rPr>
                <w:rFonts w:hint="eastAsia"/>
                <w:lang w:val="en-US" w:eastAsia="zh-CN"/>
              </w:rPr>
              <w:t>随机抽取</w:t>
            </w:r>
            <w:r>
              <w:rPr>
                <w:rFonts w:hint="eastAsia"/>
              </w:rPr>
              <w:t>合规义务如下：</w:t>
            </w:r>
            <w:r>
              <w:rPr>
                <w:rFonts w:hint="eastAsia"/>
                <w:lang w:eastAsia="zh-CN"/>
              </w:rPr>
              <w:t>《环境法律法规和其他要求合规性评价记录》、《职业健康安全法律法规和其他要求合规性评价记录》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95"/>
              <w:gridCol w:w="1578"/>
              <w:gridCol w:w="1821"/>
              <w:gridCol w:w="19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695" w:type="dxa"/>
                </w:tcPr>
                <w:p>
                  <w:r>
                    <w:rPr>
                      <w:rFonts w:hint="eastAsia"/>
                    </w:rPr>
                    <w:t>合规义务</w:t>
                  </w:r>
                </w:p>
              </w:tc>
              <w:tc>
                <w:tcPr>
                  <w:tcW w:w="1578" w:type="dxa"/>
                </w:tcPr>
                <w:p>
                  <w:r>
                    <w:rPr>
                      <w:rFonts w:hint="eastAsia"/>
                    </w:rPr>
                    <w:t>评价日期</w:t>
                  </w:r>
                </w:p>
              </w:tc>
              <w:tc>
                <w:tcPr>
                  <w:tcW w:w="1821" w:type="dxa"/>
                </w:tcPr>
                <w:p>
                  <w:r>
                    <w:rPr>
                      <w:rFonts w:hint="eastAsia"/>
                    </w:rPr>
                    <w:t>评价概述或结果</w:t>
                  </w:r>
                </w:p>
              </w:tc>
              <w:tc>
                <w:tcPr>
                  <w:tcW w:w="1949" w:type="dxa"/>
                </w:tcPr>
                <w:p>
                  <w:r>
                    <w:rPr>
                      <w:rFonts w:hint="eastAsia"/>
                    </w:rPr>
                    <w:t>改进措施描述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3695" w:type="dxa"/>
                  <w:vAlign w:val="center"/>
                </w:tcPr>
                <w:p>
                  <w:pPr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《中华人民共和国安全生产法》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jc w:val="both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2022-09-16</w:t>
                  </w:r>
                </w:p>
              </w:tc>
              <w:tc>
                <w:tcPr>
                  <w:tcW w:w="1821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1949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5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eastAsia="zh-CN"/>
                    </w:rPr>
                    <w:t>《中华人民共和国消防法》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2022-09-16</w:t>
                  </w:r>
                </w:p>
              </w:tc>
              <w:tc>
                <w:tcPr>
                  <w:tcW w:w="182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1949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5" w:type="dxa"/>
                  <w:vAlign w:val="center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eastAsia="zh-CN"/>
                    </w:rPr>
                    <w:t>《</w:t>
                  </w:r>
                  <w:r>
                    <w:rPr>
                      <w:rFonts w:hint="eastAsia"/>
                      <w:lang w:val="en-US" w:eastAsia="zh-CN"/>
                    </w:rPr>
                    <w:t>工伤保险条例》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2022-09-16</w:t>
                  </w:r>
                </w:p>
              </w:tc>
              <w:tc>
                <w:tcPr>
                  <w:tcW w:w="182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1949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5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eastAsia="zh-CN"/>
                    </w:rPr>
                    <w:t>《职业病防治法》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2022-09-16</w:t>
                  </w:r>
                </w:p>
              </w:tc>
              <w:tc>
                <w:tcPr>
                  <w:tcW w:w="182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1949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5" w:type="dxa"/>
                  <w:vAlign w:val="center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《</w:t>
                  </w:r>
                  <w:r>
                    <w:rPr>
                      <w:rFonts w:hint="eastAsia"/>
                      <w:lang w:val="en-US" w:eastAsia="zh-CN"/>
                    </w:rPr>
                    <w:t>中华人民共和国道路交通安全法</w:t>
                  </w:r>
                  <w:r>
                    <w:rPr>
                      <w:rFonts w:hint="eastAsia"/>
                      <w:lang w:eastAsia="zh-CN"/>
                    </w:rPr>
                    <w:t>》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2022-09-16</w:t>
                  </w:r>
                </w:p>
              </w:tc>
              <w:tc>
                <w:tcPr>
                  <w:tcW w:w="1821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1949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上海</w:t>
                  </w:r>
                  <w:r>
                    <w:rPr>
                      <w:rFonts w:hint="eastAsia"/>
                    </w:rPr>
                    <w:t>市生活垃圾管理条例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2022-09-16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1949" w:type="dxa"/>
                  <w:vAlign w:val="top"/>
                </w:tcPr>
                <w:p>
                  <w:pPr>
                    <w:rPr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上海市消防安全责任制实施办法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2022-09-16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194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生产安全事故报告和调查处理条例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2022-09-16</w:t>
                  </w:r>
                </w:p>
              </w:tc>
              <w:tc>
                <w:tcPr>
                  <w:tcW w:w="1821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达标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未达标</w:t>
                  </w:r>
                </w:p>
              </w:tc>
              <w:tc>
                <w:tcPr>
                  <w:tcW w:w="194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6"/>
              <w:rPr>
                <w:rFonts w:hint="default"/>
                <w:lang w:val="en-US" w:eastAsia="zh-CN"/>
              </w:rPr>
            </w:pPr>
          </w:p>
        </w:tc>
        <w:tc>
          <w:tcPr>
            <w:tcW w:w="1293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18" w:type="dxa"/>
          </w:tcPr>
          <w:p/>
        </w:tc>
        <w:tc>
          <w:tcPr>
            <w:tcW w:w="1216" w:type="dxa"/>
          </w:tcPr>
          <w:p/>
        </w:tc>
        <w:tc>
          <w:tcPr>
            <w:tcW w:w="10482" w:type="dxa"/>
            <w:gridSpan w:val="2"/>
          </w:tcPr>
          <w:p/>
        </w:tc>
        <w:tc>
          <w:tcPr>
            <w:tcW w:w="1293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6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00D1465"/>
    <w:rsid w:val="0F331350"/>
    <w:rsid w:val="294F036D"/>
    <w:rsid w:val="3D695DB9"/>
    <w:rsid w:val="4D6D36A4"/>
    <w:rsid w:val="5AE03712"/>
    <w:rsid w:val="683F57E5"/>
    <w:rsid w:val="78910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3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2100</Words>
  <Characters>2288</Characters>
  <Lines>1</Lines>
  <Paragraphs>1</Paragraphs>
  <TotalTime>4</TotalTime>
  <ScaleCrop>false</ScaleCrop>
  <LinksUpToDate>false</LinksUpToDate>
  <CharactersWithSpaces>2564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和为贵</cp:lastModifiedBy>
  <dcterms:modified xsi:type="dcterms:W3CDTF">2022-11-27T06:22:27Z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2052-11.1.0.12763</vt:lpwstr>
  </property>
</Properties>
</file>