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372225" cy="9461500"/>
            <wp:effectExtent l="0" t="0" r="13335" b="2540"/>
            <wp:docPr id="3" name="图片 3" descr="8a68d969fc7ee26761258c4475806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a68d969fc7ee26761258c44758069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946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745"/>
        <w:gridCol w:w="1619"/>
        <w:gridCol w:w="86"/>
        <w:gridCol w:w="855"/>
        <w:gridCol w:w="1083"/>
        <w:gridCol w:w="762"/>
        <w:gridCol w:w="94"/>
        <w:gridCol w:w="162"/>
        <w:gridCol w:w="203"/>
        <w:gridCol w:w="304"/>
        <w:gridCol w:w="536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上海云森莎农业科技有限公司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上海市崇明区建设镇浜西村152号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上海市崇明区建设镇浜西村152号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t>周森涟漪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10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18826987511</w:t>
            </w:r>
            <w:bookmarkEnd w:id="3"/>
          </w:p>
        </w:tc>
        <w:tc>
          <w:tcPr>
            <w:tcW w:w="50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170464338@qq.com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bookmarkStart w:id="5" w:name="最高管理者"/>
            <w:bookmarkEnd w:id="5"/>
            <w:r>
              <w:rPr>
                <w:sz w:val="21"/>
                <w:szCs w:val="21"/>
              </w:rPr>
              <w:t>黄沙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101" w:type="dxa"/>
            <w:gridSpan w:val="4"/>
            <w:vAlign w:val="center"/>
          </w:tcPr>
          <w:p>
            <w:bookmarkStart w:id="6" w:name="管代电话"/>
            <w:bookmarkEnd w:id="6"/>
          </w:p>
        </w:tc>
        <w:tc>
          <w:tcPr>
            <w:tcW w:w="50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1177-2022-QEOFH</w:t>
            </w:r>
            <w:bookmarkEnd w:id="7"/>
          </w:p>
        </w:tc>
        <w:tc>
          <w:tcPr>
            <w:tcW w:w="94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24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3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59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Q：预包装食品销售(含冷藏冷冻食品销售)，农副产品(蔬菜、鲜肉、水产品)销售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E：预包装食品销售(含冷藏冷冻食品销售)，农副产品(蔬菜、鲜肉、水产品)销售所涉及场所的相关环境管理活动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O：预包装食品销售(含冷藏冷冻食品销售)，农副产品(蔬菜、鲜肉、水产品)销售所涉及场所的相关职业健康安全管理活动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F：位于上海市崇明区建设镇浜西村152号预包装食品销售(含冷藏冷冻食品销售)，农副产品(蔬菜、鲜肉、水产品)销售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H：位于上海市崇明区建设镇浜西村152号预包装食品销售(含冷藏冷冻食品销售)，农副产品(蔬菜、鲜肉、水产品)销售</w:t>
            </w:r>
            <w:bookmarkEnd w:id="23"/>
          </w:p>
        </w:tc>
        <w:tc>
          <w:tcPr>
            <w:tcW w:w="66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Q：29.07.01;29.07.02;29.07.03;29.07.08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E：29.07.01;29.07.02;29.07.03;29.07.08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O：29.07.01;29.07.02;29.07.03;29.07.08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F：FI-2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H：FI-2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9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危害分析与关键控制点（HACCP体系）认证要求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V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远程审核于2022年11月24日 上午至2022年11月25日 下午(共2.0天)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张静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2021-N1QMS-2011923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2021-N1EMS-4011923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2020-N1OHSMS-3011923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2020-N1FSMS-3011923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2021-N1HACCp-3011923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Q:29.07.01,29.07.02,29.07.03,29.07.08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E:29.07.01,29.07.02,29.07.03,29.07.08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O:29.07.01,29.07.02,29.07.03,29.07.08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F:FI-2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H:FI-2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13501146660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0"/>
                <w:lang w:val="en-US" w:eastAsia="zh-CN" w:bidi="ar-SA"/>
              </w:rPr>
              <w:t>Q:晋级见证马焕秋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F:晋级见证</w:t>
            </w: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0"/>
                <w:lang w:val="en-US" w:eastAsia="zh-CN" w:bidi="ar-SA"/>
              </w:rPr>
              <w:t>马焕秋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马焕秋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2022-N0QMS-1296764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2022-N0FSMS-1296764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Q:29.07.01,29.07.02,29.07.03,29.07.08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15966077050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0"/>
                <w:lang w:val="en-US" w:eastAsia="zh-CN" w:bidi="ar-SA"/>
              </w:rPr>
              <w:t>Q:晋级被张静见证</w:t>
            </w:r>
          </w:p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en-US" w:eastAsia="zh-CN"/>
              </w:rPr>
              <w:t>F:晋级</w:t>
            </w: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0"/>
                <w:lang w:val="en-US" w:eastAsia="zh-CN" w:bidi="ar-SA"/>
              </w:rPr>
              <w:t>被张静</w:t>
            </w:r>
            <w:r>
              <w:rPr>
                <w:rFonts w:hint="eastAsia"/>
                <w:sz w:val="20"/>
                <w:lang w:val="en-US" w:eastAsia="zh-CN"/>
              </w:rPr>
              <w:t>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张丽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2022-N1QMS-7100863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2020-N1EMS-3100863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2021-N1OHSMS-2100863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13611003180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D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邝柏臣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2020-N1QMS-1222839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2020-N1FSMS-1222839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2020-N1HACCP-1222839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Q:29.07.08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F:FI-2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H:FI-2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13428842228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4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85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84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4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4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Align w:val="center"/>
          </w:tcPr>
          <w:p/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884555" cy="426720"/>
                  <wp:effectExtent l="0" t="0" r="0" b="0"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55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5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1221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220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13501146660</w:t>
            </w:r>
          </w:p>
        </w:tc>
        <w:tc>
          <w:tcPr>
            <w:tcW w:w="1705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21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2022-11-20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2022-11-20</w:t>
            </w:r>
          </w:p>
        </w:tc>
        <w:tc>
          <w:tcPr>
            <w:tcW w:w="122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2022-11-20</w:t>
            </w:r>
          </w:p>
        </w:tc>
      </w:tr>
    </w:tbl>
    <w:p>
      <w:pPr>
        <w:shd w:val="clear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right="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213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-09:00</w:t>
            </w:r>
          </w:p>
        </w:tc>
        <w:tc>
          <w:tcPr>
            <w:tcW w:w="13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（腾讯会议：374-493-956）</w:t>
            </w:r>
          </w:p>
        </w:tc>
        <w:tc>
          <w:tcPr>
            <w:tcW w:w="24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5C5FE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213" w:type="dxa"/>
            <w:shd w:val="clear" w:color="auto" w:fill="F5C5F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-12:30</w:t>
            </w:r>
          </w:p>
        </w:tc>
        <w:tc>
          <w:tcPr>
            <w:tcW w:w="1370" w:type="dxa"/>
            <w:shd w:val="clear" w:color="auto" w:fill="F5C5FE"/>
            <w:vAlign w:val="center"/>
          </w:tcPr>
          <w:p>
            <w:pPr>
              <w:spacing w:line="300" w:lineRule="exac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销售部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及现场</w:t>
            </w:r>
          </w:p>
        </w:tc>
        <w:tc>
          <w:tcPr>
            <w:tcW w:w="3038" w:type="dxa"/>
            <w:shd w:val="clear" w:color="auto" w:fill="F5C5FE"/>
            <w:vAlign w:val="top"/>
          </w:tcPr>
          <w:p>
            <w:pPr>
              <w:spacing w:line="300" w:lineRule="exact"/>
              <w:rPr>
                <w:rFonts w:hint="eastAsia" w:eastAsia="宋体" w:cs="Times New Roman" w:asciiTheme="minorEastAsia" w:hAnsiTheme="minorEastAsia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部门职责、目标管理、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前提方案/良好卫生规范现场情况、基础设施、工作环境、监视和测量资源、生产和服务策划和提供、产品和服务的要求、产品和服务的设计和开发、</w:t>
            </w:r>
            <w:r>
              <w:rPr>
                <w:rFonts w:hint="eastAsia"/>
                <w:color w:val="auto"/>
                <w:sz w:val="18"/>
                <w:szCs w:val="18"/>
              </w:rPr>
              <w:t>采购管理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/外部提供的过程、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顾客财产、标识和追溯/可追溯性、产品防护、产品放行、不合格品控制、投诉处理、产品撤回/召回、应急准备和响应、GMP/OPRP</w:t>
            </w:r>
            <w:r>
              <w:rPr>
                <w:rFonts w:hint="default"/>
                <w:sz w:val="18"/>
                <w:szCs w:val="18"/>
                <w:lang w:eastAsia="zh-CN"/>
              </w:rPr>
              <w:t>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CCP</w:t>
            </w:r>
            <w:r>
              <w:rPr>
                <w:sz w:val="18"/>
                <w:szCs w:val="18"/>
                <w:lang w:eastAsia="zh-CN"/>
              </w:rPr>
              <w:t>的实施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致敏物管理、食品防护、食品欺诈管理等；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环境因素识别及控制、</w:t>
            </w:r>
            <w:r>
              <w:rPr>
                <w:rFonts w:hint="eastAsia"/>
                <w:color w:val="auto"/>
                <w:sz w:val="18"/>
                <w:szCs w:val="18"/>
              </w:rPr>
              <w:t>危险源识别及控制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auto"/>
                <w:sz w:val="18"/>
                <w:szCs w:val="18"/>
              </w:rPr>
              <w:t>现场运行控制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EO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）、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环境/</w:t>
            </w:r>
            <w:r>
              <w:rPr>
                <w:rFonts w:hint="eastAsia"/>
                <w:color w:val="auto"/>
                <w:sz w:val="18"/>
                <w:szCs w:val="18"/>
              </w:rPr>
              <w:t>职业健康安全绩效控制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trike/>
                <w:dstrike w:val="0"/>
                <w:color w:val="auto"/>
                <w:sz w:val="18"/>
                <w:szCs w:val="18"/>
              </w:rPr>
              <w:t>危险作业控制防雷检测、手持电动工具、公用工程（如配电室、锅炉房、空压站、尾气处理设备等）</w:t>
            </w:r>
          </w:p>
        </w:tc>
        <w:tc>
          <w:tcPr>
            <w:tcW w:w="2469" w:type="dxa"/>
            <w:shd w:val="clear" w:color="auto" w:fill="F5C5F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Q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:5.3/6.2/7.1.3/7.1.4/</w:t>
            </w:r>
            <w:r>
              <w:rPr>
                <w:rFonts w:hint="eastAsia" w:cs="Times New Roman" w:eastAsiaTheme="minorEastAsia"/>
                <w:sz w:val="18"/>
                <w:szCs w:val="18"/>
                <w:highlight w:val="none"/>
                <w:lang w:val="en-US" w:eastAsia="zh-CN"/>
              </w:rPr>
              <w:t>7.1.5/8.1/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8.2/8.3/</w:t>
            </w: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highlight w:val="none"/>
                <w:lang w:val="en-US" w:eastAsia="zh-CN"/>
              </w:rPr>
              <w:t>8.4/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8.5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lang w:val="en-US" w:eastAsia="zh-CN"/>
              </w:rPr>
              <w:t>.1/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8.5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lang w:val="en-US" w:eastAsia="zh-CN"/>
              </w:rPr>
              <w:t>.2/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8.5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lang w:val="en-US" w:eastAsia="zh-CN"/>
              </w:rPr>
              <w:t>.3/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8.5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lang w:val="en-US" w:eastAsia="zh-CN"/>
              </w:rPr>
              <w:t>.4/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8.5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lang w:val="en-US" w:eastAsia="zh-CN"/>
              </w:rPr>
              <w:t>.6</w:t>
            </w:r>
            <w:r>
              <w:rPr>
                <w:rFonts w:hint="eastAsia" w:cs="Times New Roman" w:eastAsiaTheme="minorEastAsia"/>
                <w:sz w:val="18"/>
                <w:szCs w:val="18"/>
                <w:highlight w:val="none"/>
                <w:lang w:val="en-US" w:eastAsia="zh-CN"/>
              </w:rPr>
              <w:t>/8.6/8.7/9.1.2</w:t>
            </w:r>
          </w:p>
          <w:p>
            <w:pPr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F:5.3/6.2/7.1.3/7.1.4/</w:t>
            </w:r>
            <w:r>
              <w:rPr>
                <w:rFonts w:hint="eastAsia" w:cs="Times New Roman" w:eastAsiaTheme="minorEastAsia"/>
                <w:sz w:val="18"/>
                <w:szCs w:val="18"/>
                <w:highlight w:val="none"/>
                <w:lang w:val="en-US" w:eastAsia="zh-CN"/>
              </w:rPr>
              <w:t>7.1.6/8.1/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8.2/8.3/8.4/8.5.4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.5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  <w:r>
              <w:rPr>
                <w:rFonts w:hint="eastAsia" w:cs="Times New Roman" w:eastAsiaTheme="minorEastAsia"/>
                <w:sz w:val="18"/>
                <w:szCs w:val="18"/>
                <w:lang w:val="en-US" w:eastAsia="zh-CN"/>
              </w:rPr>
              <w:t>8.7/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8.9.5</w:t>
            </w:r>
          </w:p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H:2.4.2/2.5.1/3.3/</w:t>
            </w:r>
            <w:r>
              <w:rPr>
                <w:rFonts w:hint="eastAsia" w:cs="Times New Roman" w:eastAsiaTheme="minorEastAsia"/>
                <w:sz w:val="18"/>
                <w:szCs w:val="18"/>
                <w:lang w:val="en-US" w:eastAsia="zh-CN"/>
              </w:rPr>
              <w:t>3.4/3.5/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3.7/3.9/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3.10/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3.11/3.12/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3.13/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4.3.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4.3</w:t>
            </w:r>
            <w:r>
              <w:rPr>
                <w:rFonts w:hint="eastAsia" w:cs="Times New Roman" w:eastAsiaTheme="minorEastAsia"/>
                <w:sz w:val="18"/>
                <w:szCs w:val="18"/>
                <w:lang w:val="en-US" w:eastAsia="zh-CN"/>
              </w:rPr>
              <w:t>/5.2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E: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5.3/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6.1.2/6.1.4/6.2/8.1/8.2</w:t>
            </w:r>
          </w:p>
          <w:p>
            <w:pPr>
              <w:spacing w:line="300" w:lineRule="exact"/>
              <w:rPr>
                <w:rFonts w:hint="default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: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5.3/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6.1.2/6.1.4/6.2/8.1/8.2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5C5FE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A:QEOFH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B：QF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FFF00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213" w:type="dxa"/>
            <w:shd w:val="clear" w:color="auto" w:fill="FFFF00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-12:30</w:t>
            </w:r>
          </w:p>
        </w:tc>
        <w:tc>
          <w:tcPr>
            <w:tcW w:w="1370" w:type="dxa"/>
            <w:shd w:val="clear" w:color="auto" w:fill="FFFF00"/>
            <w:vAlign w:val="top"/>
          </w:tcPr>
          <w:p>
            <w:pPr>
              <w:spacing w:line="300" w:lineRule="exac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领导层</w:t>
            </w:r>
          </w:p>
        </w:tc>
        <w:tc>
          <w:tcPr>
            <w:tcW w:w="3038" w:type="dxa"/>
            <w:shd w:val="clear" w:color="auto" w:fill="FFFF00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</w:rPr>
              <w:t>总要求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auto"/>
                <w:sz w:val="18"/>
                <w:szCs w:val="18"/>
              </w:rPr>
              <w:t>内外部环境、相关方需求和期望识别、合规义务、</w:t>
            </w:r>
            <w:r>
              <w:rPr>
                <w:color w:val="auto"/>
                <w:sz w:val="18"/>
                <w:szCs w:val="18"/>
              </w:rPr>
              <w:t>方针和目标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auto"/>
                <w:sz w:val="18"/>
                <w:szCs w:val="18"/>
              </w:rPr>
              <w:t>管理体系范围、管理体系及其过程、领导作用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与承诺</w:t>
            </w:r>
            <w:r>
              <w:rPr>
                <w:rFonts w:hint="eastAsia"/>
                <w:color w:val="auto"/>
                <w:sz w:val="18"/>
                <w:szCs w:val="18"/>
              </w:rPr>
              <w:t>、</w:t>
            </w:r>
            <w:r>
              <w:rPr>
                <w:color w:val="auto"/>
                <w:sz w:val="18"/>
                <w:szCs w:val="18"/>
              </w:rPr>
              <w:t>岗位和职责、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管理方针、管理</w:t>
            </w:r>
            <w:r>
              <w:rPr>
                <w:rFonts w:hint="eastAsia"/>
                <w:color w:val="auto"/>
                <w:sz w:val="18"/>
                <w:szCs w:val="18"/>
              </w:rPr>
              <w:t>目标及其实现的策划、风险和机遇识别及应对措施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color w:val="auto"/>
                <w:sz w:val="18"/>
                <w:szCs w:val="18"/>
              </w:rPr>
              <w:t>风险和机遇识别及应对措施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【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总则EO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】、</w:t>
            </w:r>
            <w:r>
              <w:rPr>
                <w:rFonts w:hint="eastAsia"/>
                <w:color w:val="auto"/>
                <w:sz w:val="18"/>
                <w:szCs w:val="18"/>
              </w:rPr>
              <w:t>变更的策划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auto"/>
                <w:sz w:val="18"/>
                <w:szCs w:val="18"/>
              </w:rPr>
              <w:t>应急准备和响应、资源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/资源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【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总则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】</w:t>
            </w:r>
            <w:r>
              <w:rPr>
                <w:rFonts w:hint="eastAsia"/>
                <w:color w:val="auto"/>
                <w:sz w:val="18"/>
                <w:szCs w:val="18"/>
              </w:rPr>
              <w:t>、沟通、食品安全文化、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文件化信息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【</w:t>
            </w:r>
            <w:r>
              <w:rPr>
                <w:rFonts w:hint="eastAsia"/>
                <w:color w:val="auto"/>
                <w:sz w:val="18"/>
                <w:szCs w:val="18"/>
              </w:rPr>
              <w:t>总则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】、</w:t>
            </w:r>
            <w:r>
              <w:rPr>
                <w:rFonts w:hint="eastAsia"/>
                <w:color w:val="auto"/>
                <w:sz w:val="18"/>
                <w:szCs w:val="18"/>
              </w:rPr>
              <w:t>运行策划和控制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auto"/>
                <w:sz w:val="18"/>
                <w:szCs w:val="18"/>
              </w:rPr>
              <w:t>监视测量分析和评价（总则）、内部审核、管理评审、改进（总则）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纠正措施、持续改进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、</w:t>
            </w:r>
          </w:p>
        </w:tc>
        <w:tc>
          <w:tcPr>
            <w:tcW w:w="2469" w:type="dxa"/>
            <w:shd w:val="clear" w:color="auto" w:fill="FFFF00"/>
            <w:vAlign w:val="top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Q:</w:t>
            </w:r>
            <w:r>
              <w:rPr>
                <w:color w:val="auto"/>
                <w:sz w:val="18"/>
                <w:szCs w:val="18"/>
              </w:rPr>
              <w:t>4.1</w:t>
            </w:r>
            <w:r>
              <w:rPr>
                <w:rFonts w:hint="eastAsia"/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>4.4/5.1/5.2/5.3/6.1/6.2/6.3</w:t>
            </w:r>
            <w:r>
              <w:rPr>
                <w:rFonts w:hint="eastAsia"/>
                <w:color w:val="auto"/>
                <w:sz w:val="18"/>
                <w:szCs w:val="18"/>
              </w:rPr>
              <w:t>/</w:t>
            </w:r>
            <w:r>
              <w:rPr>
                <w:color w:val="auto"/>
                <w:sz w:val="18"/>
                <w:szCs w:val="18"/>
              </w:rPr>
              <w:t>7.1</w:t>
            </w:r>
            <w:r>
              <w:rPr>
                <w:rFonts w:hint="eastAsia"/>
                <w:color w:val="auto"/>
                <w:sz w:val="18"/>
                <w:szCs w:val="18"/>
              </w:rPr>
              <w:t>.</w:t>
            </w:r>
            <w:r>
              <w:rPr>
                <w:color w:val="auto"/>
                <w:sz w:val="18"/>
                <w:szCs w:val="18"/>
              </w:rPr>
              <w:t>1/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7.4</w:t>
            </w:r>
            <w:r>
              <w:rPr>
                <w:color w:val="auto"/>
                <w:sz w:val="18"/>
                <w:szCs w:val="18"/>
              </w:rPr>
              <w:t>/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7.5.1/</w:t>
            </w:r>
            <w:r>
              <w:rPr>
                <w:color w:val="auto"/>
                <w:sz w:val="18"/>
                <w:szCs w:val="18"/>
              </w:rPr>
              <w:t>9.1.1/9.2/9.3/10.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1/10.2/</w:t>
            </w:r>
            <w:r>
              <w:rPr>
                <w:color w:val="auto"/>
                <w:sz w:val="18"/>
                <w:szCs w:val="18"/>
              </w:rPr>
              <w:t>10.3</w:t>
            </w:r>
          </w:p>
          <w:p>
            <w:pPr>
              <w:spacing w:line="300" w:lineRule="exact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E:</w:t>
            </w:r>
            <w:r>
              <w:rPr>
                <w:color w:val="auto"/>
                <w:sz w:val="18"/>
                <w:szCs w:val="18"/>
              </w:rPr>
              <w:t>4.1</w:t>
            </w:r>
            <w:r>
              <w:rPr>
                <w:rFonts w:hint="eastAsia"/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>4.4/5.1/5.2/5.3/6.1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.1</w:t>
            </w:r>
            <w:r>
              <w:rPr>
                <w:color w:val="auto"/>
                <w:sz w:val="18"/>
                <w:szCs w:val="18"/>
              </w:rPr>
              <w:t>/6.2</w:t>
            </w:r>
            <w:r>
              <w:rPr>
                <w:rFonts w:hint="eastAsia"/>
                <w:color w:val="auto"/>
                <w:sz w:val="18"/>
                <w:szCs w:val="18"/>
              </w:rPr>
              <w:t>/</w:t>
            </w:r>
            <w:r>
              <w:rPr>
                <w:color w:val="auto"/>
                <w:sz w:val="18"/>
                <w:szCs w:val="18"/>
              </w:rPr>
              <w:t>7.1/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7.4</w:t>
            </w:r>
            <w:r>
              <w:rPr>
                <w:color w:val="auto"/>
                <w:sz w:val="18"/>
                <w:szCs w:val="18"/>
              </w:rPr>
              <w:t>/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7.5.1/8.2/</w:t>
            </w:r>
            <w:r>
              <w:rPr>
                <w:color w:val="auto"/>
                <w:sz w:val="18"/>
                <w:szCs w:val="18"/>
                <w:highlight w:val="none"/>
              </w:rPr>
              <w:t>9.1.1</w:t>
            </w:r>
            <w:r>
              <w:rPr>
                <w:color w:val="auto"/>
                <w:sz w:val="18"/>
                <w:szCs w:val="18"/>
              </w:rPr>
              <w:t>/9.3/10.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1/</w:t>
            </w:r>
            <w:r>
              <w:rPr>
                <w:color w:val="auto"/>
                <w:sz w:val="18"/>
                <w:szCs w:val="18"/>
              </w:rPr>
              <w:t>10.3</w:t>
            </w:r>
          </w:p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OHS:</w:t>
            </w:r>
            <w:r>
              <w:rPr>
                <w:color w:val="auto"/>
                <w:sz w:val="18"/>
                <w:szCs w:val="18"/>
              </w:rPr>
              <w:t>4.1</w:t>
            </w:r>
            <w:r>
              <w:rPr>
                <w:rFonts w:hint="eastAsia"/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>4.4/5.1/5.2/5.3/6.1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.1</w:t>
            </w:r>
            <w:r>
              <w:rPr>
                <w:color w:val="auto"/>
                <w:sz w:val="18"/>
                <w:szCs w:val="18"/>
              </w:rPr>
              <w:t>/6.2/7.1</w:t>
            </w:r>
            <w:r>
              <w:rPr>
                <w:rFonts w:hint="eastAsia"/>
                <w:color w:val="auto"/>
                <w:sz w:val="18"/>
                <w:szCs w:val="18"/>
              </w:rPr>
              <w:t>.</w:t>
            </w:r>
            <w:r>
              <w:rPr>
                <w:color w:val="auto"/>
                <w:sz w:val="18"/>
                <w:szCs w:val="18"/>
              </w:rPr>
              <w:t>1/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7.4</w:t>
            </w:r>
            <w:r>
              <w:rPr>
                <w:color w:val="auto"/>
                <w:sz w:val="18"/>
                <w:szCs w:val="18"/>
              </w:rPr>
              <w:t>/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7.5.1/8.2/</w:t>
            </w:r>
            <w:r>
              <w:rPr>
                <w:color w:val="auto"/>
                <w:sz w:val="18"/>
                <w:szCs w:val="18"/>
                <w:highlight w:val="none"/>
              </w:rPr>
              <w:t>9.1.1/</w:t>
            </w:r>
            <w:r>
              <w:rPr>
                <w:color w:val="auto"/>
                <w:sz w:val="18"/>
                <w:szCs w:val="18"/>
              </w:rPr>
              <w:t>9.3/10.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1/</w:t>
            </w:r>
            <w:r>
              <w:rPr>
                <w:color w:val="auto"/>
                <w:sz w:val="18"/>
                <w:szCs w:val="18"/>
              </w:rPr>
              <w:t>10.3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FFF00"/>
            <w:vAlign w:val="center"/>
          </w:tcPr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</w:t>
            </w:r>
          </w:p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（QQ、腾讯会议）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9DFEF8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shd w:val="clear" w:color="auto" w:fill="9DFEF8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-12:30</w:t>
            </w:r>
          </w:p>
        </w:tc>
        <w:tc>
          <w:tcPr>
            <w:tcW w:w="1370" w:type="dxa"/>
            <w:shd w:val="clear" w:color="auto" w:fill="9DFEF8"/>
            <w:vAlign w:val="top"/>
          </w:tcPr>
          <w:p>
            <w:pPr>
              <w:spacing w:line="300" w:lineRule="exac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领导层</w:t>
            </w:r>
          </w:p>
        </w:tc>
        <w:tc>
          <w:tcPr>
            <w:tcW w:w="3038" w:type="dxa"/>
            <w:shd w:val="clear" w:color="auto" w:fill="9DFEF8"/>
            <w:vAlign w:val="top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总要求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auto"/>
                <w:sz w:val="18"/>
                <w:szCs w:val="18"/>
              </w:rPr>
              <w:t>内外部环境、相关方需求和期望识别、合规义务、</w:t>
            </w:r>
            <w:r>
              <w:rPr>
                <w:color w:val="auto"/>
                <w:sz w:val="18"/>
                <w:szCs w:val="18"/>
              </w:rPr>
              <w:t>方针和目标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auto"/>
                <w:sz w:val="18"/>
                <w:szCs w:val="18"/>
              </w:rPr>
              <w:t>管理体系范围、管理体系及其过程、领导作用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与承诺</w:t>
            </w:r>
            <w:r>
              <w:rPr>
                <w:rFonts w:hint="eastAsia"/>
                <w:color w:val="auto"/>
                <w:sz w:val="18"/>
                <w:szCs w:val="18"/>
              </w:rPr>
              <w:t>、</w:t>
            </w:r>
            <w:r>
              <w:rPr>
                <w:color w:val="auto"/>
                <w:sz w:val="18"/>
                <w:szCs w:val="18"/>
              </w:rPr>
              <w:t>岗位和职责、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管理方针、管理</w:t>
            </w:r>
            <w:r>
              <w:rPr>
                <w:rFonts w:hint="eastAsia"/>
                <w:color w:val="auto"/>
                <w:sz w:val="18"/>
                <w:szCs w:val="18"/>
              </w:rPr>
              <w:t>目标及其实现的策划、风险和机遇识别及应对措施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color w:val="auto"/>
                <w:sz w:val="18"/>
                <w:szCs w:val="18"/>
              </w:rPr>
              <w:t>风险和机遇识别及应对措施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【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总则EO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】、</w:t>
            </w:r>
            <w:r>
              <w:rPr>
                <w:rFonts w:hint="eastAsia"/>
                <w:color w:val="auto"/>
                <w:sz w:val="18"/>
                <w:szCs w:val="18"/>
              </w:rPr>
              <w:t>变更的策划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auto"/>
                <w:sz w:val="18"/>
                <w:szCs w:val="18"/>
              </w:rPr>
              <w:t>应急准备和响应、资源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/资源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【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总则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】</w:t>
            </w:r>
            <w:r>
              <w:rPr>
                <w:rFonts w:hint="eastAsia"/>
                <w:color w:val="auto"/>
                <w:sz w:val="18"/>
                <w:szCs w:val="18"/>
              </w:rPr>
              <w:t>、沟通、食品安全文化、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文件化信息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【</w:t>
            </w:r>
            <w:r>
              <w:rPr>
                <w:rFonts w:hint="eastAsia"/>
                <w:color w:val="auto"/>
                <w:sz w:val="18"/>
                <w:szCs w:val="18"/>
              </w:rPr>
              <w:t>总则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】、</w:t>
            </w:r>
            <w:r>
              <w:rPr>
                <w:rFonts w:hint="eastAsia"/>
                <w:color w:val="auto"/>
                <w:sz w:val="18"/>
                <w:szCs w:val="18"/>
              </w:rPr>
              <w:t>运行策划和控制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auto"/>
                <w:sz w:val="18"/>
                <w:szCs w:val="18"/>
              </w:rPr>
              <w:t>监视测量分析和评价（总则）、内部审核、管理评审、改进（总则）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持续改进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、食品安全管理体系的更新</w:t>
            </w:r>
          </w:p>
        </w:tc>
        <w:tc>
          <w:tcPr>
            <w:tcW w:w="2469" w:type="dxa"/>
            <w:shd w:val="clear" w:color="auto" w:fill="9DFEF8"/>
            <w:vAlign w:val="top"/>
          </w:tcPr>
          <w:p>
            <w:pPr>
              <w:spacing w:line="300" w:lineRule="exact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color w:val="auto"/>
                <w:sz w:val="18"/>
                <w:szCs w:val="18"/>
              </w:rPr>
              <w:t>F:4.1</w:t>
            </w:r>
            <w:r>
              <w:rPr>
                <w:rFonts w:hint="eastAsia"/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>4.4/5.1/5.2/5.3/6.1/6.2/6.3</w:t>
            </w:r>
            <w:r>
              <w:rPr>
                <w:rFonts w:hint="eastAsia"/>
                <w:color w:val="auto"/>
                <w:sz w:val="18"/>
                <w:szCs w:val="18"/>
              </w:rPr>
              <w:t>/</w:t>
            </w:r>
            <w:r>
              <w:rPr>
                <w:color w:val="auto"/>
                <w:sz w:val="18"/>
                <w:szCs w:val="18"/>
              </w:rPr>
              <w:t>7.1/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7.4/7.5.1/8.4/</w:t>
            </w:r>
            <w:r>
              <w:rPr>
                <w:color w:val="auto"/>
                <w:sz w:val="18"/>
                <w:szCs w:val="18"/>
              </w:rPr>
              <w:t>9.1.1/9.3/10.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1/</w:t>
            </w:r>
            <w:r>
              <w:rPr>
                <w:color w:val="auto"/>
                <w:sz w:val="18"/>
                <w:szCs w:val="18"/>
              </w:rPr>
              <w:t>10.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H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：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18"/>
                <w:szCs w:val="18"/>
              </w:rPr>
              <w:t>.1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/1.2.1/1.2.2</w:t>
            </w:r>
            <w:r>
              <w:rPr>
                <w:rFonts w:hint="eastAsia"/>
                <w:color w:val="auto"/>
                <w:sz w:val="18"/>
                <w:szCs w:val="18"/>
              </w:rPr>
              <w:t>/2.1-2.5/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3.1/</w:t>
            </w:r>
            <w:r>
              <w:rPr>
                <w:rFonts w:hint="eastAsia"/>
                <w:color w:val="auto"/>
                <w:sz w:val="18"/>
                <w:szCs w:val="18"/>
              </w:rPr>
              <w:t>3.13</w:t>
            </w:r>
            <w:r>
              <w:rPr>
                <w:color w:val="auto"/>
                <w:sz w:val="18"/>
                <w:szCs w:val="18"/>
              </w:rPr>
              <w:t>/5.4/5.5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9DFEF8"/>
            <w:vAlign w:val="center"/>
          </w:tcPr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</w:t>
            </w:r>
          </w:p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（QQ、腾讯会议）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12:30-13:00</w:t>
            </w:r>
          </w:p>
        </w:tc>
        <w:tc>
          <w:tcPr>
            <w:tcW w:w="1370" w:type="dxa"/>
            <w:vAlign w:val="top"/>
          </w:tcPr>
          <w:p>
            <w:pPr>
              <w:spacing w:line="300" w:lineRule="exact"/>
              <w:rPr>
                <w:rFonts w:hint="default" w:asciiTheme="minorEastAsia" w:hAnsiTheme="minor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  <w:t>午餐休息</w:t>
            </w:r>
          </w:p>
        </w:tc>
        <w:tc>
          <w:tcPr>
            <w:tcW w:w="3038" w:type="dxa"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246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rPr>
                <w:rFonts w:hint="eastAsia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4ACFC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shd w:val="clear" w:color="auto" w:fill="F4ACFC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-17:30</w:t>
            </w:r>
          </w:p>
        </w:tc>
        <w:tc>
          <w:tcPr>
            <w:tcW w:w="1370" w:type="dxa"/>
            <w:shd w:val="clear" w:color="auto" w:fill="F4ACFC"/>
            <w:vAlign w:val="center"/>
          </w:tcPr>
          <w:p>
            <w:pPr>
              <w:spacing w:line="300" w:lineRule="exac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销售部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及现场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日班、晚班次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038" w:type="dxa"/>
            <w:shd w:val="clear" w:color="auto" w:fill="F4ACFC"/>
            <w:vAlign w:val="top"/>
          </w:tcPr>
          <w:p>
            <w:pPr>
              <w:spacing w:line="300" w:lineRule="exact"/>
              <w:rPr>
                <w:rFonts w:hint="eastAsia" w:eastAsia="宋体" w:cs="Times New Roman" w:asciiTheme="minorEastAsia" w:hAnsiTheme="minorEastAsia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部门职责、目标管理、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前提方案/良好卫生规范现场情况、基础设施、工作环境、监视和测量资源、生产和服务策划和提供、产品和服务的要求、产品和服务的设计和开发、</w:t>
            </w:r>
            <w:r>
              <w:rPr>
                <w:rFonts w:hint="eastAsia"/>
                <w:color w:val="auto"/>
                <w:sz w:val="18"/>
                <w:szCs w:val="18"/>
              </w:rPr>
              <w:t>采购管理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/外部提供的过程、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顾客财产、标识和追溯/可追溯性、产品防护、产品放行、不合格品控制、投诉处理、产品撤回/召回、应急准备和响应、GMP/OPRP</w:t>
            </w:r>
            <w:r>
              <w:rPr>
                <w:rFonts w:hint="default"/>
                <w:sz w:val="18"/>
                <w:szCs w:val="18"/>
                <w:lang w:eastAsia="zh-CN"/>
              </w:rPr>
              <w:t>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CCP</w:t>
            </w:r>
            <w:r>
              <w:rPr>
                <w:sz w:val="18"/>
                <w:szCs w:val="18"/>
                <w:lang w:eastAsia="zh-CN"/>
              </w:rPr>
              <w:t>的实施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致敏物管理、食品防护、食品欺诈管理等；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环境因素识别及控制、</w:t>
            </w:r>
            <w:r>
              <w:rPr>
                <w:rFonts w:hint="eastAsia"/>
                <w:color w:val="auto"/>
                <w:sz w:val="18"/>
                <w:szCs w:val="18"/>
              </w:rPr>
              <w:t>危险源识别及控制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auto"/>
                <w:sz w:val="18"/>
                <w:szCs w:val="18"/>
              </w:rPr>
              <w:t>现场运行控制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EO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）、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环境/</w:t>
            </w:r>
            <w:r>
              <w:rPr>
                <w:rFonts w:hint="eastAsia"/>
                <w:color w:val="auto"/>
                <w:sz w:val="18"/>
                <w:szCs w:val="18"/>
              </w:rPr>
              <w:t>职业健康安全绩效控制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trike/>
                <w:dstrike w:val="0"/>
                <w:color w:val="auto"/>
                <w:sz w:val="18"/>
                <w:szCs w:val="18"/>
              </w:rPr>
              <w:t>危险作业控制防雷检测、手持电动工具、公用工程（如配电室、锅炉房、空压站、尾气处理设备等）</w:t>
            </w:r>
          </w:p>
        </w:tc>
        <w:tc>
          <w:tcPr>
            <w:tcW w:w="2469" w:type="dxa"/>
            <w:shd w:val="clear" w:color="auto" w:fill="F4ACFC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Q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:5.3/6.2/7.1.3/7.1.4/</w:t>
            </w:r>
            <w:r>
              <w:rPr>
                <w:rFonts w:hint="eastAsia" w:cs="Times New Roman" w:eastAsiaTheme="minorEastAsia"/>
                <w:sz w:val="18"/>
                <w:szCs w:val="18"/>
                <w:highlight w:val="none"/>
                <w:lang w:val="en-US" w:eastAsia="zh-CN"/>
              </w:rPr>
              <w:t>7.1.5/8.1/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8.2/8.3/</w:t>
            </w: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highlight w:val="none"/>
                <w:lang w:val="en-US" w:eastAsia="zh-CN"/>
              </w:rPr>
              <w:t>8.4/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8.5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lang w:val="en-US" w:eastAsia="zh-CN"/>
              </w:rPr>
              <w:t>.1/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8.5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lang w:val="en-US" w:eastAsia="zh-CN"/>
              </w:rPr>
              <w:t>.2/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8.5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lang w:val="en-US" w:eastAsia="zh-CN"/>
              </w:rPr>
              <w:t>.3/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8.5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lang w:val="en-US" w:eastAsia="zh-CN"/>
              </w:rPr>
              <w:t>.4/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8.5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lang w:val="en-US" w:eastAsia="zh-CN"/>
              </w:rPr>
              <w:t>.6</w:t>
            </w:r>
            <w:r>
              <w:rPr>
                <w:rFonts w:hint="eastAsia" w:cs="Times New Roman" w:eastAsiaTheme="minorEastAsia"/>
                <w:sz w:val="18"/>
                <w:szCs w:val="18"/>
                <w:highlight w:val="none"/>
                <w:lang w:val="en-US" w:eastAsia="zh-CN"/>
              </w:rPr>
              <w:t>/8.6/8.7/9.1.2</w:t>
            </w:r>
          </w:p>
          <w:p>
            <w:pPr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F:5.3/6.2/7.1.3/7.1.4/</w:t>
            </w:r>
            <w:r>
              <w:rPr>
                <w:rFonts w:hint="eastAsia" w:cs="Times New Roman" w:eastAsiaTheme="minorEastAsia"/>
                <w:sz w:val="18"/>
                <w:szCs w:val="18"/>
                <w:highlight w:val="none"/>
                <w:lang w:val="en-US" w:eastAsia="zh-CN"/>
              </w:rPr>
              <w:t>7.1.6/8.1/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8.2/8.3/8.4/8.5.4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.5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  <w:r>
              <w:rPr>
                <w:rFonts w:hint="eastAsia" w:cs="Times New Roman" w:eastAsiaTheme="minorEastAsia"/>
                <w:sz w:val="18"/>
                <w:szCs w:val="18"/>
                <w:lang w:val="en-US" w:eastAsia="zh-CN"/>
              </w:rPr>
              <w:t>8.7/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8.9.5</w:t>
            </w:r>
          </w:p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H:2.4.2/2.5.1/3.3/</w:t>
            </w:r>
            <w:r>
              <w:rPr>
                <w:rFonts w:hint="eastAsia" w:cs="Times New Roman" w:eastAsiaTheme="minorEastAsia"/>
                <w:sz w:val="18"/>
                <w:szCs w:val="18"/>
                <w:lang w:val="en-US" w:eastAsia="zh-CN"/>
              </w:rPr>
              <w:t>3.4/3.5/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3.7/3.9/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3.10/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3.11/3.12/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3.13/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4.3.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4.3</w:t>
            </w:r>
            <w:r>
              <w:rPr>
                <w:rFonts w:hint="eastAsia" w:cs="Times New Roman" w:eastAsiaTheme="minorEastAsia"/>
                <w:sz w:val="18"/>
                <w:szCs w:val="18"/>
                <w:lang w:val="en-US" w:eastAsia="zh-CN"/>
              </w:rPr>
              <w:t>/5.2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E: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5.3/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6.1.2/6.1.4/6.2/8.1/8.2</w:t>
            </w:r>
          </w:p>
          <w:p>
            <w:pPr>
              <w:spacing w:line="300" w:lineRule="exac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: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5.3/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6.1.2/6.1.4/6.2/8.1/8.2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4ACFC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A:QEOFH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B：QF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3" w:type="dxa"/>
            <w:shd w:val="clear" w:color="auto" w:fill="FFFF0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:00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-17:30</w:t>
            </w:r>
          </w:p>
        </w:tc>
        <w:tc>
          <w:tcPr>
            <w:tcW w:w="1370" w:type="dxa"/>
            <w:shd w:val="clear" w:color="auto" w:fill="FFFF00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综合部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038" w:type="dxa"/>
            <w:shd w:val="clear" w:color="auto" w:fill="FFFF00"/>
            <w:vAlign w:val="center"/>
          </w:tcPr>
          <w:p>
            <w:pPr>
              <w:spacing w:line="30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部门职责、目标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管理</w:t>
            </w:r>
            <w:r>
              <w:rPr>
                <w:rFonts w:hint="eastAsia"/>
                <w:sz w:val="18"/>
                <w:szCs w:val="18"/>
              </w:rPr>
              <w:t>、人员、能力、意识、沟通、持证上岗人员、健康证、文件和记录管理、组织的知识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sz w:val="18"/>
                <w:szCs w:val="18"/>
              </w:rPr>
              <w:t>环境因素识别和危险源辨识和评价，合规性评价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sz w:val="18"/>
                <w:szCs w:val="18"/>
              </w:rPr>
              <w:t>目标指标和管理方案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分析和评估、环境因素、合规义务/法律法规要求和其他要求的确定、危险源辨识及风险和机遇的评价、措施的策划、环境和职业健康运行的策划和控制、应急准备和响应【EO】、内部审核、事件不符合和纠正措施，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辅助设施（</w:t>
            </w:r>
            <w:r>
              <w:rPr>
                <w:rFonts w:hint="eastAsia"/>
                <w:sz w:val="18"/>
                <w:szCs w:val="18"/>
              </w:rPr>
              <w:t>适用时，可包括</w:t>
            </w:r>
            <w:r>
              <w:rPr>
                <w:sz w:val="18"/>
                <w:szCs w:val="18"/>
              </w:rPr>
              <w:t>车辆控制、食堂、保洁、门卫）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等</w:t>
            </w:r>
          </w:p>
        </w:tc>
        <w:tc>
          <w:tcPr>
            <w:tcW w:w="2469" w:type="dxa"/>
            <w:shd w:val="clear" w:color="auto" w:fill="FFFF00"/>
            <w:vAlign w:val="top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highlight w:val="none"/>
                <w:lang w:val="en-US" w:eastAsia="zh-CN"/>
              </w:rPr>
            </w:pPr>
            <w:bookmarkStart w:id="33" w:name="_GoBack"/>
            <w:bookmarkEnd w:id="33"/>
            <w:r>
              <w:rPr>
                <w:rFonts w:hint="eastAsia"/>
                <w:sz w:val="18"/>
                <w:szCs w:val="18"/>
                <w:highlight w:val="none"/>
              </w:rPr>
              <w:t>Q：5</w:t>
            </w:r>
            <w:r>
              <w:rPr>
                <w:sz w:val="18"/>
                <w:szCs w:val="18"/>
                <w:highlight w:val="none"/>
              </w:rPr>
              <w:t>.3</w:t>
            </w:r>
            <w:r>
              <w:rPr>
                <w:rFonts w:hint="eastAsia"/>
                <w:sz w:val="18"/>
                <w:szCs w:val="18"/>
                <w:highlight w:val="none"/>
              </w:rPr>
              <w:t>/</w:t>
            </w:r>
            <w:r>
              <w:rPr>
                <w:sz w:val="18"/>
                <w:szCs w:val="18"/>
                <w:highlight w:val="none"/>
              </w:rPr>
              <w:t>6.2/</w:t>
            </w:r>
            <w:r>
              <w:rPr>
                <w:rFonts w:hint="eastAsia"/>
                <w:sz w:val="18"/>
                <w:szCs w:val="18"/>
                <w:highlight w:val="none"/>
              </w:rPr>
              <w:t>7.1.2</w:t>
            </w:r>
            <w:r>
              <w:rPr>
                <w:sz w:val="18"/>
                <w:szCs w:val="18"/>
                <w:highlight w:val="none"/>
              </w:rPr>
              <w:t>/</w:t>
            </w:r>
            <w:r>
              <w:rPr>
                <w:rFonts w:hint="eastAsia"/>
                <w:sz w:val="18"/>
                <w:szCs w:val="18"/>
                <w:highlight w:val="none"/>
              </w:rPr>
              <w:t>7.1.6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/</w:t>
            </w:r>
            <w:r>
              <w:rPr>
                <w:sz w:val="18"/>
                <w:szCs w:val="18"/>
                <w:highlight w:val="none"/>
              </w:rPr>
              <w:t>7.2/7.3/7.4/7.5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.2/7.5.3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highlight w:val="none"/>
                <w:lang w:val="en-US" w:eastAsia="zh-CN"/>
              </w:rPr>
              <w:t>9.2/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highlight w:val="none"/>
              </w:rPr>
              <w:t>9.1.3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highlight w:val="none"/>
                <w:lang w:val="en-US" w:eastAsia="zh-CN"/>
              </w:rPr>
              <w:t>/10.2</w:t>
            </w:r>
          </w:p>
          <w:p>
            <w:pPr>
              <w:spacing w:line="300" w:lineRule="exact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>E: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5.3/</w:t>
            </w:r>
            <w:r>
              <w:rPr>
                <w:color w:val="auto"/>
                <w:sz w:val="18"/>
                <w:szCs w:val="18"/>
                <w:highlight w:val="none"/>
              </w:rPr>
              <w:t>6.1.2/6.1.3/6.1.4/6.2/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7.2/7.3/7.4/7.5/</w:t>
            </w:r>
            <w:r>
              <w:rPr>
                <w:color w:val="auto"/>
                <w:sz w:val="18"/>
                <w:szCs w:val="18"/>
                <w:highlight w:val="none"/>
              </w:rPr>
              <w:t>8.1/8.2/9.1.2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/9.2/</w:t>
            </w:r>
            <w:r>
              <w:rPr>
                <w:color w:val="auto"/>
                <w:sz w:val="18"/>
                <w:szCs w:val="18"/>
                <w:highlight w:val="none"/>
              </w:rPr>
              <w:t>10.2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>O: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5.3/</w:t>
            </w:r>
            <w:r>
              <w:rPr>
                <w:color w:val="auto"/>
                <w:sz w:val="18"/>
                <w:szCs w:val="18"/>
                <w:highlight w:val="none"/>
              </w:rPr>
              <w:t>6.1.2/6.1.3/6.1.4/6.2/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7.2/7.3/7.4/7.5/</w:t>
            </w:r>
            <w:r>
              <w:rPr>
                <w:color w:val="auto"/>
                <w:sz w:val="18"/>
                <w:szCs w:val="18"/>
                <w:highlight w:val="none"/>
              </w:rPr>
              <w:t>8.1/8.2/9.1.2/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9.2/</w:t>
            </w:r>
            <w:r>
              <w:rPr>
                <w:color w:val="auto"/>
                <w:sz w:val="18"/>
                <w:szCs w:val="18"/>
                <w:highlight w:val="none"/>
              </w:rPr>
              <w:t>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FFF00"/>
            <w:vAlign w:val="center"/>
          </w:tcPr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</w:t>
            </w:r>
          </w:p>
          <w:p>
            <w:pPr>
              <w:pStyle w:val="2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（QQ、腾讯会议）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9DFEF8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3" w:type="dxa"/>
            <w:shd w:val="clear" w:color="auto" w:fill="9DFEF8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-17:30</w:t>
            </w:r>
          </w:p>
        </w:tc>
        <w:tc>
          <w:tcPr>
            <w:tcW w:w="1370" w:type="dxa"/>
            <w:shd w:val="clear" w:color="auto" w:fill="9DFEF8"/>
            <w:vAlign w:val="center"/>
          </w:tcPr>
          <w:p>
            <w:pPr>
              <w:spacing w:line="300" w:lineRule="exact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综合部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038" w:type="dxa"/>
            <w:shd w:val="clear" w:color="auto" w:fill="9DFEF8"/>
            <w:vAlign w:val="center"/>
          </w:tcPr>
          <w:p>
            <w:pPr>
              <w:spacing w:line="30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部门职责、目标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管理</w:t>
            </w:r>
            <w:r>
              <w:rPr>
                <w:rFonts w:hint="eastAsia"/>
                <w:sz w:val="18"/>
                <w:szCs w:val="18"/>
              </w:rPr>
              <w:t>、人员、能力、意识、沟通、持证上岗人员、健康证、文件和记录管理、组织的知识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sz w:val="18"/>
                <w:szCs w:val="18"/>
              </w:rPr>
              <w:t>环境因素识别和危险源辨识和评价，合规性评价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sz w:val="18"/>
                <w:szCs w:val="18"/>
              </w:rPr>
              <w:t>目标指标和管理方案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分析和评估、环境因素、合规义务/法律法规要求和其他要求的确定、危险源辨识及风险和机遇的评价、措施的策划、环境和职业健康运行的策划和控制、应急准备和响应【EO】、内部审核、事件不符合和纠正措施，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辅助设施（</w:t>
            </w:r>
            <w:r>
              <w:rPr>
                <w:rFonts w:hint="eastAsia"/>
                <w:sz w:val="18"/>
                <w:szCs w:val="18"/>
              </w:rPr>
              <w:t>适用时，可包括</w:t>
            </w:r>
            <w:r>
              <w:rPr>
                <w:sz w:val="18"/>
                <w:szCs w:val="18"/>
              </w:rPr>
              <w:t>车辆控制、食堂、保洁、门卫）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等</w:t>
            </w:r>
          </w:p>
        </w:tc>
        <w:tc>
          <w:tcPr>
            <w:tcW w:w="2469" w:type="dxa"/>
            <w:shd w:val="clear" w:color="auto" w:fill="9DFEF8"/>
            <w:vAlign w:val="top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sz w:val="18"/>
                <w:szCs w:val="18"/>
                <w:highlight w:val="none"/>
              </w:rPr>
              <w:t>F</w:t>
            </w:r>
            <w:r>
              <w:rPr>
                <w:rFonts w:hint="eastAsia"/>
                <w:sz w:val="18"/>
                <w:szCs w:val="18"/>
                <w:highlight w:val="none"/>
              </w:rPr>
              <w:t>：5</w:t>
            </w:r>
            <w:r>
              <w:rPr>
                <w:sz w:val="18"/>
                <w:szCs w:val="18"/>
                <w:highlight w:val="none"/>
              </w:rPr>
              <w:t>.3</w:t>
            </w:r>
            <w:r>
              <w:rPr>
                <w:rFonts w:hint="eastAsia"/>
                <w:sz w:val="18"/>
                <w:szCs w:val="18"/>
                <w:highlight w:val="none"/>
              </w:rPr>
              <w:t>/</w:t>
            </w:r>
            <w:r>
              <w:rPr>
                <w:sz w:val="18"/>
                <w:szCs w:val="18"/>
                <w:highlight w:val="none"/>
              </w:rPr>
              <w:t>6.2/</w:t>
            </w:r>
            <w:r>
              <w:rPr>
                <w:rFonts w:hint="eastAsia"/>
                <w:sz w:val="18"/>
                <w:szCs w:val="18"/>
                <w:highlight w:val="none"/>
              </w:rPr>
              <w:t>7.1.2</w:t>
            </w:r>
            <w:r>
              <w:rPr>
                <w:sz w:val="18"/>
                <w:szCs w:val="18"/>
                <w:highlight w:val="none"/>
              </w:rPr>
              <w:t>/7.2/7.3/7.4/7.5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.2/7.5.3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highlight w:val="none"/>
                <w:lang w:val="en-US" w:eastAsia="zh-CN"/>
              </w:rPr>
              <w:t>9.2/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highlight w:val="none"/>
              </w:rPr>
              <w:t>9.1.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highlight w:val="none"/>
                <w:lang w:val="en-US" w:eastAsia="zh-CN"/>
              </w:rPr>
              <w:t>2/10.1</w:t>
            </w:r>
          </w:p>
          <w:p>
            <w:pPr>
              <w:spacing w:line="300" w:lineRule="exact"/>
              <w:jc w:val="left"/>
              <w:rPr>
                <w:rFonts w:hint="default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sz w:val="18"/>
                <w:szCs w:val="18"/>
                <w:highlight w:val="none"/>
              </w:rPr>
              <w:t>H:1.2.3/1.2.4/2.4.2/2.5.1/2.5.2.1/3.2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/5.1/5.3/5.4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9DFEF8"/>
            <w:vAlign w:val="top"/>
          </w:tcPr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（QQ、腾讯会议）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17:30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审核组内部沟通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18:00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第一天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结束（9小时）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第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4ACFC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11-25</w:t>
            </w:r>
          </w:p>
        </w:tc>
        <w:tc>
          <w:tcPr>
            <w:tcW w:w="1213" w:type="dxa"/>
            <w:shd w:val="clear" w:color="auto" w:fill="F4ACFC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-12:30</w:t>
            </w:r>
          </w:p>
        </w:tc>
        <w:tc>
          <w:tcPr>
            <w:tcW w:w="1370" w:type="dxa"/>
            <w:shd w:val="clear" w:color="auto" w:fill="F4ACFC"/>
            <w:vAlign w:val="top"/>
          </w:tcPr>
          <w:p>
            <w:pPr>
              <w:spacing w:line="300" w:lineRule="exac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食品安全小组/HACCP小组</w:t>
            </w:r>
          </w:p>
        </w:tc>
        <w:tc>
          <w:tcPr>
            <w:tcW w:w="3038" w:type="dxa"/>
            <w:shd w:val="clear" w:color="auto" w:fill="F4ACFC"/>
            <w:vAlign w:val="top"/>
          </w:tcPr>
          <w:p>
            <w:pPr>
              <w:widowControl/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食品安全小组/HACCP组长及职责、</w:t>
            </w:r>
            <w:r>
              <w:rPr>
                <w:rFonts w:ascii="CIDFont" w:hAnsi="CIDFont" w:eastAsia="CIDFont" w:cs="CIDFont"/>
                <w:color w:val="000000"/>
                <w:kern w:val="0"/>
                <w:sz w:val="18"/>
                <w:szCs w:val="18"/>
                <w:lang w:bidi="ar"/>
              </w:rPr>
              <w:t>外部开发的食品安全管理体系要素</w:t>
            </w:r>
            <w:r>
              <w:rPr>
                <w:rFonts w:hint="eastAsia" w:ascii="CIDFont" w:hAnsi="CIDFont" w:eastAsia="CIDFont" w:cs="CIDFont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体系策划（文件、手册等）、PRP/良好卫生规范策划、运行策划和控制、前提计划（总则）、可追溯性系统、实施危害分析的预备步骤、危害分析、控制措施和控制措施组合的确认/危害分析和制定控制措施、危害控制计划（HACCP/OPRP计划）、危害控制计划的实施、规定前提方案（PRP）和危害控制计划的信息的更新、与前提方案（PRPs）和危害控制计划有关的验证、致敏物质的管理、食品防护计划、食品欺诈预防计划、HACCP 计划记录的保持</w:t>
            </w:r>
          </w:p>
        </w:tc>
        <w:tc>
          <w:tcPr>
            <w:tcW w:w="2469" w:type="dxa"/>
            <w:shd w:val="clear" w:color="auto" w:fill="F4ACFC"/>
            <w:vAlign w:val="top"/>
          </w:tcPr>
          <w:p>
            <w:pPr>
              <w:spacing w:line="300" w:lineRule="exact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F: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.3/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7.1.5/8.2/8.3/8.5/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8.6/8.8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H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2.5.1/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3.1/3.3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3.7/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3.10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3.11/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3.12/4.1-4.6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4ACFC"/>
            <w:vAlign w:val="center"/>
          </w:tcPr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A:FH</w:t>
            </w:r>
          </w:p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B:F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（QQ、腾讯会议）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213" w:type="dxa"/>
            <w:shd w:val="clear" w:color="auto" w:fill="FFFF0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-12:30</w:t>
            </w:r>
          </w:p>
        </w:tc>
        <w:tc>
          <w:tcPr>
            <w:tcW w:w="1370" w:type="dxa"/>
            <w:shd w:val="clear" w:color="auto" w:fill="FFFF00"/>
            <w:vAlign w:val="center"/>
          </w:tcPr>
          <w:p>
            <w:pPr>
              <w:spacing w:line="300" w:lineRule="exact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综合部——继续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038" w:type="dxa"/>
            <w:shd w:val="clear" w:color="auto" w:fill="FFFF00"/>
            <w:vAlign w:val="center"/>
          </w:tcPr>
          <w:p>
            <w:pPr>
              <w:spacing w:line="30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部门职责、目标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管理</w:t>
            </w:r>
            <w:r>
              <w:rPr>
                <w:rFonts w:hint="eastAsia"/>
                <w:sz w:val="18"/>
                <w:szCs w:val="18"/>
              </w:rPr>
              <w:t>、人员、能力、意识、沟通、持证上岗人员、健康证、文件和记录管理、组织的知识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sz w:val="18"/>
                <w:szCs w:val="18"/>
              </w:rPr>
              <w:t>环境因素识别和危险源辨识和评价，合规性评价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sz w:val="18"/>
                <w:szCs w:val="18"/>
              </w:rPr>
              <w:t>目标指标和管理方案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分析和评估、环境因素、合规义务/法律法规要求和其他要求的确定、危险源辨识及风险和机遇的评价、措施的策划、环境和职业健康运行的策划和控制、应急准备和响应【EO】、内部审核、事件不符合和纠正措施，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辅助设施（</w:t>
            </w:r>
            <w:r>
              <w:rPr>
                <w:rFonts w:hint="eastAsia"/>
                <w:sz w:val="18"/>
                <w:szCs w:val="18"/>
              </w:rPr>
              <w:t>适用时，可包括</w:t>
            </w:r>
            <w:r>
              <w:rPr>
                <w:sz w:val="18"/>
                <w:szCs w:val="18"/>
              </w:rPr>
              <w:t>车辆控制、食堂、保洁、门卫）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等</w:t>
            </w:r>
          </w:p>
        </w:tc>
        <w:tc>
          <w:tcPr>
            <w:tcW w:w="2469" w:type="dxa"/>
            <w:shd w:val="clear" w:color="auto" w:fill="FFFF00"/>
            <w:vAlign w:val="top"/>
          </w:tcPr>
          <w:p>
            <w:pPr>
              <w:rPr>
                <w:rFonts w:hint="default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Q：5</w:t>
            </w:r>
            <w:r>
              <w:rPr>
                <w:sz w:val="18"/>
                <w:szCs w:val="18"/>
                <w:highlight w:val="none"/>
              </w:rPr>
              <w:t>.3</w:t>
            </w:r>
            <w:r>
              <w:rPr>
                <w:rFonts w:hint="eastAsia"/>
                <w:sz w:val="18"/>
                <w:szCs w:val="18"/>
                <w:highlight w:val="none"/>
              </w:rPr>
              <w:t>/</w:t>
            </w:r>
            <w:r>
              <w:rPr>
                <w:sz w:val="18"/>
                <w:szCs w:val="18"/>
                <w:highlight w:val="none"/>
              </w:rPr>
              <w:t>6.2/</w:t>
            </w:r>
            <w:r>
              <w:rPr>
                <w:rFonts w:hint="eastAsia"/>
                <w:sz w:val="18"/>
                <w:szCs w:val="18"/>
                <w:highlight w:val="none"/>
              </w:rPr>
              <w:t>7.1.2</w:t>
            </w:r>
            <w:r>
              <w:rPr>
                <w:sz w:val="18"/>
                <w:szCs w:val="18"/>
                <w:highlight w:val="none"/>
              </w:rPr>
              <w:t>/</w:t>
            </w:r>
            <w:r>
              <w:rPr>
                <w:rFonts w:hint="eastAsia"/>
                <w:sz w:val="18"/>
                <w:szCs w:val="18"/>
                <w:highlight w:val="none"/>
              </w:rPr>
              <w:t>7.1.6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/</w:t>
            </w:r>
            <w:r>
              <w:rPr>
                <w:sz w:val="18"/>
                <w:szCs w:val="18"/>
                <w:highlight w:val="none"/>
              </w:rPr>
              <w:t>7.2/7.3/7.4/7.5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.2/7.5.3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highlight w:val="none"/>
                <w:lang w:val="en-US" w:eastAsia="zh-CN"/>
              </w:rPr>
              <w:t>9.2/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highlight w:val="none"/>
              </w:rPr>
              <w:t>9.1.3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highlight w:val="none"/>
                <w:lang w:val="en-US" w:eastAsia="zh-CN"/>
              </w:rPr>
              <w:t>/10.2</w:t>
            </w:r>
          </w:p>
          <w:p>
            <w:pPr>
              <w:spacing w:line="300" w:lineRule="exact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>E: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5.3/</w:t>
            </w:r>
            <w:r>
              <w:rPr>
                <w:color w:val="auto"/>
                <w:sz w:val="18"/>
                <w:szCs w:val="18"/>
                <w:highlight w:val="none"/>
              </w:rPr>
              <w:t>6.1.2/6.1.3/6.1.4/6.2/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7.2/7.3/7.4/7.5/</w:t>
            </w:r>
            <w:r>
              <w:rPr>
                <w:color w:val="auto"/>
                <w:sz w:val="18"/>
                <w:szCs w:val="18"/>
                <w:highlight w:val="none"/>
              </w:rPr>
              <w:t>8.1/8.2/9.1.2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/9.2/</w:t>
            </w:r>
            <w:r>
              <w:rPr>
                <w:color w:val="auto"/>
                <w:sz w:val="18"/>
                <w:szCs w:val="18"/>
                <w:highlight w:val="none"/>
              </w:rPr>
              <w:t>10.2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>O: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5.3/</w:t>
            </w:r>
            <w:r>
              <w:rPr>
                <w:color w:val="auto"/>
                <w:sz w:val="18"/>
                <w:szCs w:val="18"/>
                <w:highlight w:val="none"/>
              </w:rPr>
              <w:t>6.1.2/6.1.3/6.1.4/6.2/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7.2/7.3/7.4/7.5/</w:t>
            </w:r>
            <w:r>
              <w:rPr>
                <w:color w:val="auto"/>
                <w:sz w:val="18"/>
                <w:szCs w:val="18"/>
                <w:highlight w:val="none"/>
              </w:rPr>
              <w:t>8.1/8.2/9.1.2/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9.2/</w:t>
            </w:r>
            <w:r>
              <w:rPr>
                <w:color w:val="auto"/>
                <w:sz w:val="18"/>
                <w:szCs w:val="18"/>
                <w:highlight w:val="none"/>
              </w:rPr>
              <w:t>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FFF00"/>
            <w:vAlign w:val="center"/>
          </w:tcPr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</w:t>
            </w:r>
          </w:p>
          <w:p>
            <w:pPr>
              <w:pStyle w:val="2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（QQ、腾讯会议）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9DFEF8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213" w:type="dxa"/>
            <w:shd w:val="clear" w:color="auto" w:fill="9DFEF8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-12:30</w:t>
            </w:r>
          </w:p>
        </w:tc>
        <w:tc>
          <w:tcPr>
            <w:tcW w:w="1370" w:type="dxa"/>
            <w:shd w:val="clear" w:color="auto" w:fill="9DFEF8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综合部——继续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038" w:type="dxa"/>
            <w:shd w:val="clear" w:color="auto" w:fill="9DFEF8"/>
            <w:vAlign w:val="center"/>
          </w:tcPr>
          <w:p>
            <w:pPr>
              <w:spacing w:line="30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部门职责、目标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管理</w:t>
            </w:r>
            <w:r>
              <w:rPr>
                <w:rFonts w:hint="eastAsia"/>
                <w:sz w:val="18"/>
                <w:szCs w:val="18"/>
              </w:rPr>
              <w:t>、人员、能力、意识、沟通、持证上岗人员、健康证、文件和记录管理、组织的知识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sz w:val="18"/>
                <w:szCs w:val="18"/>
              </w:rPr>
              <w:t>环境因素识别和危险源辨识和评价，合规性评价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sz w:val="18"/>
                <w:szCs w:val="18"/>
              </w:rPr>
              <w:t>目标指标和管理方案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分析和评估、环境因素、合规义务/法律法规要求和其他要求的确定、危险源辨识及风险和机遇的评价、措施的策划、环境和职业健康运行的策划和控制、应急准备和响应【EO】、内部审核、事件不符合和纠正措施，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辅助设施（</w:t>
            </w:r>
            <w:r>
              <w:rPr>
                <w:rFonts w:hint="eastAsia"/>
                <w:sz w:val="18"/>
                <w:szCs w:val="18"/>
              </w:rPr>
              <w:t>适用时，可包括</w:t>
            </w:r>
            <w:r>
              <w:rPr>
                <w:sz w:val="18"/>
                <w:szCs w:val="18"/>
              </w:rPr>
              <w:t>车辆控制、食堂、保洁、门卫）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等</w:t>
            </w:r>
          </w:p>
        </w:tc>
        <w:tc>
          <w:tcPr>
            <w:tcW w:w="2469" w:type="dxa"/>
            <w:shd w:val="clear" w:color="auto" w:fill="9DFEF8"/>
            <w:vAlign w:val="top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F</w:t>
            </w:r>
            <w:r>
              <w:rPr>
                <w:rFonts w:hint="eastAsia"/>
                <w:sz w:val="18"/>
                <w:szCs w:val="18"/>
                <w:highlight w:val="none"/>
              </w:rPr>
              <w:t>：5</w:t>
            </w:r>
            <w:r>
              <w:rPr>
                <w:sz w:val="18"/>
                <w:szCs w:val="18"/>
                <w:highlight w:val="none"/>
              </w:rPr>
              <w:t>.3</w:t>
            </w:r>
            <w:r>
              <w:rPr>
                <w:rFonts w:hint="eastAsia"/>
                <w:sz w:val="18"/>
                <w:szCs w:val="18"/>
                <w:highlight w:val="none"/>
              </w:rPr>
              <w:t>/</w:t>
            </w:r>
            <w:r>
              <w:rPr>
                <w:sz w:val="18"/>
                <w:szCs w:val="18"/>
                <w:highlight w:val="none"/>
              </w:rPr>
              <w:t>6.2/</w:t>
            </w:r>
            <w:r>
              <w:rPr>
                <w:rFonts w:hint="eastAsia"/>
                <w:sz w:val="18"/>
                <w:szCs w:val="18"/>
                <w:highlight w:val="none"/>
              </w:rPr>
              <w:t>7.1.2</w:t>
            </w:r>
            <w:r>
              <w:rPr>
                <w:sz w:val="18"/>
                <w:szCs w:val="18"/>
                <w:highlight w:val="none"/>
              </w:rPr>
              <w:t>/7.2/7.3/7.4/7.5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.2/7.5.3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highlight w:val="none"/>
              </w:rPr>
              <w:t>/</w:t>
            </w:r>
          </w:p>
          <w:p>
            <w:pPr>
              <w:rPr>
                <w:rFonts w:hint="default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highlight w:val="none"/>
                <w:lang w:val="en-US" w:eastAsia="zh-CN"/>
              </w:rPr>
              <w:t>9.2/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highlight w:val="none"/>
              </w:rPr>
              <w:t>9.1.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highlight w:val="none"/>
                <w:lang w:val="en-US" w:eastAsia="zh-CN"/>
              </w:rPr>
              <w:t>2/10.1</w:t>
            </w:r>
          </w:p>
          <w:p>
            <w:pPr>
              <w:spacing w:line="300" w:lineRule="exact"/>
              <w:rPr>
                <w:rFonts w:hint="default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sz w:val="18"/>
                <w:szCs w:val="18"/>
                <w:highlight w:val="none"/>
              </w:rPr>
              <w:t>H:1.2.3/1.2.4/2.4.2/2.5.1/2.5.2.1/3.2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/5.1/5.3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9DFEF8"/>
            <w:vAlign w:val="top"/>
          </w:tcPr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（QQ、腾讯会议）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213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12:30-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13:00</w:t>
            </w:r>
          </w:p>
        </w:tc>
        <w:tc>
          <w:tcPr>
            <w:tcW w:w="137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午餐休息</w:t>
            </w:r>
          </w:p>
        </w:tc>
        <w:tc>
          <w:tcPr>
            <w:tcW w:w="303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6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4ACFC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11-24</w:t>
            </w:r>
          </w:p>
        </w:tc>
        <w:tc>
          <w:tcPr>
            <w:tcW w:w="1213" w:type="dxa"/>
            <w:shd w:val="clear" w:color="auto" w:fill="F4ACFC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:00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-14:00</w:t>
            </w:r>
          </w:p>
        </w:tc>
        <w:tc>
          <w:tcPr>
            <w:tcW w:w="1370" w:type="dxa"/>
            <w:shd w:val="clear" w:color="auto" w:fill="F4ACFC"/>
            <w:vAlign w:val="top"/>
          </w:tcPr>
          <w:p>
            <w:pPr>
              <w:spacing w:line="300" w:lineRule="exact"/>
              <w:rPr>
                <w:rFonts w:hint="default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食品安全小组/HACCP小组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——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继续</w:t>
            </w:r>
          </w:p>
        </w:tc>
        <w:tc>
          <w:tcPr>
            <w:tcW w:w="3038" w:type="dxa"/>
            <w:shd w:val="clear" w:color="auto" w:fill="F4ACFC"/>
            <w:vAlign w:val="top"/>
          </w:tcPr>
          <w:p>
            <w:pPr>
              <w:widowControl/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食品安全小组/HACCP组长及职责、</w:t>
            </w:r>
            <w:r>
              <w:rPr>
                <w:rFonts w:ascii="CIDFont" w:hAnsi="CIDFont" w:eastAsia="CIDFont" w:cs="CIDFont"/>
                <w:color w:val="000000"/>
                <w:kern w:val="0"/>
                <w:sz w:val="18"/>
                <w:szCs w:val="18"/>
                <w:lang w:bidi="ar"/>
              </w:rPr>
              <w:t>外部开发的食品安全管理体系要素</w:t>
            </w:r>
            <w:r>
              <w:rPr>
                <w:rFonts w:hint="eastAsia" w:ascii="CIDFont" w:hAnsi="CIDFont" w:eastAsia="CIDFont" w:cs="CIDFont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体系策划（文件、手册等）、PRP/良好卫生规范策划、运行策划和控制、前提计划（总则）、可追溯性系统、实施危害分析的预备步骤、危害分析、控制措施和控制措施组合的确认/危害分析和制定控制措施、危害控制计划（HACCP/OPRP计划）、危害控制计划的实施、规定前提方案（PRP）和危害控制计划的信息的更新、与前提方案（PRPs）和危害控制计划有关的验证、致敏物质的管理、食品防护计划、食品欺诈预防计划、HACCP 计划记录的保持</w:t>
            </w:r>
          </w:p>
        </w:tc>
        <w:tc>
          <w:tcPr>
            <w:tcW w:w="2469" w:type="dxa"/>
            <w:shd w:val="clear" w:color="auto" w:fill="F4ACFC"/>
            <w:vAlign w:val="top"/>
          </w:tcPr>
          <w:p>
            <w:pPr>
              <w:spacing w:line="300" w:lineRule="exact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F: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.3/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7.1.5/8.2/8.3/8.5/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8.6/8.8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H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2.5.1/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3.3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3.7/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3.10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3.11/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3.12/4.1-4.6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4ACFC"/>
            <w:vAlign w:val="center"/>
          </w:tcPr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A:FH</w:t>
            </w:r>
          </w:p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B:F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（QQ、腾讯会议）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5C5FE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213" w:type="dxa"/>
            <w:shd w:val="clear" w:color="auto" w:fill="F5C5F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-15:30</w:t>
            </w:r>
          </w:p>
        </w:tc>
        <w:tc>
          <w:tcPr>
            <w:tcW w:w="1370" w:type="dxa"/>
            <w:shd w:val="clear" w:color="auto" w:fill="F5C5FE"/>
            <w:vAlign w:val="center"/>
          </w:tcPr>
          <w:p>
            <w:pPr>
              <w:spacing w:line="300" w:lineRule="exact"/>
              <w:rPr>
                <w:rFonts w:hint="default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3038" w:type="dxa"/>
            <w:shd w:val="clear" w:color="auto" w:fill="F5C5FE"/>
            <w:vAlign w:val="top"/>
          </w:tcPr>
          <w:p>
            <w:pPr>
              <w:spacing w:line="300" w:lineRule="exact"/>
              <w:jc w:val="left"/>
              <w:rPr>
                <w:rFonts w:hint="eastAsia" w:eastAsia="宋体" w:cs="Times New Roman" w:asciiTheme="minorEastAsia" w:hAnsiTheme="minorEastAsia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环境因素识别和危险源辨识和评价，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合规义务、</w:t>
            </w:r>
            <w:r>
              <w:rPr>
                <w:sz w:val="18"/>
                <w:szCs w:val="18"/>
              </w:rPr>
              <w:t>合规性评价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</w:p>
        </w:tc>
        <w:tc>
          <w:tcPr>
            <w:tcW w:w="2469" w:type="dxa"/>
            <w:shd w:val="clear" w:color="auto" w:fill="F5C5FE"/>
            <w:vAlign w:val="top"/>
          </w:tcPr>
          <w:p>
            <w:pPr>
              <w:spacing w:line="300" w:lineRule="exact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>E:6.1.2/6.1.3/6.1.4/9.1.2</w:t>
            </w:r>
          </w:p>
          <w:p>
            <w:pPr>
              <w:spacing w:line="300" w:lineRule="exact"/>
              <w:rPr>
                <w:rFonts w:hint="default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>O:6.1.2/6.1.3/6.1.4/9.1.2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5C5FE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A:QEOFH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213" w:type="dxa"/>
            <w:shd w:val="clear" w:color="auto" w:fill="FFFF0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-15:00</w:t>
            </w:r>
          </w:p>
        </w:tc>
        <w:tc>
          <w:tcPr>
            <w:tcW w:w="1370" w:type="dxa"/>
            <w:shd w:val="clear" w:color="auto" w:fill="FFFF00"/>
            <w:vAlign w:val="center"/>
          </w:tcPr>
          <w:p>
            <w:pPr>
              <w:spacing w:line="300" w:lineRule="exact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综合部——继续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038" w:type="dxa"/>
            <w:shd w:val="clear" w:color="auto" w:fill="FFFF00"/>
            <w:vAlign w:val="center"/>
          </w:tcPr>
          <w:p>
            <w:pPr>
              <w:spacing w:line="30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部门职责、目标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管理</w:t>
            </w:r>
            <w:r>
              <w:rPr>
                <w:rFonts w:hint="eastAsia"/>
                <w:sz w:val="18"/>
                <w:szCs w:val="18"/>
              </w:rPr>
              <w:t>、人员、能力、意识、沟通、持证上岗人员、健康证、文件和记录管理、组织的知识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sz w:val="18"/>
                <w:szCs w:val="18"/>
              </w:rPr>
              <w:t>环境因素识别和危险源辨识和评价，合规性评价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sz w:val="18"/>
                <w:szCs w:val="18"/>
              </w:rPr>
              <w:t>目标指标和管理方案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分析和评估、环境因素、合规义务/法律法规要求和其他要求的确定、危险源辨识及风险和机遇的评价、措施的策划、环境和职业健康运行的策划和控制、应急准备和响应【EO】、内部审核、事件不符合和纠正措施，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辅助设施（</w:t>
            </w:r>
            <w:r>
              <w:rPr>
                <w:rFonts w:hint="eastAsia"/>
                <w:sz w:val="18"/>
                <w:szCs w:val="18"/>
              </w:rPr>
              <w:t>适用时，可包括</w:t>
            </w:r>
            <w:r>
              <w:rPr>
                <w:sz w:val="18"/>
                <w:szCs w:val="18"/>
              </w:rPr>
              <w:t>车辆控制、食堂、保洁、门卫）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等</w:t>
            </w:r>
          </w:p>
        </w:tc>
        <w:tc>
          <w:tcPr>
            <w:tcW w:w="2469" w:type="dxa"/>
            <w:shd w:val="clear" w:color="auto" w:fill="FFFF00"/>
            <w:vAlign w:val="top"/>
          </w:tcPr>
          <w:p>
            <w:pPr>
              <w:rPr>
                <w:rFonts w:hint="default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Q：5</w:t>
            </w:r>
            <w:r>
              <w:rPr>
                <w:sz w:val="18"/>
                <w:szCs w:val="18"/>
                <w:highlight w:val="none"/>
              </w:rPr>
              <w:t>.3</w:t>
            </w:r>
            <w:r>
              <w:rPr>
                <w:rFonts w:hint="eastAsia"/>
                <w:sz w:val="18"/>
                <w:szCs w:val="18"/>
                <w:highlight w:val="none"/>
              </w:rPr>
              <w:t>/</w:t>
            </w:r>
            <w:r>
              <w:rPr>
                <w:sz w:val="18"/>
                <w:szCs w:val="18"/>
                <w:highlight w:val="none"/>
              </w:rPr>
              <w:t>6.2/</w:t>
            </w:r>
            <w:r>
              <w:rPr>
                <w:rFonts w:hint="eastAsia"/>
                <w:sz w:val="18"/>
                <w:szCs w:val="18"/>
                <w:highlight w:val="none"/>
              </w:rPr>
              <w:t>7.1.2</w:t>
            </w:r>
            <w:r>
              <w:rPr>
                <w:sz w:val="18"/>
                <w:szCs w:val="18"/>
                <w:highlight w:val="none"/>
              </w:rPr>
              <w:t>/</w:t>
            </w:r>
            <w:r>
              <w:rPr>
                <w:rFonts w:hint="eastAsia"/>
                <w:sz w:val="18"/>
                <w:szCs w:val="18"/>
                <w:highlight w:val="none"/>
              </w:rPr>
              <w:t>7.1.6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/</w:t>
            </w:r>
            <w:r>
              <w:rPr>
                <w:sz w:val="18"/>
                <w:szCs w:val="18"/>
                <w:highlight w:val="none"/>
              </w:rPr>
              <w:t>7.2/7.3/7.4/7.5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.2/7.5.3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highlight w:val="none"/>
                <w:lang w:val="en-US" w:eastAsia="zh-CN"/>
              </w:rPr>
              <w:t>9.2/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highlight w:val="none"/>
              </w:rPr>
              <w:t>9.1.3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highlight w:val="none"/>
                <w:lang w:val="en-US" w:eastAsia="zh-CN"/>
              </w:rPr>
              <w:t>/10.2</w:t>
            </w:r>
          </w:p>
          <w:p>
            <w:pPr>
              <w:spacing w:line="300" w:lineRule="exact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>E: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5.3/</w:t>
            </w:r>
            <w:r>
              <w:rPr>
                <w:color w:val="auto"/>
                <w:sz w:val="18"/>
                <w:szCs w:val="18"/>
                <w:highlight w:val="none"/>
              </w:rPr>
              <w:t>6.1.2/6.1.3/6.1.4/6.2/8.1/8.2/9.1.2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/9.2/</w:t>
            </w:r>
            <w:r>
              <w:rPr>
                <w:color w:val="auto"/>
                <w:sz w:val="18"/>
                <w:szCs w:val="18"/>
                <w:highlight w:val="none"/>
              </w:rPr>
              <w:t>10.2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>O: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5.3/</w:t>
            </w:r>
            <w:r>
              <w:rPr>
                <w:color w:val="auto"/>
                <w:sz w:val="18"/>
                <w:szCs w:val="18"/>
                <w:highlight w:val="none"/>
              </w:rPr>
              <w:t>6.1.2/6.1.3/6.1.4/6.2/8.1/8.2/9.1.2/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9.2/</w:t>
            </w:r>
            <w:r>
              <w:rPr>
                <w:color w:val="auto"/>
                <w:sz w:val="18"/>
                <w:szCs w:val="18"/>
                <w:highlight w:val="none"/>
              </w:rPr>
              <w:t>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FFF00"/>
            <w:vAlign w:val="center"/>
          </w:tcPr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</w:t>
            </w:r>
          </w:p>
          <w:p>
            <w:pPr>
              <w:pStyle w:val="2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（QQ、腾讯会议）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FFF00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213" w:type="dxa"/>
            <w:shd w:val="clear" w:color="auto" w:fill="FFFF0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14:30-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15:00</w:t>
            </w:r>
          </w:p>
        </w:tc>
        <w:tc>
          <w:tcPr>
            <w:tcW w:w="1370" w:type="dxa"/>
            <w:shd w:val="clear" w:color="auto" w:fill="FFFF0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员工代表</w:t>
            </w:r>
          </w:p>
        </w:tc>
        <w:tc>
          <w:tcPr>
            <w:tcW w:w="3038" w:type="dxa"/>
            <w:shd w:val="clear" w:color="auto" w:fill="FFFF0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事故调查、沟通</w:t>
            </w:r>
          </w:p>
        </w:tc>
        <w:tc>
          <w:tcPr>
            <w:tcW w:w="2469" w:type="dxa"/>
            <w:shd w:val="clear" w:color="auto" w:fill="FFFF0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OHS: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  <w:lang w:eastAsia="zh-CN"/>
              </w:rPr>
              <w:t>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8.2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7.4.2、10</w:t>
            </w:r>
            <w:r>
              <w:rPr>
                <w:rFonts w:hint="eastAsia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C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（QQ、腾讯会议）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213" w:type="dxa"/>
            <w:shd w:val="clear" w:color="auto" w:fill="FFFF0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15:00-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15:30</w:t>
            </w:r>
          </w:p>
        </w:tc>
        <w:tc>
          <w:tcPr>
            <w:tcW w:w="1370" w:type="dxa"/>
            <w:shd w:val="clear" w:color="auto" w:fill="FFFF0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综合部（财务）</w:t>
            </w:r>
          </w:p>
        </w:tc>
        <w:tc>
          <w:tcPr>
            <w:tcW w:w="3038" w:type="dxa"/>
            <w:shd w:val="clear" w:color="auto" w:fill="FFFF0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资源提供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、应急、事件不符合</w:t>
            </w:r>
          </w:p>
        </w:tc>
        <w:tc>
          <w:tcPr>
            <w:tcW w:w="2469" w:type="dxa"/>
            <w:shd w:val="clear" w:color="auto" w:fill="FFFF0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EMS: 7.1,</w:t>
            </w:r>
            <w:r>
              <w:rPr>
                <w:rFonts w:hint="eastAsia"/>
                <w:sz w:val="18"/>
                <w:szCs w:val="18"/>
              </w:rPr>
              <w:t>/8.2/10.2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OHS: 7.1</w:t>
            </w:r>
            <w:r>
              <w:rPr>
                <w:rFonts w:hint="eastAsia"/>
                <w:sz w:val="18"/>
                <w:szCs w:val="18"/>
              </w:rPr>
              <w:t>/8.2/10.2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FFF0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C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（QQ、腾讯会议）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9DFEF8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213" w:type="dxa"/>
            <w:shd w:val="clear" w:color="auto" w:fill="9DFEF8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-15:30</w:t>
            </w:r>
          </w:p>
        </w:tc>
        <w:tc>
          <w:tcPr>
            <w:tcW w:w="1370" w:type="dxa"/>
            <w:shd w:val="clear" w:color="auto" w:fill="9DFEF8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综合部——继续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038" w:type="dxa"/>
            <w:shd w:val="clear" w:color="auto" w:fill="9DFEF8"/>
            <w:vAlign w:val="center"/>
          </w:tcPr>
          <w:p>
            <w:pPr>
              <w:spacing w:line="30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部门职责、目标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管理</w:t>
            </w:r>
            <w:r>
              <w:rPr>
                <w:rFonts w:hint="eastAsia"/>
                <w:sz w:val="18"/>
                <w:szCs w:val="18"/>
              </w:rPr>
              <w:t>、人员、能力、意识、沟通、持证上岗人员、健康证、文件和记录管理、组织的知识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sz w:val="18"/>
                <w:szCs w:val="18"/>
              </w:rPr>
              <w:t>环境因素识别和危险源辨识和评价，合规性评价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sz w:val="18"/>
                <w:szCs w:val="18"/>
              </w:rPr>
              <w:t>目标指标和管理方案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分析和评估、应急准备和响应【EO】、内部审核、事件不符合和纠正措施，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辅助设施（</w:t>
            </w:r>
            <w:r>
              <w:rPr>
                <w:rFonts w:hint="eastAsia"/>
                <w:sz w:val="18"/>
                <w:szCs w:val="18"/>
              </w:rPr>
              <w:t>适用时，可包括</w:t>
            </w:r>
            <w:r>
              <w:rPr>
                <w:sz w:val="18"/>
                <w:szCs w:val="18"/>
              </w:rPr>
              <w:t>车辆控制、食堂、保洁、门卫）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等</w:t>
            </w:r>
          </w:p>
        </w:tc>
        <w:tc>
          <w:tcPr>
            <w:tcW w:w="2469" w:type="dxa"/>
            <w:shd w:val="clear" w:color="auto" w:fill="9DFEF8"/>
            <w:vAlign w:val="top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F</w:t>
            </w:r>
            <w:r>
              <w:rPr>
                <w:rFonts w:hint="eastAsia"/>
                <w:sz w:val="18"/>
                <w:szCs w:val="18"/>
                <w:highlight w:val="none"/>
              </w:rPr>
              <w:t>：5</w:t>
            </w:r>
            <w:r>
              <w:rPr>
                <w:sz w:val="18"/>
                <w:szCs w:val="18"/>
                <w:highlight w:val="none"/>
              </w:rPr>
              <w:t>.3</w:t>
            </w:r>
            <w:r>
              <w:rPr>
                <w:rFonts w:hint="eastAsia"/>
                <w:sz w:val="18"/>
                <w:szCs w:val="18"/>
                <w:highlight w:val="none"/>
              </w:rPr>
              <w:t>/</w:t>
            </w:r>
            <w:r>
              <w:rPr>
                <w:sz w:val="18"/>
                <w:szCs w:val="18"/>
                <w:highlight w:val="none"/>
              </w:rPr>
              <w:t>6.2/</w:t>
            </w:r>
            <w:r>
              <w:rPr>
                <w:rFonts w:hint="eastAsia"/>
                <w:sz w:val="18"/>
                <w:szCs w:val="18"/>
                <w:highlight w:val="none"/>
              </w:rPr>
              <w:t>7.1.2</w:t>
            </w:r>
            <w:r>
              <w:rPr>
                <w:sz w:val="18"/>
                <w:szCs w:val="18"/>
                <w:highlight w:val="none"/>
              </w:rPr>
              <w:t>/7.2/7.3/7.4/7.5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.2/7.5.3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highlight w:val="none"/>
              </w:rPr>
              <w:t>/</w:t>
            </w:r>
          </w:p>
          <w:p>
            <w:pPr>
              <w:rPr>
                <w:rFonts w:hint="default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highlight w:val="none"/>
                <w:lang w:val="en-US" w:eastAsia="zh-CN"/>
              </w:rPr>
              <w:t>9.2/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highlight w:val="none"/>
              </w:rPr>
              <w:t>9.1.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highlight w:val="none"/>
                <w:lang w:val="en-US" w:eastAsia="zh-CN"/>
              </w:rPr>
              <w:t>2/10.1</w:t>
            </w:r>
          </w:p>
          <w:p>
            <w:pPr>
              <w:spacing w:line="300" w:lineRule="exact"/>
              <w:rPr>
                <w:rFonts w:hint="default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sz w:val="18"/>
                <w:szCs w:val="18"/>
                <w:highlight w:val="none"/>
              </w:rPr>
              <w:t>H:1.2.3/1.2.4/2.4.2/2.5.1/2.5.2.1/3.2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/5.1/5.3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9DFEF8"/>
            <w:vAlign w:val="top"/>
          </w:tcPr>
          <w:p>
            <w:pPr>
              <w:pStyle w:val="2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D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0"/>
                <w:lang w:val="en-US" w:eastAsia="zh-CN"/>
              </w:rPr>
              <w:t>（QQ、腾讯会议）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2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15:30</w:t>
            </w:r>
          </w:p>
        </w:tc>
        <w:tc>
          <w:tcPr>
            <w:tcW w:w="13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3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审核组会议 (重访，如需)</w:t>
            </w:r>
          </w:p>
        </w:tc>
        <w:tc>
          <w:tcPr>
            <w:tcW w:w="24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与管理者代表沟通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2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</w:t>
            </w:r>
          </w:p>
        </w:tc>
        <w:tc>
          <w:tcPr>
            <w:tcW w:w="13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3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2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13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3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结束会议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（腾讯会议：423-650-614）</w:t>
            </w:r>
          </w:p>
        </w:tc>
        <w:tc>
          <w:tcPr>
            <w:tcW w:w="24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2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3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3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审核结束</w:t>
            </w:r>
          </w:p>
        </w:tc>
        <w:tc>
          <w:tcPr>
            <w:tcW w:w="24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</w:pPr>
    </w:p>
    <w:p/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03C02B40"/>
    <w:rsid w:val="056E3A92"/>
    <w:rsid w:val="08B50FFC"/>
    <w:rsid w:val="0A3F3B56"/>
    <w:rsid w:val="0B5A4560"/>
    <w:rsid w:val="0CD048DD"/>
    <w:rsid w:val="129A3460"/>
    <w:rsid w:val="2184758B"/>
    <w:rsid w:val="24956FEA"/>
    <w:rsid w:val="306E3B3E"/>
    <w:rsid w:val="353C420B"/>
    <w:rsid w:val="48853CC3"/>
    <w:rsid w:val="4C196BFC"/>
    <w:rsid w:val="56ED049C"/>
    <w:rsid w:val="59444A7D"/>
    <w:rsid w:val="599154FE"/>
    <w:rsid w:val="612C3D67"/>
    <w:rsid w:val="621912AD"/>
    <w:rsid w:val="63247F09"/>
    <w:rsid w:val="64195594"/>
    <w:rsid w:val="66A56C29"/>
    <w:rsid w:val="67C819F6"/>
    <w:rsid w:val="73B77310"/>
    <w:rsid w:val="75D53CDB"/>
    <w:rsid w:val="76E934EC"/>
    <w:rsid w:val="77C67628"/>
    <w:rsid w:val="7B6845EE"/>
    <w:rsid w:val="7CA449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4401</Words>
  <Characters>7625</Characters>
  <Lines>37</Lines>
  <Paragraphs>10</Paragraphs>
  <TotalTime>2</TotalTime>
  <ScaleCrop>false</ScaleCrop>
  <LinksUpToDate>false</LinksUpToDate>
  <CharactersWithSpaces>7692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和为贵</cp:lastModifiedBy>
  <dcterms:modified xsi:type="dcterms:W3CDTF">2022-11-25T08:26:38Z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2052-11.1.0.12763</vt:lpwstr>
  </property>
</Properties>
</file>