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847"/>
        <w:gridCol w:w="567"/>
        <w:gridCol w:w="639"/>
        <w:gridCol w:w="650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四川思凯硕科技有限公司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18.02.06;18.05.07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111125</wp:posOffset>
                  </wp:positionV>
                  <wp:extent cx="760095" cy="371475"/>
                  <wp:effectExtent l="0" t="0" r="1905" b="952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二次供水增压设备、污水处理一体化设备的设计及生产（组装）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110490</wp:posOffset>
                  </wp:positionV>
                  <wp:extent cx="657225" cy="331470"/>
                  <wp:effectExtent l="0" t="0" r="3175" b="11430"/>
                  <wp:wrapNone/>
                  <wp:docPr id="4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125730</wp:posOffset>
                  </wp:positionV>
                  <wp:extent cx="704215" cy="323215"/>
                  <wp:effectExtent l="0" t="0" r="6985" b="0"/>
                  <wp:wrapNone/>
                  <wp:docPr id="5" name="图片 5" descr="微信图片_20221114192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21114192708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生产工艺</w:t>
            </w:r>
            <w:r>
              <w:rPr>
                <w:b/>
                <w:sz w:val="20"/>
                <w:highlight w:val="none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工艺</w:t>
            </w: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流程图：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客户需求——产品设计——物料采购——组装——调试——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交付</w:t>
            </w:r>
          </w:p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关键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设计过程、组装、调试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主要控制参数：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处理量、功率、尺寸等；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小型生活污水处理成套设备CJ/T355-2010，无负压管网增压稳流给水设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备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GB/T26003-2010，污水处理设备安全技术规范GB/T 28742-2012，污水处理设备 通用技术条件JB/T 8938-1999，GB/T4219.1-2008 工业用硬聚氯乙烯（PVC-U）管道系统、GB/T3091-2015 低压流体输送用焊接钢管、GB/T 3797-2005电气控制设备、GB/T 1804-2000 一般公差未注公差的线性和角度尺寸的公差、GB/T12469-1990 焊接质量及合同、客户要求。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检验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项目组装结束后，通过调试、试运行进行检验。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196850</wp:posOffset>
                  </wp:positionV>
                  <wp:extent cx="760095" cy="371475"/>
                  <wp:effectExtent l="0" t="0" r="1905" b="9525"/>
                  <wp:wrapNone/>
                  <wp:docPr id="6" name="图片 6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205105</wp:posOffset>
                  </wp:positionV>
                  <wp:extent cx="696595" cy="351155"/>
                  <wp:effectExtent l="0" t="0" r="1905" b="4445"/>
                  <wp:wrapNone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847"/>
        <w:gridCol w:w="567"/>
        <w:gridCol w:w="639"/>
        <w:gridCol w:w="650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四川思凯硕科技有限公司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18.02.06;18.05.07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111125</wp:posOffset>
                  </wp:positionV>
                  <wp:extent cx="760095" cy="371475"/>
                  <wp:effectExtent l="0" t="0" r="1905" b="9525"/>
                  <wp:wrapNone/>
                  <wp:docPr id="10" name="图片 10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二次供水增压设备、污水处理一体化设备的设计及生产（组装）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110490</wp:posOffset>
                  </wp:positionV>
                  <wp:extent cx="657225" cy="331470"/>
                  <wp:effectExtent l="0" t="0" r="3175" b="11430"/>
                  <wp:wrapNone/>
                  <wp:docPr id="1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工艺</w:t>
            </w:r>
            <w:r>
              <w:rPr>
                <w:rFonts w:hint="eastAsia"/>
                <w:b/>
                <w:sz w:val="20"/>
                <w:lang w:val="en-US" w:eastAsia="zh-CN"/>
              </w:rPr>
              <w:t>流程图：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客户需求——产品设计——物料采购——组装——调试——</w:t>
            </w:r>
            <w:r>
              <w:rPr>
                <w:rFonts w:hint="eastAsia"/>
                <w:sz w:val="21"/>
                <w:szCs w:val="21"/>
                <w:lang w:eastAsia="zh-CN"/>
              </w:rPr>
              <w:t>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重要环境因素：固废排放、潜在火灾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通过管理方案和预案控制。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华人民共和国安全消防法、中华人民共和国劳动合同法、中华人民共和国安全生产法、大气污染物综合排放标准（GB16297-1996）二级标准；《污水排入城镇下水道水质标准》(GB/T31962-2015)表1中B级标准；《工业企业厂界环境噪声排放标准》（GB12348-2008）3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中华人民共和国环境保护法》、《中华人民共和国环境影响评价法》、《中华人民共和国节约能源法》、《大气污染物综合排放标准》、《污水综合排放标准》等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196850</wp:posOffset>
                  </wp:positionV>
                  <wp:extent cx="760095" cy="371475"/>
                  <wp:effectExtent l="0" t="0" r="1905" b="9525"/>
                  <wp:wrapNone/>
                  <wp:docPr id="24" name="图片 24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205105</wp:posOffset>
                  </wp:positionV>
                  <wp:extent cx="696595" cy="351155"/>
                  <wp:effectExtent l="0" t="0" r="1905" b="4445"/>
                  <wp:wrapNone/>
                  <wp:docPr id="25" name="图片 25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847"/>
        <w:gridCol w:w="567"/>
        <w:gridCol w:w="639"/>
        <w:gridCol w:w="650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四川思凯硕科技有限公司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18.02.06;18.05.07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111125</wp:posOffset>
                  </wp:positionV>
                  <wp:extent cx="760095" cy="371475"/>
                  <wp:effectExtent l="0" t="0" r="1905" b="9525"/>
                  <wp:wrapNone/>
                  <wp:docPr id="20" name="图片 20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二次供水增压设备、污水处理一体化设备的设计及生产（组装）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110490</wp:posOffset>
                  </wp:positionV>
                  <wp:extent cx="657225" cy="331470"/>
                  <wp:effectExtent l="0" t="0" r="3175" b="11430"/>
                  <wp:wrapNone/>
                  <wp:docPr id="2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工艺</w:t>
            </w:r>
            <w:r>
              <w:rPr>
                <w:rFonts w:hint="eastAsia"/>
                <w:b/>
                <w:sz w:val="20"/>
                <w:lang w:val="en-US" w:eastAsia="zh-CN"/>
              </w:rPr>
              <w:t>流程图：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客户需求——产品设计——物料采购——组装——调试——</w:t>
            </w:r>
            <w:r>
              <w:rPr>
                <w:rFonts w:hint="eastAsia"/>
                <w:sz w:val="21"/>
                <w:szCs w:val="21"/>
                <w:lang w:eastAsia="zh-CN"/>
              </w:rPr>
              <w:t>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重大危险源：火灾、触电、机械伤害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通过管理方案和预案控制。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pacing w:val="10"/>
                <w:sz w:val="21"/>
                <w:szCs w:val="21"/>
              </w:rPr>
              <w:t>安全生产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pacing w:val="10"/>
                <w:sz w:val="21"/>
                <w:szCs w:val="21"/>
                <w:lang w:val="en-GB"/>
              </w:rPr>
              <w:t>法、中华人民共和国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pacing w:val="10"/>
                <w:sz w:val="21"/>
                <w:szCs w:val="21"/>
              </w:rPr>
              <w:t>职业病防治法、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pacing w:val="10"/>
                <w:sz w:val="21"/>
                <w:szCs w:val="21"/>
                <w:lang w:val="en-GB"/>
              </w:rPr>
              <w:t>中华人民共和国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pacing w:val="10"/>
                <w:sz w:val="21"/>
                <w:szCs w:val="21"/>
              </w:rPr>
              <w:t>突发事件应对法等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196850</wp:posOffset>
                  </wp:positionV>
                  <wp:extent cx="760095" cy="371475"/>
                  <wp:effectExtent l="0" t="0" r="1905" b="9525"/>
                  <wp:wrapNone/>
                  <wp:docPr id="28" name="图片 28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205105</wp:posOffset>
                  </wp:positionV>
                  <wp:extent cx="696595" cy="351155"/>
                  <wp:effectExtent l="0" t="0" r="1905" b="4445"/>
                  <wp:wrapNone/>
                  <wp:docPr id="29" name="图片 29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0491435"/>
    <w:rsid w:val="0519269E"/>
    <w:rsid w:val="14094778"/>
    <w:rsid w:val="152F777A"/>
    <w:rsid w:val="1E652D8F"/>
    <w:rsid w:val="75DB3E5C"/>
    <w:rsid w:val="7DF00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1495</Characters>
  <Lines>2</Lines>
  <Paragraphs>1</Paragraphs>
  <TotalTime>0</TotalTime>
  <ScaleCrop>false</ScaleCrop>
  <LinksUpToDate>false</LinksUpToDate>
  <CharactersWithSpaces>1507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2022-11-16T07:50:32Z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