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0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质管科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刘巧华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章文勇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2022-11-21下午至2022-11-22上午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审核条款：H:2.4.2/2.5.1/3.6/3.8/</w:t>
            </w:r>
            <w:r>
              <w:t>4.5</w:t>
            </w:r>
            <w:r>
              <w:rPr>
                <w:rFonts w:hint="eastAsia"/>
                <w:lang w:val="en-US" w:eastAsia="zh-CN"/>
              </w:rPr>
              <w:t>/5.1.1-5.1.3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 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2.5.1</w:t>
            </w:r>
          </w:p>
        </w:tc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</w:t>
            </w:r>
            <w:r>
              <w:rPr>
                <w:rFonts w:hint="eastAsia"/>
              </w:rPr>
              <w:t>管理手册》</w:t>
            </w:r>
            <w:r>
              <w:rPr>
                <w:rFonts w:hint="eastAsia"/>
                <w:lang w:val="en-US" w:eastAsia="zh-CN"/>
              </w:rPr>
              <w:t>2.5条款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spacing w:line="4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主要负责本部门体系文件的管理、原料验收、成品出厂检验，参与食品安全小组活动、包括确认验证等；负责不安全产品的处理、参与应急、撤回/召回演练等。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2.4.2  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HACCP</w:t>
            </w:r>
            <w:r>
              <w:rPr>
                <w:rFonts w:hint="eastAsia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2.4 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《食品安全目标策划实施情况检查表 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《食品安全目标分解表》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本部门分解</w:t>
            </w:r>
            <w:r>
              <w:rPr>
                <w:rFonts w:hint="eastAsia"/>
                <w:highlight w:val="none"/>
              </w:rPr>
              <w:t>的食品安全目标实现情况的评价，及其测量方法是：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5"/>
              <w:gridCol w:w="3460"/>
              <w:gridCol w:w="1134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食品安全目标</w:t>
                  </w:r>
                </w:p>
              </w:tc>
              <w:tc>
                <w:tcPr>
                  <w:tcW w:w="3460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目标实际完成</w:t>
                  </w:r>
                </w:p>
                <w:p>
                  <w:pPr>
                    <w:spacing w:line="440" w:lineRule="exact"/>
                    <w:jc w:val="left"/>
                    <w:rPr>
                      <w:rFonts w:hint="default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2022.05-2022.08）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1、错检、漏检率： 0；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漏检、错检次数加权统计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质管科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2、计量器具送检及时率为 100%；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记录器具按要求送检数/计量器具总数×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质管科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出厂产品检验合格率为100%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出厂检验产品合格数/校验总量×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质管科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400" w:leftChars="0" w:hanging="400" w:hangingChars="200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4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、产品市场抽检合格率100%。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产品市场抽检合格数/产品抽检总量×1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质管科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未统计，已与企业沟通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食品安全事故发生次数为0；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食品安全事故发生次数总和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质管科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2022年9月至今目标在实施中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</w:t>
            </w:r>
          </w:p>
        </w:tc>
        <w:tc>
          <w:tcPr>
            <w:tcW w:w="110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H(V1.0）</w:t>
            </w:r>
            <w:r>
              <w:rPr>
                <w:rFonts w:hint="eastAsia"/>
                <w:highlight w:val="none"/>
              </w:rPr>
              <w:t xml:space="preserve">3.6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Hans"/>
              </w:rPr>
              <w:t>《</w:t>
            </w:r>
            <w:r>
              <w:rPr>
                <w:rFonts w:hint="eastAsia"/>
              </w:rPr>
              <w:t>监视和测量</w:t>
            </w:r>
            <w:r>
              <w:rPr>
                <w:rFonts w:hint="eastAsia"/>
                <w:lang w:val="en-US" w:eastAsia="zh-CN"/>
              </w:rPr>
              <w:t>装置</w:t>
            </w:r>
            <w:r>
              <w:rPr>
                <w:rFonts w:hint="eastAsia"/>
                <w:lang w:val="en-US" w:eastAsia="zh-Hans"/>
              </w:rPr>
              <w:t>控制程序</w:t>
            </w:r>
            <w:r>
              <w:rPr>
                <w:rFonts w:hint="eastAsia"/>
                <w:lang w:eastAsia="zh-Hans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手册第3.6条款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 xml:space="preserve">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u w:val="single"/>
                <w:lang w:val="en-US" w:eastAsia="zh-CN"/>
              </w:rPr>
              <w:t xml:space="preserve">——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  <w:u w:val="single"/>
              </w:rPr>
              <w:t>《化验室仪器设备清单》</w:t>
            </w:r>
            <w:r>
              <w:rPr>
                <w:rFonts w:hint="eastAsia"/>
              </w:rPr>
              <w:t>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3"/>
              <w:gridCol w:w="2389"/>
              <w:gridCol w:w="1711"/>
              <w:gridCol w:w="21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38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11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压力表（0-1.6）MPa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HS0-S-2022110099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2023-05-08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水分快速测定仪（SH10A）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Z20229-H253306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2023-08-24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手提式蒸汽灭菌器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Z20222-H253999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2023-08-24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消化炉（KND-04C）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Z20221-H254631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2023-08-24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玻璃温度计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Z20221-I060821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2023-08-24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霉菌培养箱（MJ-250F-I）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Z20221-H254585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2023-08-24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标准筛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Z20220-H253856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2023-08-24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电子天平（JM-B6002)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Z20222-H253944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2023-08-24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分度吸量管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Z20219-H231920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2024-08-23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SH2022A43260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2023-08-09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标准溶液控制：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020" w:type="dxa"/>
            <w:shd w:val="clear" w:color="auto" w:fill="auto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《放行</w:t>
            </w:r>
            <w:r>
              <w:rPr>
                <w:rFonts w:hint="eastAsia"/>
                <w:lang w:val="en-US" w:eastAsia="zh-CN"/>
              </w:rPr>
              <w:t>及交付</w:t>
            </w:r>
            <w:r>
              <w:rPr>
                <w:rFonts w:hint="eastAsia"/>
              </w:rPr>
              <w:t>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原辅材料检验规范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半成品检验规范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出厂检验规范》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446"/>
              <w:gridCol w:w="3447"/>
              <w:gridCol w:w="1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446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44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</w:t>
                  </w:r>
                  <w:r>
                    <w:rPr>
                      <w:rFonts w:hint="eastAsia"/>
                      <w:lang w:val="en-US" w:eastAsia="zh-CN"/>
                    </w:rPr>
                    <w:t>辅</w:t>
                  </w:r>
                  <w:r>
                    <w:rPr>
                      <w:rFonts w:hint="eastAsia"/>
                    </w:rPr>
                    <w:t>材料检验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按照进货量的1%进行抽样</w:t>
                  </w:r>
                </w:p>
              </w:tc>
              <w:tc>
                <w:tcPr>
                  <w:tcW w:w="34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原辅材料检验规范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447" w:type="dxa"/>
                </w:tcPr>
                <w:p>
                  <w:pPr>
                    <w:rPr>
                      <w:rFonts w:hint="default"/>
                      <w:color w:val="0000FF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44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4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按照《过程检验规范》执行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4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按照《出场检验规范》执行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4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进货检验记录</w:t>
            </w:r>
            <w:r>
              <w:rPr>
                <w:rFonts w:hint="eastAsia"/>
                <w:u w:val="single"/>
              </w:rPr>
              <w:t>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801"/>
              <w:gridCol w:w="914"/>
              <w:gridCol w:w="3375"/>
              <w:gridCol w:w="2018"/>
              <w:gridCol w:w="11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91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337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018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68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2022-05-20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大米/220507</w:t>
                  </w:r>
                </w:p>
              </w:tc>
              <w:tc>
                <w:tcPr>
                  <w:tcW w:w="91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600kg</w:t>
                  </w:r>
                </w:p>
              </w:tc>
              <w:tc>
                <w:tcPr>
                  <w:tcW w:w="337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索证：生产许可证、营业执照、第三方检测报告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感官：白色颗粒、无异味、无明显与大米无关的外来异物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包装：包装清洁、牢固无破损、缝口严密结实，无撒漏现场，无污染，外包装上批号或生产日期清晰完整，且在有效期内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数量：按照订单要求</w:t>
                  </w:r>
                </w:p>
              </w:tc>
              <w:tc>
                <w:tcPr>
                  <w:tcW w:w="201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索证：索证齐全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感官：无异味、无异物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包装：符合规定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数量：6300kg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检验员：刘**，审核：章**；</w:t>
                  </w:r>
                </w:p>
              </w:tc>
              <w:tc>
                <w:tcPr>
                  <w:tcW w:w="116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2022-07-25</w:t>
                  </w:r>
                </w:p>
              </w:tc>
              <w:tc>
                <w:tcPr>
                  <w:tcW w:w="8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大米/220721</w:t>
                  </w:r>
                </w:p>
              </w:tc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200kg</w:t>
                  </w:r>
                </w:p>
              </w:tc>
              <w:tc>
                <w:tcPr>
                  <w:tcW w:w="337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索证：生产许可证、营业执照、第三方检测报告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感官：白色颗粒、无异味、无明显与大米无关的外来异物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包装：包装清洁、牢固无破损、缝口严密结实，无撒漏现场，无污染，外包装上批号或生产日期清晰完整，且在有效期内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数量：按照订单要求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索证：索证齐全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感官：无异味、无异物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包装：符合规定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数量：2500kg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检验员：刘**，审核：章**；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2022-05-18</w:t>
                  </w:r>
                </w:p>
              </w:tc>
              <w:tc>
                <w:tcPr>
                  <w:tcW w:w="8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咖啡豆</w:t>
                  </w:r>
                </w:p>
              </w:tc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20kg</w:t>
                  </w:r>
                </w:p>
              </w:tc>
              <w:tc>
                <w:tcPr>
                  <w:tcW w:w="337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索证：生产许可证、营业执照、第三方检测报告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感官：具有产品应有的外观、无腐败、无虫蛀现象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数量：按照订单要求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索证：索证齐全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感官：无异味、无异物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数量：20kg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检验员：刘**，审核：章**；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2022-08-15</w:t>
                  </w:r>
                </w:p>
              </w:tc>
              <w:tc>
                <w:tcPr>
                  <w:tcW w:w="8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咖啡豆/2022-08-10</w:t>
                  </w:r>
                </w:p>
              </w:tc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10kg</w:t>
                  </w:r>
                </w:p>
              </w:tc>
              <w:tc>
                <w:tcPr>
                  <w:tcW w:w="337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索证：生产许可证、营业执照、第三方检测报告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感官：具有产品应有的外观、五腐败、无虫蛀现象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数量：按照订单要求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索证：索证齐全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感官：无异味、无异物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数量：10kg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检验员：刘**，审核：章**；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2022-09-16</w:t>
                  </w:r>
                </w:p>
              </w:tc>
              <w:tc>
                <w:tcPr>
                  <w:tcW w:w="8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咖啡豆/2022-09-13</w:t>
                  </w:r>
                </w:p>
              </w:tc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10kg</w:t>
                  </w:r>
                </w:p>
              </w:tc>
              <w:tc>
                <w:tcPr>
                  <w:tcW w:w="337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索证：生产许可证、营业执照、第三方检测报告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感官：具有产品应有的外观、五腐败、无虫蛀现象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数量：按照订单要求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索证：索证齐全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感官：无异味、无破损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规格：一致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数量：10000kg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检验员：刘**，审核：章**；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2022-05-25</w:t>
                  </w:r>
                </w:p>
              </w:tc>
              <w:tc>
                <w:tcPr>
                  <w:tcW w:w="801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纸盒/2022-05-20</w:t>
                  </w:r>
                </w:p>
              </w:tc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100只</w:t>
                  </w:r>
                </w:p>
              </w:tc>
              <w:tc>
                <w:tcPr>
                  <w:tcW w:w="337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索证：印刷许可证、营业执照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外观：无污染，无破损；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规格：与样品一致；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数量：按照订单要求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索证：索证齐全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感官：无异味、无异物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数量：10000只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检验员：刘**，审核：章**；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2022-05-06</w:t>
                  </w:r>
                </w:p>
              </w:tc>
              <w:tc>
                <w:tcPr>
                  <w:tcW w:w="801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决明子</w:t>
                  </w:r>
                </w:p>
              </w:tc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600kg</w:t>
                  </w:r>
                </w:p>
              </w:tc>
              <w:tc>
                <w:tcPr>
                  <w:tcW w:w="337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索证：购销协议、营业执照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感官：形态完整、气味正常，具有该产品应有的外观，无霉变，无杂质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数量：按照订单要求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索证：索证齐全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感官：无无霉变，无杂质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数量：6000kg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检验员：刘**，审核：章**；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80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3375" w:type="dxa"/>
                  <w:vAlign w:val="top"/>
                </w:tcPr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查2022-07-01进货的麦芽糊精（2022-05-23批次）、2022-06-01进货的乌龙茶（2022-05-13批次）、2022-06-05进货的葡萄干（2022-05-21批次）、2022-06-04进货的葡萄香精（2022-05-08批次）、2022-06-03进货的淋膜纸板（2022-05-25批次）、2022-06-03进货的PET网（2022-05-25批次）2022-06-01进货的包装纸盒（2022-05-13批次）、2022-08-30进货的胡萝卜、2022-09-01进货的桃子、2022-08-10进货的荔枝汁（2022-06-13批次）、2022-08-15进货的蒸馏酒（2022-03-11批次）、2022-08-01进货的瓶盖、玻璃瓶、2022-07-08进货的红豆等控制方式同上，未见异常；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生产过程检验记录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63"/>
              <w:gridCol w:w="716"/>
              <w:gridCol w:w="3091"/>
              <w:gridCol w:w="2193"/>
              <w:gridCol w:w="1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16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2022-07-12</w:t>
                  </w:r>
                </w:p>
              </w:tc>
              <w:tc>
                <w:tcPr>
                  <w:tcW w:w="116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五红水/2022-07-12</w:t>
                  </w:r>
                </w:p>
              </w:tc>
              <w:tc>
                <w:tcPr>
                  <w:tcW w:w="71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091" w:type="dxa"/>
                  <w:vAlign w:val="center"/>
                </w:tcPr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jc w:val="left"/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配料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严格按照配料表进行配料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;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ind w:left="900" w:hanging="900" w:hangingChars="50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煎煮混合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煎煮温度：90-95℃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煎煮时间：50-60分钟。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ind w:left="540" w:hanging="540" w:hangingChars="300"/>
                    <w:jc w:val="left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均质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均质温度：50-60℃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均质压力：18-20Mpa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；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jc w:val="both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灌装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压盖质量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及</w:t>
                  </w:r>
                  <w:r>
                    <w:rPr>
                      <w:rFonts w:hint="eastAsia"/>
                      <w:sz w:val="18"/>
                      <w:szCs w:val="18"/>
                    </w:rPr>
                    <w:t>净含量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;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ind w:left="540" w:hanging="540" w:hangingChars="300"/>
                    <w:jc w:val="both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杀菌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杀菌温度：89-91℃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杀菌时间：30-40分钟。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配料：符合规定；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煎煮混合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符合规定；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均质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符合规定；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压盖和打码质量：【记录不够规范，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已与企业沟通；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】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净含量平均值：301ml</w:t>
                  </w:r>
                </w:p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杀菌温度及时间【记录不规范，已沟通】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2022-08-20</w:t>
                  </w:r>
                </w:p>
              </w:tc>
              <w:tc>
                <w:tcPr>
                  <w:tcW w:w="116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风味饮料酒</w:t>
                  </w:r>
                </w:p>
              </w:tc>
              <w:tc>
                <w:tcPr>
                  <w:tcW w:w="716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091" w:type="dxa"/>
                  <w:vAlign w:val="center"/>
                </w:tcPr>
                <w:p>
                  <w:pPr>
                    <w:tabs>
                      <w:tab w:val="left" w:pos="2970"/>
                    </w:tabs>
                    <w:adjustRightInd w:val="0"/>
                    <w:snapToGrid w:val="0"/>
                    <w:spacing w:line="240" w:lineRule="atLeast"/>
                    <w:ind w:left="4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配料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严格按照配料表进行配料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；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jc w:val="both"/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灌装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压盖质量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，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ind w:left="40"/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净含量符合定量包装计量监督办法（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75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号令）要求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；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ind w:left="40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杀菌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杀菌温度：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85-90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℃；</w:t>
                  </w:r>
                </w:p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ind w:left="660" w:hanging="540" w:hangingChars="300"/>
                    <w:jc w:val="left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杀菌时间：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15-20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配料：符合规定；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灌装：101ml，压盖和打码质量：合格；</w:t>
                  </w:r>
                </w:p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杀菌温度：90℃，时间：25分钟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20220910A</w:t>
                  </w:r>
                </w:p>
              </w:tc>
              <w:tc>
                <w:tcPr>
                  <w:tcW w:w="116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TNO意式原味咖啡液</w:t>
                  </w:r>
                </w:p>
              </w:tc>
              <w:tc>
                <w:tcPr>
                  <w:tcW w:w="716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091" w:type="dxa"/>
                  <w:vAlign w:val="center"/>
                </w:tcPr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jc w:val="center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浸泡：常温下进行浸泡，浸泡时间：3-5小时；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灌装：压盖紧密、生产日期字迹清晰。净含量符合定量包装计量监督办法（75号令）要求。</w:t>
                  </w:r>
                </w:p>
                <w:p>
                  <w:pPr>
                    <w:pStyle w:val="2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杀菌：杀菌温度：85-90℃，杀菌时间：15-20分钟。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未记录浸泡时间，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压盖打码质量：合格，净含量平均值：12mL，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杀菌温度：符合规定（标准要求：杀菌温度：95-100℃，杀菌时间：10分钟，标准要求与《表12 冷萃咖啡液的半成品检验项目与要求》不一致）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2022-09-18</w:t>
                  </w:r>
                </w:p>
              </w:tc>
              <w:tc>
                <w:tcPr>
                  <w:tcW w:w="116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咖啡粉（咖啡固体饮料）</w:t>
                  </w:r>
                </w:p>
              </w:tc>
              <w:tc>
                <w:tcPr>
                  <w:tcW w:w="716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091" w:type="dxa"/>
                  <w:vAlign w:val="center"/>
                </w:tcPr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jc w:val="center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干燥：干燥后水分＜5%；</w:t>
                  </w:r>
                </w:p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18"/>
                      <w:szCs w:val="18"/>
                      <w:lang w:val="en-US" w:eastAsia="zh-CN" w:bidi="ar-SA"/>
                    </w:rPr>
                    <w:t>封口质量：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压盖紧密、生产日期字迹清晰。净含量符合定量包装计量监督办法（75号令）要求。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水分：3.7%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封口和打码质量：合格，净含量：2.1g</w:t>
                  </w:r>
                </w:p>
              </w:tc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  <w:vAlign w:val="center"/>
                </w:tcPr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19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  <w:vAlign w:val="center"/>
                </w:tcPr>
                <w:p>
                  <w:pPr>
                    <w:tabs>
                      <w:tab w:val="left" w:pos="2970"/>
                    </w:tabs>
                    <w:adjustRightInd w:val="0"/>
                    <w:spacing w:line="240" w:lineRule="atLeast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19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另抽查2022-08-20/2022-11-18生产袋泡调味茶，2022-09-01批次果蔬粉，2022-07-09/2022-11-19生产决明子粉，2022-08-01/2022-05-23批次的米粉的过程检验记录，结论：合格；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成品出厂检验报告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09"/>
              <w:gridCol w:w="750"/>
              <w:gridCol w:w="3831"/>
              <w:gridCol w:w="1644"/>
              <w:gridCol w:w="10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383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restart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2022-05-23</w:t>
                  </w:r>
                </w:p>
              </w:tc>
              <w:tc>
                <w:tcPr>
                  <w:tcW w:w="1009" w:type="dxa"/>
                  <w:vMerge w:val="restart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米粉/2022-05-23</w:t>
                  </w:r>
                </w:p>
              </w:tc>
              <w:tc>
                <w:tcPr>
                  <w:tcW w:w="750" w:type="dxa"/>
                  <w:vMerge w:val="restart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50g</w:t>
                  </w:r>
                </w:p>
              </w:tc>
              <w:tc>
                <w:tcPr>
                  <w:tcW w:w="383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感官指标：组织形态：成均匀粉末状，无结块，色泽：具有该品种应有的色泽，均匀一致；滋味气味：具有该品应有的滋味、气味，无霉变无异味，杂质：无肉眼可见外来杂质</w:t>
                  </w:r>
                </w:p>
              </w:tc>
              <w:tc>
                <w:tcPr>
                  <w:tcW w:w="1644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净含量（g）≥2000g（记录不规范，已现场沟通）</w:t>
                  </w:r>
                </w:p>
              </w:tc>
              <w:tc>
                <w:tcPr>
                  <w:tcW w:w="1644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2001g，记录不规范，已现场沟通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水分≤14.5%</w:t>
                  </w:r>
                </w:p>
              </w:tc>
              <w:tc>
                <w:tcPr>
                  <w:tcW w:w="1644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3.5%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粗细度：全部通过CQ10号筛</w:t>
                  </w:r>
                </w:p>
              </w:tc>
              <w:tc>
                <w:tcPr>
                  <w:tcW w:w="1644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全部过筛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灰分含量（干基）/（%）≤3.0</w:t>
                  </w:r>
                </w:p>
              </w:tc>
              <w:tc>
                <w:tcPr>
                  <w:tcW w:w="1644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2.6%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</w:tcPr>
                <w:p>
                  <w:pPr>
                    <w:rPr>
                      <w:rFonts w:hint="default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标签：符合GB7718和GB28050的要求</w:t>
                  </w:r>
                </w:p>
              </w:tc>
              <w:tc>
                <w:tcPr>
                  <w:tcW w:w="1644" w:type="dxa"/>
                </w:tcPr>
                <w:p>
                  <w:pPr>
                    <w:pStyle w:val="2"/>
                    <w:rPr>
                      <w:rFonts w:hint="default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restart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2022-09-01</w:t>
                  </w:r>
                </w:p>
              </w:tc>
              <w:tc>
                <w:tcPr>
                  <w:tcW w:w="1009" w:type="dxa"/>
                  <w:vMerge w:val="restart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果蔬粉（固体饮料）</w:t>
                  </w:r>
                </w:p>
              </w:tc>
              <w:tc>
                <w:tcPr>
                  <w:tcW w:w="750" w:type="dxa"/>
                  <w:vMerge w:val="restart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50g</w:t>
                  </w: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：外观：冲调前，呈干燥的颗粒状或粉末状，无结块；充绒后，呈均匀液体或混悬液，允许有少量沉淀；色泽：具有该产品应有的测色；滋味气味：香气适中，滋味纯正，具有该产品应有的滋味气味无异味；杂质：无肉眼可见外来杂质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净含量（g）≥2000g（记录不规范，已与企业沟通）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2001g（记录不规范，已与企业沟通）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水分≤5.0%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3.9%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大肠菌群/（CFU/g）：n=5，c=2，m=10，M=10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菌落总数/（cfu/g）:n=5，c=2，m=10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，M=5X10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4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标签：符合GB7718和GB28050的要求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restart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2022-07-09</w:t>
                  </w:r>
                </w:p>
              </w:tc>
              <w:tc>
                <w:tcPr>
                  <w:tcW w:w="1009" w:type="dxa"/>
                  <w:vMerge w:val="restart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决明子粉（固体饮料）</w:t>
                  </w:r>
                </w:p>
              </w:tc>
              <w:tc>
                <w:tcPr>
                  <w:tcW w:w="750" w:type="dxa"/>
                  <w:vMerge w:val="restart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50g</w:t>
                  </w: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：外观：冲调前，呈干燥的颗粒状或粉末状，无结块；充绒后，呈均匀液体或混悬液，允许有少量沉淀；色泽：具有该产品应有的测色；滋味气味：香气适中，滋味纯正，具有该产品应有的滋味气味无异味；杂质：无肉眼可见外来杂质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净含量（g）≥2000g（记录不规范，已与企业沟通）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2001g（记录不规范，已与企业沟通）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水分≤5.0%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3.7%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大肠菌群/（CFU/g）：n=5，c=2，m=10，M=10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菌落总数/（cfu/g）:n=5，c=2，m=10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，M=5X10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4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标签：符合GB7718和GB28050的要求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2022-08-17</w:t>
                  </w:r>
                </w:p>
              </w:tc>
              <w:tc>
                <w:tcPr>
                  <w:tcW w:w="1009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咖啡固体饮料</w:t>
                  </w:r>
                </w:p>
              </w:tc>
              <w:tc>
                <w:tcPr>
                  <w:tcW w:w="750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20个</w:t>
                  </w: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感官：色泽：具有该品特有的色泽；香气：冲泡后，具有该品特有的香气，滋味：冲泡后，具有该品特有的滋味，无异味；气味：具有该品特有的气味，无异味。杂质：无肉眼可见外来杂质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 xml:space="preserve">净含量（g）≥2g 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 xml:space="preserve">2.1g 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大肠菌群/（CFU/g）：n=5，c=2，m=10，M=10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菌落总数/（cfu/g）:n=5，c=2，m=10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，M=5X10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4</w:t>
                  </w:r>
                  <w:bookmarkStart w:id="0" w:name="_GoBack"/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【《出厂检验规范》中表10 咖啡固体饮料的出厂检验项目及要求中菌落总数，cfu/g,n=5，c=2，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m=10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，M=5X10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】,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两者不一致</w:t>
                  </w:r>
                  <w:bookmarkEnd w:id="0"/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标签：符合GB7718和GB28050的要求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水分（g/100g）≤7.0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3.2%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restart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2022-08-20</w:t>
                  </w:r>
                </w:p>
              </w:tc>
              <w:tc>
                <w:tcPr>
                  <w:tcW w:w="1009" w:type="dxa"/>
                  <w:vMerge w:val="restart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风味饮料酒</w:t>
                  </w:r>
                </w:p>
              </w:tc>
              <w:tc>
                <w:tcPr>
                  <w:tcW w:w="750" w:type="dxa"/>
                  <w:vMerge w:val="restart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10瓶</w:t>
                  </w: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感官：色泽和状态：澄清液体，具有配制酒的色泽；香气：具有配制酒应有的香味，香气协调，无异香；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净含量≥100.0ml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101ml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酒精度%（vol）2.0-18.0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color w:val="auto"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12%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2022-07-15</w:t>
                  </w:r>
                </w:p>
              </w:tc>
              <w:tc>
                <w:tcPr>
                  <w:tcW w:w="1009" w:type="dxa"/>
                  <w:vMerge w:val="restart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人参水</w:t>
                  </w:r>
                </w:p>
              </w:tc>
              <w:tc>
                <w:tcPr>
                  <w:tcW w:w="750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10瓶</w:t>
                  </w: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感官：色泽：具有标示的植物原料制成的饮料所特有的色泽；滋味气味：具有标签标示的植物原料成的饮料所特有的滋味和气味；</w:t>
                  </w:r>
                </w:p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状态：澄清的产品均匀透明，放置后有少量沉淀或絮状物；杂质：无肉眼可见外来杂质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净含量（ml）≥300ml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301ml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大肠菌群/（CFU/g）：n=5，c=2，m=1，M=10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Merge w:val="continue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8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菌落总数/（cfu/g）:n=5，c=2，m=10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，M=10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vertAlign w:val="superscript"/>
                      <w:lang w:val="en-US" w:eastAsia="zh-CN"/>
                    </w:rPr>
                    <w:t>4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＜1，＜1，＜1，＜1，＜1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另抽查2022-08-01批次大米粉的出厂检验报告，结论及控制方式同</w:t>
            </w:r>
            <w:r>
              <w:rPr>
                <w:rFonts w:hint="eastAsia"/>
                <w:highlight w:val="none"/>
                <w:lang w:val="en-US" w:eastAsia="zh-CN"/>
              </w:rPr>
              <w:t>2022-05-23批次大米粉另抽查2022-08-18/2022-09-17/2022-09-18批次的咖啡固体饮料、20220518A/20220910A批次的TNO意式原味咖啡液、的出厂检验报告，结论：合格；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另抽查2022-06-07/2022-07-25/2022-08-20批次的袋泡调味茶的出厂检验报告，结论：合格；抽查2022-07-12批次的五红水的出厂检验报告，结论：合格；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产品的第三方验证报告，见HACCP小组审核记录；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《验证控制程序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良好卫生规范</w:t>
            </w:r>
            <w:r>
              <w:rPr>
                <w:rFonts w:hint="eastAsia"/>
                <w:highlight w:val="none"/>
                <w:lang w:eastAsia="zh-CN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食品接触面、人员受、工作服微生物检测方法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FF"/>
              </w:rPr>
            </w:pPr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确认和验证控制程序</w:t>
            </w:r>
            <w:r>
              <w:rPr>
                <w:rFonts w:hint="eastAsia"/>
              </w:rPr>
              <w:t>》的内容包括：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见《验证报告》和《检验报告》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工人手及与食品接触面检验报告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987"/>
              <w:gridCol w:w="3208"/>
              <w:gridCol w:w="1344"/>
              <w:gridCol w:w="11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9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32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1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2022-08-10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员工手部（杨**，章**，吴，**）</w:t>
                  </w: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208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大肠菌群（／50c㎡）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不得检出；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菌落总数cfu/只手</w:t>
                  </w:r>
                </w:p>
                <w:p>
                  <w:pPr>
                    <w:pStyle w:val="2"/>
                    <w:rPr>
                      <w:rFonts w:hint="eastAsia" w:ascii="宋体" w:hAnsi="宋体" w:eastAsia="宋体" w:cs="Times New Roman"/>
                      <w:bCs/>
                      <w:color w:val="000000"/>
                      <w:spacing w:val="1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0，0,0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20,30,20</w:t>
                  </w:r>
                </w:p>
              </w:tc>
              <w:tc>
                <w:tcPr>
                  <w:tcW w:w="111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2022-10-25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员工手部（寿**，王**，孙，**）</w:t>
                  </w: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208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大肠菌群（／50c㎡）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不得检出；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菌落总数cfu/只手</w:t>
                  </w:r>
                </w:p>
                <w:p>
                  <w:pPr>
                    <w:pStyle w:val="2"/>
                    <w:rPr>
                      <w:rFonts w:hint="eastAsia" w:ascii="宋体" w:hAnsi="宋体" w:eastAsia="宋体" w:cs="Times New Roman"/>
                      <w:bCs/>
                      <w:color w:val="000000"/>
                      <w:spacing w:val="1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0，0,0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20,20,30</w:t>
                  </w:r>
                </w:p>
              </w:tc>
              <w:tc>
                <w:tcPr>
                  <w:tcW w:w="111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9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2022-08-19</w:t>
                  </w:r>
                </w:p>
              </w:tc>
              <w:tc>
                <w:tcPr>
                  <w:tcW w:w="1620" w:type="dxa"/>
                </w:tcPr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包装设备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工器具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玻璃瓶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瓶盖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注针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208" w:type="dxa"/>
                </w:tcPr>
                <w:p>
                  <w:pPr>
                    <w:pStyle w:val="2"/>
                    <w:rPr>
                      <w:rFonts w:hint="default" w:ascii="宋体" w:hAnsi="宋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菌落总数: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lang w:val="en-US" w:eastAsia="zh-CN"/>
                    </w:rPr>
                    <w:t>设备结束面＜50cfu/100cm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vertAlign w:val="baseline"/>
                      <w:lang w:val="en-US" w:eastAsia="zh-CN"/>
                    </w:rPr>
                    <w:t>;</w:t>
                  </w:r>
                  <w:r>
                    <w:rPr>
                      <w:rFonts w:hint="eastAsia"/>
                      <w:highlight w:val="none"/>
                    </w:rPr>
                    <w:t>大肠菌群（／50c㎡）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不得检出</w:t>
                  </w:r>
                </w:p>
              </w:tc>
              <w:tc>
                <w:tcPr>
                  <w:tcW w:w="134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20,30,20,20,20;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0,0,0,0,0</w:t>
                  </w:r>
                </w:p>
              </w:tc>
              <w:tc>
                <w:tcPr>
                  <w:tcW w:w="11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2022-11-12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包装设备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工器具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玻璃瓶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瓶盖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注针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208" w:type="dxa"/>
                  <w:vAlign w:val="top"/>
                </w:tcPr>
                <w:p>
                  <w:pPr>
                    <w:pStyle w:val="2"/>
                    <w:rPr>
                      <w:rFonts w:hint="default" w:ascii="宋体" w:hAnsi="宋体" w:eastAsia="宋体" w:cs="Times New Roman"/>
                      <w:bCs/>
                      <w:color w:val="000000"/>
                      <w:spacing w:val="1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菌落总数: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lang w:val="en-US" w:eastAsia="zh-CN"/>
                    </w:rPr>
                    <w:t>设备结束面＜50cfu/100cm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vertAlign w:val="baseline"/>
                      <w:lang w:val="en-US" w:eastAsia="zh-CN"/>
                    </w:rPr>
                    <w:t>;</w:t>
                  </w:r>
                  <w:r>
                    <w:rPr>
                      <w:rFonts w:hint="eastAsia"/>
                      <w:highlight w:val="none"/>
                    </w:rPr>
                    <w:t>大肠菌群（／50c㎡）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不得检出</w:t>
                  </w:r>
                </w:p>
              </w:tc>
              <w:tc>
                <w:tcPr>
                  <w:tcW w:w="134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20,30,20,20,20;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0,0,0,0,0</w:t>
                  </w:r>
                </w:p>
              </w:tc>
              <w:tc>
                <w:tcPr>
                  <w:tcW w:w="11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2022-09-05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包装间-沉降菌</w:t>
                  </w: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208" w:type="dxa"/>
                  <w:vAlign w:val="top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沉降菌≤10CFU/皿</w:t>
                  </w:r>
                </w:p>
              </w:tc>
              <w:tc>
                <w:tcPr>
                  <w:tcW w:w="1344" w:type="dxa"/>
                  <w:vAlign w:val="top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117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提供有《食品接触面卫生检查记录》，每周1次，抽查2022-06-13/2022-11-16，感官检查未见异常；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水质检测记录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1333"/>
              <w:gridCol w:w="1063"/>
              <w:gridCol w:w="1670"/>
              <w:gridCol w:w="1458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7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2022-11-07</w:t>
                  </w:r>
                </w:p>
              </w:tc>
              <w:tc>
                <w:tcPr>
                  <w:tcW w:w="13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原水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余氯≥0.05mg/L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0.050.05mg/L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2022-08-05</w:t>
                  </w:r>
                </w:p>
              </w:tc>
              <w:tc>
                <w:tcPr>
                  <w:tcW w:w="1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原水</w:t>
                  </w:r>
                </w:p>
              </w:tc>
              <w:tc>
                <w:tcPr>
                  <w:tcW w:w="10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余氯≥0.05mg/L</w:t>
                  </w: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0.050.05mg/L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水质第三方检测报告见HACCP小组审核记录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/>
                <w:color w:val="0000FF"/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；</w:t>
            </w:r>
          </w:p>
          <w:p/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不合格和控制程序</w:t>
            </w:r>
            <w:r>
              <w:rPr>
                <w:rFonts w:hint="eastAsia"/>
                <w:lang w:eastAsia="zh-CN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纠正措施控制程序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5.1.1 不合格</w:t>
            </w:r>
          </w:p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返工后验证合格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不合格和控制程序</w:t>
            </w:r>
            <w:r>
              <w:rPr>
                <w:rFonts w:hint="eastAsia"/>
                <w:lang w:eastAsia="zh-CN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纠正措施控制程序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》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563"/>
              <w:gridCol w:w="1390"/>
              <w:gridCol w:w="1680"/>
              <w:gridCol w:w="2105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不合格和控制程序</w:t>
            </w:r>
            <w:r>
              <w:rPr>
                <w:rFonts w:hint="eastAsia"/>
                <w:lang w:eastAsia="zh-CN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纠正措施控制程序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b）纠正措施的结果。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——审核周期内未发生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-33655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64FB3"/>
    <w:rsid w:val="0008296E"/>
    <w:rsid w:val="000C2DCE"/>
    <w:rsid w:val="000E6B21"/>
    <w:rsid w:val="00101728"/>
    <w:rsid w:val="001139D4"/>
    <w:rsid w:val="00186260"/>
    <w:rsid w:val="001A2D7F"/>
    <w:rsid w:val="001F7537"/>
    <w:rsid w:val="002165CB"/>
    <w:rsid w:val="002939AD"/>
    <w:rsid w:val="002A028A"/>
    <w:rsid w:val="002E67B3"/>
    <w:rsid w:val="00314AF6"/>
    <w:rsid w:val="00337922"/>
    <w:rsid w:val="00340867"/>
    <w:rsid w:val="00375754"/>
    <w:rsid w:val="00380837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B42A9"/>
    <w:rsid w:val="004E3507"/>
    <w:rsid w:val="005310FB"/>
    <w:rsid w:val="00536930"/>
    <w:rsid w:val="005472E3"/>
    <w:rsid w:val="00564E53"/>
    <w:rsid w:val="005C0A06"/>
    <w:rsid w:val="005D5659"/>
    <w:rsid w:val="00600C20"/>
    <w:rsid w:val="00644FE2"/>
    <w:rsid w:val="00674E7B"/>
    <w:rsid w:val="0067640C"/>
    <w:rsid w:val="00676974"/>
    <w:rsid w:val="00687324"/>
    <w:rsid w:val="006D1B9D"/>
    <w:rsid w:val="006E668E"/>
    <w:rsid w:val="006E678B"/>
    <w:rsid w:val="00737F57"/>
    <w:rsid w:val="007757F3"/>
    <w:rsid w:val="007B4D48"/>
    <w:rsid w:val="007C1B48"/>
    <w:rsid w:val="007E6AEB"/>
    <w:rsid w:val="007F652D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80636"/>
    <w:rsid w:val="00AF0AAB"/>
    <w:rsid w:val="00B4743E"/>
    <w:rsid w:val="00B843D3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807A3"/>
    <w:rsid w:val="00D8388C"/>
    <w:rsid w:val="00DC731C"/>
    <w:rsid w:val="00E46E55"/>
    <w:rsid w:val="00E6224C"/>
    <w:rsid w:val="00E70AD6"/>
    <w:rsid w:val="00E70BFD"/>
    <w:rsid w:val="00E91025"/>
    <w:rsid w:val="00EA002E"/>
    <w:rsid w:val="00EB0164"/>
    <w:rsid w:val="00ED0F62"/>
    <w:rsid w:val="00EF2D8F"/>
    <w:rsid w:val="00F10EBC"/>
    <w:rsid w:val="00FA4815"/>
    <w:rsid w:val="00FD40FA"/>
    <w:rsid w:val="00FF6A5E"/>
    <w:rsid w:val="015D4D12"/>
    <w:rsid w:val="03656FF0"/>
    <w:rsid w:val="061B3D1D"/>
    <w:rsid w:val="06266A4B"/>
    <w:rsid w:val="063C100F"/>
    <w:rsid w:val="06CD2AC4"/>
    <w:rsid w:val="08D45654"/>
    <w:rsid w:val="08EF65F2"/>
    <w:rsid w:val="0D2A3421"/>
    <w:rsid w:val="0DB258A3"/>
    <w:rsid w:val="0DB265A2"/>
    <w:rsid w:val="0E316C3F"/>
    <w:rsid w:val="0E5F120E"/>
    <w:rsid w:val="0FAE2D98"/>
    <w:rsid w:val="10064BAB"/>
    <w:rsid w:val="108219C2"/>
    <w:rsid w:val="10A320FA"/>
    <w:rsid w:val="11546D11"/>
    <w:rsid w:val="120C6352"/>
    <w:rsid w:val="12464BA6"/>
    <w:rsid w:val="133F19A9"/>
    <w:rsid w:val="145801E9"/>
    <w:rsid w:val="15FB6382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1FB64C13"/>
    <w:rsid w:val="20F174A6"/>
    <w:rsid w:val="21127BFF"/>
    <w:rsid w:val="219D36DA"/>
    <w:rsid w:val="22A25127"/>
    <w:rsid w:val="22B54B0B"/>
    <w:rsid w:val="2455723F"/>
    <w:rsid w:val="252E75E6"/>
    <w:rsid w:val="258B2274"/>
    <w:rsid w:val="26622716"/>
    <w:rsid w:val="26A77D69"/>
    <w:rsid w:val="26DE579B"/>
    <w:rsid w:val="27BD6C5C"/>
    <w:rsid w:val="28380A89"/>
    <w:rsid w:val="29A6139D"/>
    <w:rsid w:val="2D176851"/>
    <w:rsid w:val="2E4419BB"/>
    <w:rsid w:val="2F216952"/>
    <w:rsid w:val="30F57479"/>
    <w:rsid w:val="30F667EB"/>
    <w:rsid w:val="31CE6892"/>
    <w:rsid w:val="32123FFF"/>
    <w:rsid w:val="329E6ECC"/>
    <w:rsid w:val="32E549D6"/>
    <w:rsid w:val="34952C24"/>
    <w:rsid w:val="35C21E9E"/>
    <w:rsid w:val="364B0246"/>
    <w:rsid w:val="374A55D1"/>
    <w:rsid w:val="38D16F63"/>
    <w:rsid w:val="39232843"/>
    <w:rsid w:val="397A6350"/>
    <w:rsid w:val="39ED37D1"/>
    <w:rsid w:val="3AA8309D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6C821F6"/>
    <w:rsid w:val="474A7C94"/>
    <w:rsid w:val="484953F3"/>
    <w:rsid w:val="49FE68C7"/>
    <w:rsid w:val="4BB406DB"/>
    <w:rsid w:val="4DE13AE3"/>
    <w:rsid w:val="4E6629D2"/>
    <w:rsid w:val="50294487"/>
    <w:rsid w:val="508C34CF"/>
    <w:rsid w:val="50FA687C"/>
    <w:rsid w:val="514020F3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A12B9A"/>
    <w:rsid w:val="600300DE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9774AB9"/>
    <w:rsid w:val="6B780C52"/>
    <w:rsid w:val="6E475FBD"/>
    <w:rsid w:val="6EDD479C"/>
    <w:rsid w:val="6F8034DB"/>
    <w:rsid w:val="6FD60296"/>
    <w:rsid w:val="7022012C"/>
    <w:rsid w:val="70273BAA"/>
    <w:rsid w:val="70644FCC"/>
    <w:rsid w:val="712E3A27"/>
    <w:rsid w:val="72B55AD5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9F82CCF"/>
    <w:rsid w:val="7B2D180B"/>
    <w:rsid w:val="7BA476E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纯文本1"/>
    <w:basedOn w:val="1"/>
    <w:link w:val="16"/>
    <w:qFormat/>
    <w:uiPriority w:val="0"/>
    <w:rPr>
      <w:rFonts w:ascii="宋体" w:hAnsi="Courier New"/>
    </w:rPr>
  </w:style>
  <w:style w:type="character" w:customStyle="1" w:styleId="16">
    <w:name w:val="纯文本 字符"/>
    <w:link w:val="15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252C2-83F8-4CF2-8FAF-4DB1C31C5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4330</Words>
  <Characters>5030</Characters>
  <Lines>258</Lines>
  <Paragraphs>72</Paragraphs>
  <TotalTime>0</TotalTime>
  <ScaleCrop>false</ScaleCrop>
  <LinksUpToDate>false</LinksUpToDate>
  <CharactersWithSpaces>5797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2022-11-22T02:05:46Z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0E27996982F446339D7464F8033A0B81</vt:lpwstr>
  </property>
</Properties>
</file>