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41"/>
        <w:gridCol w:w="19"/>
        <w:gridCol w:w="730"/>
        <w:gridCol w:w="1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供销科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章建峰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刘巧华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11-20至2022-11-21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</w:rPr>
              <w:t xml:space="preserve"> (V1.0)</w:t>
            </w:r>
            <w:r>
              <w:rPr>
                <w:rFonts w:hint="eastAsia"/>
                <w:lang w:val="en-US" w:eastAsia="zh-CN"/>
              </w:rPr>
              <w:t>:2.4.2/2.5.1/2.5.2.3/3.5/3.12/3.9/5.2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《食品安全目标分解表》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食品安全目标策划实施情况检查表》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8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2.5-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1、顾客满意率≧9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%；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每年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调查评价总分/调查家数×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80%+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业务维护×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2037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1、顾客满意率：9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2、顾客投诉处理及时有效率100%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投诉总数/处理闭环数×1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2037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2、客户投诉均为0次，客户投诉率为0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3、产品交付及时率1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采购产品按订单到货数/采购产品总数×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2037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3、产品交付及时率：100%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4、产品出厂一次交验合格率1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1-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（不在合格供方采购数）/采购总数×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2037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4、产品出厂一次交验合格率100%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、合格供方采购率1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按客户要求时间送达数量/订单总数×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2037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、合格供方采购率：1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0" w:type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、采购产品到货及时率1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每季度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出厂不合格退回数/出厂总数量×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供销科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、采购产品到货及时率：1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供销科岗位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before="0" w:after="0" w:line="360" w:lineRule="auto"/>
              <w:ind w:firstLine="420" w:firstLineChars="200"/>
              <w:jc w:val="both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本部门主要负责与顾客的沟通，接收客户订单；负责</w:t>
            </w:r>
            <w:r>
              <w:rPr>
                <w:rFonts w:hint="eastAsia" w:ascii="宋体" w:hAnsi="宋体" w:eastAsia="宋体" w:cs="Courier New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Courier New"/>
                <w:sz w:val="21"/>
                <w:szCs w:val="21"/>
                <w:lang w:val="en-US" w:eastAsia="zh-CN"/>
              </w:rPr>
              <w:t>采购工作，负责供方管理、采购过程中的不合格品管理，顾客投诉及处理撤回召回等工作。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43</w:t>
            </w:r>
            <w:r>
              <w:rPr>
                <w:rFonts w:hint="eastAsia"/>
              </w:rPr>
              <w:t>家；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合格供方名录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衢州市衢江区爱购农业科技有限公司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1330803MA28FQF9XN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SC10133080300120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报告编号：QDOJ22019569001，检测项目包括：铅、镉、汞、无机砷、六六六、滴滴涕、黄曲霉毒素B1、苯并芘等指标，检测结论：合格，检测单位：天祥（天津）质量技术服务有限公司青岛分公司；符合CCP-CL的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漳浦县达川食品有限公司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柠檬汁、荔枝汁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91350623156734799K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SC10635062300946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lang w:val="en-US" w:eastAsia="zh-CN"/>
                    </w:rPr>
                    <w:t>浓缩柠檬汁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【2022】XHY（F）-03661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厦门泓益检测有限公司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2022年3月23日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霉菌和酵母、大肠菌群、沙门氏菌、铅、镉、总砷等。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  <w:r>
                    <w:rPr>
                      <w:rFonts w:hint="eastAsia"/>
                      <w:lang w:val="en-US" w:eastAsia="zh-CN"/>
                    </w:rPr>
                    <w:t>，符合CL值的要求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lang w:val="en-US" w:eastAsia="zh-CN"/>
                    </w:rPr>
                    <w:t>荔枝原浆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【2022】XHY（F）-04370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厦门泓益检测有限公司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2022年4月21日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霉菌和酵母、大肠菌群、沙门氏菌、铅、镉、总砷、菌落总数等。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  <w:r>
                    <w:rPr>
                      <w:rFonts w:hint="eastAsia"/>
                      <w:lang w:val="en-US" w:eastAsia="zh-CN"/>
                    </w:rPr>
                    <w:t>，符合CL值的要求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</w:pPr>
          </w:p>
          <w:p>
            <w:pPr>
              <w:pStyle w:val="1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章静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胡萝卜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身份证号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330183199009021128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lang w:val="en-US" w:eastAsia="zh-CN"/>
                    </w:rPr>
                    <w:t>胡萝卜粉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AR-22-SU-083596-02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欧陆分析技术服务（苏州）有限公司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2022年9月15日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邻苯二甲酰胺、灭菌丹、噻虫胺、乐果、噻虫啉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等。——</w:t>
                  </w:r>
                  <w:r>
                    <w:rPr>
                      <w:rFonts w:hint="eastAsia"/>
                      <w:lang w:val="en-US" w:eastAsia="zh-CN"/>
                    </w:rPr>
                    <w:t>符合CL值的要求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  <w:r>
                    <w:rPr>
                      <w:rFonts w:hint="eastAsia"/>
                      <w:lang w:val="en-US" w:eastAsia="zh-CN"/>
                    </w:rPr>
                    <w:t>，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有签订《农产品供货质量安全协议》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抽查桃子的供方（沂水县栀子山果品专业合作社）、决明子的供方（张明新），控制方式同胡萝卜，未见异常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yellow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蒸馏酒（伏特加）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青岛诗朗食品科技有限公司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玻璃瓶 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浙江华兴玻璃有限公司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碳酸钙 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河南鑫洋钙业有限公司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铝盖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青岛泷友制盖有限公司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白葡萄香精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森馨香精色素有限公司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麦芽糊精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山东西王糖业有限公司</w:t>
            </w:r>
            <w:r>
              <w:rPr>
                <w:rFonts w:hint="eastAsia"/>
                <w:u w:val="none"/>
                <w:lang w:val="en-US" w:eastAsia="zh-CN"/>
              </w:rPr>
              <w:t>；蜂蜜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上海冠生园蜂制品有限公司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葡萄干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新疆吐鲁番果业有限公司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铝箔压花片封口膜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江阴市花园铝塑包装有限公司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红色封口铝箔杯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浙江金信包装股份有限公司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PET 网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浙江天台捷融新材料有限公司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茶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厦门茶叶进出口有限公司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咖啡豆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牧星匠咖啡（上海）有限公司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虫害消杀服务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浙江护城环境科技有限公司【签订有服务协议</w:t>
            </w:r>
            <w:bookmarkStart w:id="0" w:name="_GoBack"/>
            <w:bookmarkEnd w:id="0"/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】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过氧化氢（食品级）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河南惠泽生物工程有限公司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燃气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浙江安顺能源有限公司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【签订有协议】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，与上述结论一致。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 w:fill="FFFFFF"/>
              </w:rPr>
              <w:t>查重要供方的评价记录名称：《供</w:t>
            </w:r>
            <w:r>
              <w:rPr>
                <w:u w:val="single"/>
                <w:shd w:val="pct10" w:color="auto" w:fill="FFFFFF"/>
              </w:rPr>
              <w:t>应</w:t>
            </w:r>
            <w:r>
              <w:rPr>
                <w:rFonts w:hint="eastAsia"/>
                <w:u w:val="single"/>
                <w:shd w:val="pct10" w:color="auto" w:fill="FFFFFF"/>
              </w:rPr>
              <w:t>商评定记录</w:t>
            </w:r>
            <w:r>
              <w:rPr>
                <w:u w:val="single"/>
                <w:shd w:val="pct10" w:color="auto" w:fill="FFFFFF"/>
              </w:rPr>
              <w:t>表</w:t>
            </w:r>
            <w:r>
              <w:rPr>
                <w:rFonts w:hint="eastAsia"/>
                <w:u w:val="single"/>
                <w:shd w:val="pct10" w:color="auto" w:fill="FFFFFF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衢州市衢江区爱购农业科技有限公司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青岛诗朗食品科技有限公司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蒸馏酒（伏特加）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浙江华兴玻璃有限公司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玻璃瓶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u w:val="single"/>
              </w:rPr>
            </w:pPr>
          </w:p>
          <w:p>
            <w:pPr>
              <w:pStyle w:val="2"/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河南鑫洋钙业有限公司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碳酸钙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u w:val="single"/>
              </w:rPr>
            </w:pPr>
          </w:p>
          <w:p>
            <w:pPr>
              <w:pStyle w:val="12"/>
              <w:rPr>
                <w:rFonts w:hint="default"/>
                <w:highlight w:val="yellow"/>
                <w:u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highlight w:val="yellow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同时抽取 </w:t>
            </w:r>
            <w:r>
              <w:rPr>
                <w:rFonts w:hint="eastAsia"/>
                <w:u w:val="single"/>
                <w:lang w:val="en-US" w:eastAsia="zh-CN"/>
              </w:rPr>
              <w:t xml:space="preserve">麦芽糊精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山东西王糖业有限公司</w:t>
            </w:r>
            <w:r>
              <w:rPr>
                <w:rFonts w:hint="eastAsia"/>
                <w:u w:val="none"/>
                <w:lang w:val="en-US" w:eastAsia="zh-CN"/>
              </w:rPr>
              <w:t>；蜂蜜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上海冠生园蜂制品有限公司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葡萄干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新疆吐鲁番果业有限公司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铝箔压花片封口膜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江阴市花园铝塑包装有限公司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红色封口铝箔杯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浙江金信包装股份有限公司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茶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厦门茶叶进出口有限公司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咖啡豆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牧星匠咖啡（上海）有限公司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【外检报告检测项目符合CL值的要求】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，与上述供方的评价方式相同，结论：有效。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u w:val="none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花生、红枣、枸杞、内包材等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添加剂库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碳酸钙、使用香精等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预防食品欺诈控制程序》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建立并保持了《预防食品欺诈控制程序》，收集了有关供应链食品欺诈的以往和现存威胁信息，对原辅料进行了脆弱性评估，形成了《脆弱性风险评估及控制措施方案》，等，具体见——《HACCP小组审核记录》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过评估，如大米、荔枝汁、浓缩柠檬汁、蒸馏酒、乌龙茶经过评估综合等级为中级，通过方案二，“来自合格供方、按公司质量验收标准进行检验、原料的第三方检测报告”方式进行控制，此方式抽查已经控制，按照3.5条款实施，基本满足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 xml:space="preserve">沟通  </w:t>
            </w:r>
          </w:p>
        </w:tc>
        <w:tc>
          <w:tcPr>
            <w:tcW w:w="941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pPr>
              <w:pStyle w:val="1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2.5.</w:t>
            </w:r>
            <w:r>
              <w:rPr>
                <w:rFonts w:hint="eastAsia"/>
                <w:highlight w:val="none"/>
                <w:lang w:val="en-US" w:eastAsia="zh-CN"/>
              </w:rPr>
              <w:t>2.3</w:t>
            </w:r>
          </w:p>
          <w:p/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86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2.5.2.3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160" w:type="dxa"/>
            <w:vMerge w:val="continue"/>
          </w:tcPr>
          <w:p/>
        </w:tc>
        <w:tc>
          <w:tcPr>
            <w:tcW w:w="941" w:type="dxa"/>
            <w:vMerge w:val="continue"/>
          </w:tcPr>
          <w:p/>
        </w:tc>
        <w:tc>
          <w:tcPr>
            <w:tcW w:w="74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86" w:type="dxa"/>
            <w:gridSpan w:val="2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与顾客的沟通一般由供销科负责。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下订单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其他——合同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电话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表单传递 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合同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ind w:left="0" w:firstLine="0" w:firstLineChars="0"/>
              <w:rPr>
                <w:rFonts w:hint="default"/>
                <w:lang w:val="en-US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物流运输过程：公司产品主要是根据客户订单进行排产，按照批订单方式，生产完毕检验合格后，由公司车辆进行配送至上海客户处，提供有《杭州海富植物有限公司 车辆运输检查表》，采用75%酒精喷洒消毒，每次使用完毕后对车辆进行卫生检查，抽查2022-06-03/2022-10-09，未见异常；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投诉处理</w:t>
            </w:r>
          </w:p>
        </w:tc>
        <w:tc>
          <w:tcPr>
            <w:tcW w:w="941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</w:t>
            </w:r>
            <w:r>
              <w:rPr>
                <w:rFonts w:hint="eastAsia"/>
                <w:lang w:val="en-US" w:eastAsia="zh-CN"/>
              </w:rPr>
              <w:t>5.2</w:t>
            </w:r>
          </w:p>
        </w:tc>
        <w:tc>
          <w:tcPr>
            <w:tcW w:w="749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86" w:type="dxa"/>
            <w:gridSpan w:val="2"/>
            <w:shd w:val="clear" w:color="auto" w:fill="FFFFFF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第5.2条款、</w:t>
            </w: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《投诉处理程序》</w:t>
            </w:r>
          </w:p>
        </w:tc>
        <w:tc>
          <w:tcPr>
            <w:tcW w:w="1673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60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941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749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86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1）抽查《顾客投诉处理单》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投诉日期：——年——月——日；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客户名称：——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投诉食品名称：——；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送货数量：——；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生产日期：——；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受理人:供——；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投诉问题:——；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原因分析：——；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处理意见：——；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处理结果：——。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负责人表示审核周期内客户未发生投诉等情况；未发生撤回召回情况，参加公司组织的撤回召回演练，具体见生产科审核记录</w:t>
            </w:r>
          </w:p>
        </w:tc>
        <w:tc>
          <w:tcPr>
            <w:tcW w:w="1673" w:type="dxa"/>
            <w:vMerge w:val="continue"/>
            <w:shd w:val="clear" w:color="auto" w:fill="FFFFFF"/>
            <w:noWrap w:val="0"/>
            <w:vAlign w:val="top"/>
          </w:tcPr>
          <w:p/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9E1538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3A744C"/>
    <w:rsid w:val="078608E3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4F621B"/>
    <w:rsid w:val="1DAE3E96"/>
    <w:rsid w:val="1DC4038A"/>
    <w:rsid w:val="1DF36090"/>
    <w:rsid w:val="1DFE25B1"/>
    <w:rsid w:val="1E210760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7927DF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D60481"/>
    <w:rsid w:val="2BDB113E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B73133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8C35DF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0A18D9"/>
    <w:rsid w:val="44250932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00670"/>
    <w:rsid w:val="46611485"/>
    <w:rsid w:val="468D2C1F"/>
    <w:rsid w:val="468D3CA5"/>
    <w:rsid w:val="46A51AB4"/>
    <w:rsid w:val="46EA7997"/>
    <w:rsid w:val="470243E7"/>
    <w:rsid w:val="471609F0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552FC1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47F73C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54481E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CF91FAF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7</TotalTime>
  <ScaleCrop>false</ScaleCrop>
  <LinksUpToDate>false</LinksUpToDate>
  <CharactersWithSpaces>2926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2022-11-21T08:51:19Z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B37AC131AE2C4206A0357630826B5439</vt:lpwstr>
  </property>
</Properties>
</file>