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113"/>
        <w:gridCol w:w="1070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1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eastAsia="zh-CN"/>
              </w:rPr>
            </w:pPr>
            <w:r>
              <w:rPr>
                <w:rFonts w:hint="eastAsia"/>
                <w:sz w:val="24"/>
                <w:szCs w:val="24"/>
              </w:rPr>
              <w:t>受审核部门：</w:t>
            </w:r>
            <w:r>
              <w:rPr>
                <w:rFonts w:hint="eastAsia"/>
                <w:sz w:val="24"/>
                <w:szCs w:val="24"/>
                <w:lang w:eastAsia="zh-CN"/>
              </w:rPr>
              <w:t>管理层、安全事务代表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丁玲</w:t>
            </w:r>
            <w:bookmarkEnd w:id="0"/>
            <w:r>
              <w:rPr>
                <w:rFonts w:hint="eastAsia"/>
                <w:sz w:val="24"/>
                <w:szCs w:val="24"/>
                <w:lang w:val="en-US" w:eastAsia="zh-CN"/>
              </w:rPr>
              <w:t xml:space="preserve"> 杨逸安  </w:t>
            </w:r>
            <w:r>
              <w:rPr>
                <w:rFonts w:hint="eastAsia"/>
                <w:sz w:val="24"/>
                <w:szCs w:val="24"/>
              </w:rPr>
              <w:t>陪同人员：</w:t>
            </w:r>
            <w:r>
              <w:rPr>
                <w:rFonts w:hint="eastAsia"/>
                <w:sz w:val="24"/>
                <w:szCs w:val="24"/>
                <w:lang w:eastAsia="zh-CN"/>
              </w:rPr>
              <w:t>徐招娣</w:t>
            </w:r>
          </w:p>
        </w:tc>
        <w:tc>
          <w:tcPr>
            <w:tcW w:w="8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Merge w:val="continue"/>
            <w:vAlign w:val="center"/>
          </w:tcPr>
          <w:p/>
        </w:tc>
        <w:tc>
          <w:tcPr>
            <w:tcW w:w="1113" w:type="dxa"/>
            <w:vMerge w:val="continue"/>
            <w:vAlign w:val="center"/>
          </w:tcPr>
          <w:p/>
        </w:tc>
        <w:tc>
          <w:tcPr>
            <w:tcW w:w="1070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szCs w:val="24"/>
              </w:rPr>
              <w:t>审核员：</w:t>
            </w:r>
            <w:r>
              <w:rPr>
                <w:rFonts w:hint="eastAsia"/>
                <w:sz w:val="24"/>
                <w:szCs w:val="24"/>
                <w:lang w:eastAsia="zh-CN"/>
              </w:rPr>
              <w:t>褚敏杰</w:t>
            </w:r>
            <w:r>
              <w:rPr>
                <w:rFonts w:hint="eastAsia"/>
                <w:sz w:val="24"/>
                <w:szCs w:val="24"/>
                <w:lang w:val="en-US" w:eastAsia="zh-CN"/>
              </w:rPr>
              <w:t xml:space="preserve">                        </w:t>
            </w:r>
            <w:r>
              <w:rPr>
                <w:rFonts w:hint="eastAsia"/>
                <w:sz w:val="24"/>
                <w:szCs w:val="24"/>
                <w:lang w:eastAsia="zh-CN"/>
              </w:rPr>
              <w:t>审核时间：</w:t>
            </w:r>
            <w:bookmarkStart w:id="1" w:name="审核日期"/>
            <w:r>
              <w:rPr>
                <w:rFonts w:hint="eastAsia"/>
                <w:sz w:val="24"/>
                <w:szCs w:val="24"/>
                <w:lang w:eastAsia="zh-CN"/>
              </w:rPr>
              <w:t>2022年11月15日</w:t>
            </w:r>
            <w:bookmarkEnd w:id="1"/>
          </w:p>
        </w:tc>
        <w:tc>
          <w:tcPr>
            <w:tcW w:w="8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Merge w:val="continue"/>
            <w:vAlign w:val="center"/>
          </w:tcPr>
          <w:p/>
        </w:tc>
        <w:tc>
          <w:tcPr>
            <w:tcW w:w="1113" w:type="dxa"/>
            <w:vMerge w:val="continue"/>
            <w:vAlign w:val="center"/>
          </w:tcPr>
          <w:p/>
        </w:tc>
        <w:tc>
          <w:tcPr>
            <w:tcW w:w="10700"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baseline"/>
              <w:rPr>
                <w:rFonts w:hint="eastAsia" w:ascii="宋体" w:hAnsi="宋体" w:cs="Arial"/>
                <w:sz w:val="21"/>
                <w:szCs w:val="21"/>
              </w:rPr>
            </w:pPr>
            <w:r>
              <w:rPr>
                <w:rFonts w:hint="eastAsia" w:ascii="宋体" w:hAnsi="宋体" w:cs="Arial"/>
                <w:sz w:val="21"/>
                <w:szCs w:val="21"/>
              </w:rPr>
              <w:t>QEO:4.1理解组织及其环境、4.2理解相关方的需求和期望、4.3确定管理体系的范围、4.4管理体系及其过程、5.1领导作用和承诺、5.2方针、5.3组织的岗位、职责和权限、6.1应对风险和机遇的措施、6.2目标及其实现的策划、7.1资源、</w:t>
            </w:r>
            <w:r>
              <w:rPr>
                <w:rFonts w:hint="eastAsia" w:ascii="宋体" w:hAnsi="宋体" w:cs="Arial"/>
                <w:sz w:val="21"/>
                <w:szCs w:val="21"/>
                <w:lang w:val="en-US" w:eastAsia="zh-CN"/>
              </w:rPr>
              <w:t>7.4信息交流、</w:t>
            </w:r>
            <w:r>
              <w:rPr>
                <w:rFonts w:hint="eastAsia" w:ascii="宋体" w:hAnsi="宋体" w:cs="Arial"/>
                <w:sz w:val="21"/>
                <w:szCs w:val="21"/>
              </w:rPr>
              <w:t>9.3管理评审、10.1改进、10.3持续改进</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baseline"/>
              <w:rPr>
                <w:rFonts w:hint="eastAsia" w:ascii="宋体" w:hAnsi="宋体" w:cs="Arial"/>
                <w:sz w:val="21"/>
                <w:szCs w:val="21"/>
                <w:lang w:eastAsia="zh-CN"/>
              </w:rPr>
            </w:pPr>
            <w:r>
              <w:rPr>
                <w:rFonts w:hint="eastAsia" w:ascii="宋体" w:hAnsi="宋体" w:cs="Arial"/>
                <w:sz w:val="21"/>
                <w:szCs w:val="21"/>
              </w:rPr>
              <w:t>Q6.3变更的策划、8.3</w:t>
            </w:r>
            <w:r>
              <w:rPr>
                <w:rFonts w:hint="eastAsia" w:ascii="宋体" w:hAnsi="宋体" w:cs="Arial"/>
                <w:sz w:val="21"/>
                <w:szCs w:val="21"/>
                <w:lang w:eastAsia="zh-CN"/>
              </w:rPr>
              <w:t>删减确认</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baseline"/>
              <w:rPr>
                <w:rFonts w:hint="eastAsia" w:ascii="宋体" w:hAnsi="宋体" w:cs="Arial"/>
                <w:sz w:val="21"/>
                <w:szCs w:val="21"/>
              </w:rPr>
            </w:pPr>
            <w:r>
              <w:rPr>
                <w:rFonts w:hint="eastAsia" w:ascii="宋体" w:hAnsi="宋体" w:cs="Arial"/>
                <w:sz w:val="21"/>
                <w:szCs w:val="21"/>
              </w:rPr>
              <w:t>O5.4协商与参与</w:t>
            </w:r>
          </w:p>
          <w:p>
            <w:pPr>
              <w:rPr>
                <w:rFonts w:hint="eastAsia"/>
                <w:sz w:val="24"/>
                <w:szCs w:val="24"/>
              </w:rPr>
            </w:pPr>
            <w:r>
              <w:rPr>
                <w:rFonts w:hint="eastAsia" w:ascii="宋体" w:hAnsi="宋体" w:cs="Arial"/>
                <w:sz w:val="21"/>
                <w:szCs w:val="21"/>
              </w:rPr>
              <w:t>标准/规范/法规的执行情况、</w:t>
            </w:r>
            <w:r>
              <w:rPr>
                <w:rFonts w:hint="eastAsia" w:ascii="宋体" w:hAnsi="宋体" w:cs="Arial"/>
                <w:sz w:val="21"/>
                <w:szCs w:val="21"/>
                <w:lang w:eastAsia="zh-CN"/>
              </w:rPr>
              <w:t>一阶段</w:t>
            </w:r>
            <w:r>
              <w:rPr>
                <w:rFonts w:hint="eastAsia" w:ascii="宋体" w:hAnsi="宋体" w:cs="Arial"/>
                <w:sz w:val="21"/>
                <w:szCs w:val="21"/>
              </w:rPr>
              <w:t>审核不符合项的验证、认证证书、标志的使用情况、投诉或事故、监督抽查情况、体系变动</w:t>
            </w:r>
          </w:p>
        </w:tc>
        <w:tc>
          <w:tcPr>
            <w:tcW w:w="8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Cs w:val="21"/>
              </w:rPr>
              <w:t>理解组织及其环境</w:t>
            </w:r>
          </w:p>
        </w:tc>
        <w:tc>
          <w:tcPr>
            <w:tcW w:w="1113"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Cs w:val="21"/>
              </w:rPr>
              <w:t>QEO:4.1</w:t>
            </w:r>
          </w:p>
        </w:tc>
        <w:tc>
          <w:tcPr>
            <w:tcW w:w="10700" w:type="dxa"/>
            <w:vAlign w:val="top"/>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南昌固特家具制造有限责任公司成立于2010年11月25日，注册资金2000万元；</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注册地址：江西省南昌市经济技术开发区高椅山二路558号；</w:t>
            </w:r>
          </w:p>
          <w:p>
            <w:pPr>
              <w:spacing w:line="360" w:lineRule="auto"/>
              <w:ind w:firstLine="420" w:firstLineChars="200"/>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经营地址：</w:t>
            </w:r>
            <w:r>
              <w:rPr>
                <w:rFonts w:hint="eastAsia" w:ascii="Times New Roman" w:hAnsi="Times New Roman" w:eastAsia="宋体" w:cs="Times New Roman"/>
                <w:szCs w:val="22"/>
              </w:rPr>
              <w:t>江西省南昌市经济技术开发区高椅山二路558号；</w:t>
            </w:r>
          </w:p>
          <w:p>
            <w:pPr>
              <w:spacing w:line="360" w:lineRule="auto"/>
              <w:ind w:firstLine="420" w:firstLineChars="200"/>
              <w:rPr>
                <w:rFonts w:hint="eastAsia"/>
                <w:szCs w:val="22"/>
              </w:rPr>
            </w:pPr>
            <w:r>
              <w:rPr>
                <w:rFonts w:hint="eastAsia"/>
                <w:szCs w:val="22"/>
              </w:rPr>
              <w:t>营业执照经营范围：一般项目：家具制造，家具安装和维修服务，第一类医疗器械生产，第一类医疗器械销售，第二类医疗器械销售，门窗制造加工，金属结构制造，金属制品销售，安全、消防用金属制品制造，办公用品销售，金属门窗工程施工，金属制日用品制造，安防设备制造，金属链条及其他金属制品制造，计算机软硬件及外围设备制造，医护人员防护用品零售，卫生用品和一次性使用医疗用品销售，医护人员防护用品生产（Ⅰ类医疗器械），安全系统监控服务，信息安全设备制造，信息系统集成服务，电机制造，软件开发，智能控制系统集成（除许可业务外，可自主依法经营法律法规非禁止或限制的项目）</w:t>
            </w:r>
          </w:p>
          <w:p>
            <w:pPr>
              <w:spacing w:line="360" w:lineRule="auto"/>
              <w:ind w:firstLine="420" w:firstLineChars="200"/>
              <w:rPr>
                <w:szCs w:val="22"/>
              </w:rPr>
            </w:pPr>
            <w:r>
              <w:rPr>
                <w:rFonts w:hint="eastAsia"/>
                <w:szCs w:val="22"/>
              </w:rPr>
              <w:t>统一社会信用代码：91360108563845410G</w:t>
            </w:r>
          </w:p>
          <w:p>
            <w:pPr>
              <w:spacing w:line="360" w:lineRule="auto"/>
              <w:ind w:firstLine="420" w:firstLineChars="200"/>
              <w:rPr>
                <w:szCs w:val="22"/>
              </w:rPr>
            </w:pPr>
            <w:r>
              <w:rPr>
                <w:rFonts w:hint="eastAsia"/>
                <w:szCs w:val="22"/>
              </w:rPr>
              <w:t>经营范围覆盖了体系认证范围.</w:t>
            </w:r>
          </w:p>
          <w:p>
            <w:pPr>
              <w:spacing w:line="360" w:lineRule="auto"/>
              <w:ind w:firstLine="420" w:firstLineChars="200"/>
              <w:rPr>
                <w:szCs w:val="22"/>
              </w:rPr>
            </w:pPr>
            <w:r>
              <w:rPr>
                <w:rFonts w:hint="eastAsia"/>
                <w:szCs w:val="22"/>
              </w:rPr>
              <w:t>组织机构：</w:t>
            </w:r>
            <w:r>
              <w:rPr>
                <w:rFonts w:hint="eastAsia"/>
                <w:szCs w:val="22"/>
                <w:lang w:eastAsia="zh-CN"/>
              </w:rPr>
              <w:t>行政部</w:t>
            </w:r>
            <w:r>
              <w:rPr>
                <w:rFonts w:hint="eastAsia"/>
                <w:szCs w:val="22"/>
              </w:rPr>
              <w:t>、生产部、</w:t>
            </w:r>
            <w:r>
              <w:rPr>
                <w:rFonts w:hint="eastAsia"/>
                <w:szCs w:val="22"/>
                <w:lang w:eastAsia="zh-CN"/>
              </w:rPr>
              <w:t>供销</w:t>
            </w:r>
            <w:r>
              <w:rPr>
                <w:rFonts w:hint="eastAsia"/>
                <w:szCs w:val="22"/>
              </w:rPr>
              <w:t>部</w:t>
            </w:r>
          </w:p>
          <w:p>
            <w:pPr>
              <w:spacing w:line="360" w:lineRule="auto"/>
              <w:ind w:firstLine="420" w:firstLineChars="200"/>
              <w:rPr>
                <w:szCs w:val="22"/>
              </w:rPr>
            </w:pPr>
            <w:r>
              <w:rPr>
                <w:rFonts w:hint="eastAsia"/>
                <w:szCs w:val="22"/>
              </w:rPr>
              <w:t>公司在职人员共4</w:t>
            </w:r>
            <w:r>
              <w:rPr>
                <w:rFonts w:hint="eastAsia"/>
                <w:szCs w:val="22"/>
                <w:lang w:val="en-US" w:eastAsia="zh-CN"/>
              </w:rPr>
              <w:t>0</w:t>
            </w:r>
            <w:r>
              <w:rPr>
                <w:rFonts w:hint="eastAsia"/>
                <w:szCs w:val="22"/>
              </w:rPr>
              <w:t>人，建立有员工花名册；</w:t>
            </w:r>
          </w:p>
          <w:p>
            <w:pPr>
              <w:spacing w:line="360" w:lineRule="auto"/>
              <w:ind w:firstLine="420" w:firstLineChars="200"/>
              <w:rPr>
                <w:szCs w:val="22"/>
              </w:rPr>
            </w:pPr>
            <w:r>
              <w:rPr>
                <w:rFonts w:hint="eastAsia"/>
                <w:szCs w:val="22"/>
                <w:lang w:eastAsia="zh-CN"/>
              </w:rPr>
              <w:t>主要生产设备：</w:t>
            </w:r>
            <w:r>
              <w:rPr>
                <w:rFonts w:hint="eastAsia"/>
                <w:szCs w:val="22"/>
              </w:rPr>
              <w:t>数控冲床、激光切割机、折弯机、电焊机、喷涂流水线等；</w:t>
            </w:r>
          </w:p>
          <w:p>
            <w:pPr>
              <w:spacing w:line="360" w:lineRule="auto"/>
              <w:ind w:firstLine="420" w:firstLineChars="200"/>
              <w:rPr>
                <w:szCs w:val="22"/>
              </w:rPr>
            </w:pPr>
            <w:r>
              <w:rPr>
                <w:rFonts w:hint="eastAsia"/>
                <w:szCs w:val="22"/>
              </w:rPr>
              <w:t>计量器具有</w:t>
            </w:r>
            <w:r>
              <w:rPr>
                <w:rFonts w:hint="eastAsia"/>
                <w:szCs w:val="22"/>
                <w:lang w:eastAsia="zh-CN"/>
              </w:rPr>
              <w:t>：</w:t>
            </w:r>
            <w:r>
              <w:rPr>
                <w:rFonts w:hint="eastAsia"/>
                <w:szCs w:val="22"/>
              </w:rPr>
              <w:t>千分尺、数显卡尺、卷尺、钢直尺、塞尺等；</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cs="Times New Roman"/>
                <w:szCs w:val="22"/>
                <w:lang w:val="en-US" w:eastAsia="zh-CN"/>
              </w:rPr>
              <w:t>环保设备：除尘装置、消防设备设施等；</w:t>
            </w:r>
          </w:p>
          <w:p>
            <w:pPr>
              <w:spacing w:line="360" w:lineRule="auto"/>
              <w:ind w:firstLine="420" w:firstLineChars="200"/>
              <w:rPr>
                <w:szCs w:val="22"/>
              </w:rPr>
            </w:pPr>
            <w:r>
              <w:rPr>
                <w:rFonts w:hint="eastAsia"/>
                <w:szCs w:val="22"/>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eastAsia="宋体"/>
                <w:szCs w:val="22"/>
                <w:lang w:eastAsia="zh-CN"/>
              </w:rPr>
            </w:pPr>
            <w:r>
              <w:rPr>
                <w:rFonts w:hint="eastAsia"/>
                <w:szCs w:val="22"/>
              </w:rPr>
              <w:t>外部因素有</w:t>
            </w:r>
            <w:r>
              <w:rPr>
                <w:rFonts w:hint="eastAsia"/>
                <w:szCs w:val="22"/>
                <w:lang w:eastAsia="zh-CN"/>
              </w:rPr>
              <w:t>—</w:t>
            </w:r>
            <w:r>
              <w:rPr>
                <w:rFonts w:hint="eastAsia"/>
                <w:szCs w:val="22"/>
              </w:rPr>
              <w:t>经济景气系数影响，信息化和智能化成为趋势；</w:t>
            </w:r>
            <w:r>
              <w:rPr>
                <w:rFonts w:hint="eastAsia"/>
                <w:szCs w:val="22"/>
                <w:lang w:eastAsia="zh-CN"/>
              </w:rPr>
              <w:t>金属家具</w:t>
            </w:r>
            <w:r>
              <w:rPr>
                <w:szCs w:val="22"/>
              </w:rPr>
              <w:t>行业持续新建发展带来的机遇，安全环保的法规和政府对生产加工业的环保性、安全性和质量提出了越来越高的要求，行业有着非常大的提升空间，并取得迅速的发展</w:t>
            </w:r>
            <w:r>
              <w:rPr>
                <w:rFonts w:hint="eastAsia"/>
                <w:szCs w:val="22"/>
                <w:lang w:eastAsia="zh-CN"/>
              </w:rPr>
              <w:t>；</w:t>
            </w:r>
          </w:p>
          <w:p>
            <w:pPr>
              <w:spacing w:line="360" w:lineRule="auto"/>
              <w:ind w:firstLine="420" w:firstLineChars="200"/>
              <w:rPr>
                <w:szCs w:val="22"/>
              </w:rPr>
            </w:pPr>
            <w:r>
              <w:rPr>
                <w:rFonts w:hint="eastAsia"/>
                <w:szCs w:val="22"/>
              </w:rPr>
              <w:t>内部因素有-公司持续建立和运行管理体系，有良好的管理基础；人员较为稳定，</w:t>
            </w:r>
            <w:r>
              <w:rPr>
                <w:szCs w:val="22"/>
              </w:rPr>
              <w:t>公司的人员均为有多年生产实践经验和质检及相关岗位管理工作经验</w:t>
            </w:r>
            <w:r>
              <w:rPr>
                <w:rFonts w:hint="eastAsia"/>
                <w:szCs w:val="22"/>
              </w:rPr>
              <w:t>；</w:t>
            </w:r>
            <w:r>
              <w:rPr>
                <w:szCs w:val="22"/>
              </w:rPr>
              <w:t>生产技术人员全部经过技能/合规性培训，业务熟练，质量意识</w:t>
            </w:r>
            <w:r>
              <w:rPr>
                <w:rFonts w:hint="eastAsia"/>
                <w:szCs w:val="22"/>
              </w:rPr>
              <w:t>、</w:t>
            </w:r>
            <w:r>
              <w:rPr>
                <w:szCs w:val="22"/>
              </w:rPr>
              <w:t>环境保护意识</w:t>
            </w:r>
            <w:r>
              <w:rPr>
                <w:rFonts w:hint="eastAsia"/>
                <w:szCs w:val="22"/>
              </w:rPr>
              <w:t>、职业健康安全意识</w:t>
            </w:r>
            <w:r>
              <w:rPr>
                <w:szCs w:val="22"/>
              </w:rPr>
              <w:t>较强。</w:t>
            </w:r>
          </w:p>
          <w:p>
            <w:pPr>
              <w:spacing w:line="360" w:lineRule="auto"/>
              <w:ind w:firstLine="420" w:firstLineChars="200"/>
              <w:rPr>
                <w:szCs w:val="22"/>
              </w:rPr>
            </w:pPr>
            <w:r>
              <w:rPr>
                <w:rFonts w:hint="eastAsia"/>
                <w:szCs w:val="22"/>
              </w:rPr>
              <w:t>这些因素包括了需要考虑的正面和负面因素或条件。</w:t>
            </w:r>
          </w:p>
          <w:p>
            <w:pPr>
              <w:spacing w:line="360" w:lineRule="auto"/>
              <w:ind w:firstLine="420" w:firstLineChars="200"/>
              <w:rPr>
                <w:rFonts w:ascii="宋体" w:hAnsi="宋体" w:eastAsia="宋体" w:cs="Arial"/>
                <w:spacing w:val="-6"/>
                <w:kern w:val="2"/>
                <w:sz w:val="21"/>
                <w:szCs w:val="21"/>
                <w:lang w:val="en-US" w:eastAsia="zh-CN" w:bidi="ar-SA"/>
              </w:rPr>
            </w:pPr>
            <w:r>
              <w:rPr>
                <w:rFonts w:hint="eastAsia"/>
                <w:szCs w:val="22"/>
              </w:rPr>
              <w:t>公司每年根据由公司销售人员从市场、客户、网络等搜集到的信息并结合公司自身业务运作情况进行分析，通过分析对这些内部和外部因素的相关信息进行监视和评审以确保其充分和适宜。</w:t>
            </w:r>
          </w:p>
        </w:tc>
        <w:tc>
          <w:tcPr>
            <w:tcW w:w="889"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Align w:val="top"/>
          </w:tcPr>
          <w:p>
            <w:pPr>
              <w:rPr>
                <w:rFonts w:ascii="Times New Roman" w:hAnsi="Times New Roman" w:eastAsia="宋体" w:cs="Times New Roman"/>
                <w:kern w:val="2"/>
                <w:sz w:val="21"/>
                <w:lang w:val="en-US" w:eastAsia="zh-CN" w:bidi="ar-SA"/>
              </w:rPr>
            </w:pPr>
            <w:r>
              <w:rPr>
                <w:rFonts w:hint="eastAsia" w:ascii="宋体" w:hAnsi="宋体" w:eastAsia="宋体" w:cs="Arial"/>
                <w:spacing w:val="-6"/>
                <w:szCs w:val="21"/>
              </w:rPr>
              <w:t>理解相关方的需求和期望</w:t>
            </w:r>
          </w:p>
        </w:tc>
        <w:tc>
          <w:tcPr>
            <w:tcW w:w="1113"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Cs w:val="21"/>
              </w:rPr>
              <w:t>QEO:4.2</w:t>
            </w:r>
          </w:p>
        </w:tc>
        <w:tc>
          <w:tcPr>
            <w:tcW w:w="10700" w:type="dxa"/>
            <w:vAlign w:val="top"/>
          </w:tcPr>
          <w:p>
            <w:pPr>
              <w:spacing w:line="360" w:lineRule="auto"/>
              <w:ind w:firstLine="420" w:firstLineChars="200"/>
              <w:rPr>
                <w:szCs w:val="22"/>
              </w:rPr>
            </w:pPr>
            <w:r>
              <w:rPr>
                <w:rFonts w:hint="eastAsia"/>
                <w:szCs w:val="22"/>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420" w:firstLineChars="200"/>
              <w:rPr>
                <w:szCs w:val="22"/>
              </w:rPr>
            </w:pPr>
            <w:r>
              <w:rPr>
                <w:szCs w:val="22"/>
              </w:rPr>
              <w:t>相关方对企业的要求有：遵守国家的现行法律法规、保持有效的资质、生产的产品节能环保，对环境无重大污染、无安全隐患、不断提高技术水平以及不断提高客户满意度等。</w:t>
            </w:r>
          </w:p>
          <w:p>
            <w:pPr>
              <w:spacing w:line="360" w:lineRule="auto"/>
              <w:ind w:firstLine="420" w:firstLineChars="200"/>
              <w:rPr>
                <w:rFonts w:ascii="Times New Roman" w:hAnsi="Times New Roman" w:eastAsia="宋体" w:cs="Times New Roman"/>
                <w:kern w:val="2"/>
                <w:sz w:val="21"/>
                <w:szCs w:val="22"/>
                <w:lang w:val="en-US" w:eastAsia="zh-CN" w:bidi="ar-SA"/>
              </w:rPr>
            </w:pPr>
            <w:r>
              <w:rPr>
                <w:szCs w:val="22"/>
              </w:rPr>
              <w:t>对这些相关方监事和评审的方法有：上级文件、标准和规范的获取、设备器具检定、沟通等。</w:t>
            </w:r>
          </w:p>
        </w:tc>
        <w:tc>
          <w:tcPr>
            <w:tcW w:w="889"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Align w:val="top"/>
          </w:tcPr>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应对风险和机遇的措施</w:t>
            </w:r>
          </w:p>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确定管理体系的范围</w:t>
            </w:r>
          </w:p>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质量/环境管理体系及其过程</w:t>
            </w:r>
          </w:p>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8.3删减合理性</w:t>
            </w:r>
          </w:p>
          <w:p>
            <w:pPr>
              <w:adjustRightInd w:val="0"/>
              <w:snapToGrid w:val="0"/>
              <w:spacing w:line="240" w:lineRule="auto"/>
              <w:ind w:right="105" w:rightChars="50"/>
              <w:textAlignment w:val="baseline"/>
              <w:rPr>
                <w:rFonts w:ascii="Times New Roman" w:hAnsi="Times New Roman" w:eastAsia="宋体" w:cs="Times New Roman"/>
                <w:kern w:val="2"/>
                <w:sz w:val="21"/>
                <w:lang w:val="en-US" w:eastAsia="zh-CN" w:bidi="ar-SA"/>
              </w:rPr>
            </w:pPr>
            <w:r>
              <w:rPr>
                <w:rFonts w:hint="eastAsia" w:ascii="宋体" w:hAnsi="宋体" w:eastAsia="宋体" w:cs="Arial"/>
                <w:spacing w:val="-6"/>
                <w:szCs w:val="21"/>
              </w:rPr>
              <w:t>变更的策划</w:t>
            </w:r>
          </w:p>
        </w:tc>
        <w:tc>
          <w:tcPr>
            <w:tcW w:w="1113" w:type="dxa"/>
            <w:vAlign w:val="top"/>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QEO:6.1</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QEO:4.3</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QEO:4.4</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Q:8.3</w:t>
            </w:r>
          </w:p>
          <w:p>
            <w:pPr>
              <w:rPr>
                <w:rFonts w:ascii="Times New Roman" w:hAnsi="Times New Roman" w:eastAsia="宋体" w:cs="Times New Roman"/>
                <w:kern w:val="2"/>
                <w:sz w:val="21"/>
                <w:lang w:val="en-US" w:eastAsia="zh-CN" w:bidi="ar-SA"/>
              </w:rPr>
            </w:pPr>
            <w:r>
              <w:rPr>
                <w:rFonts w:hint="eastAsia" w:ascii="宋体" w:hAnsi="宋体" w:cs="Arial"/>
                <w:spacing w:val="-6"/>
                <w:szCs w:val="21"/>
              </w:rPr>
              <w:t>Q:6.3</w:t>
            </w:r>
          </w:p>
        </w:tc>
        <w:tc>
          <w:tcPr>
            <w:tcW w:w="10700" w:type="dxa"/>
            <w:vAlign w:val="top"/>
          </w:tcPr>
          <w:p>
            <w:pPr>
              <w:spacing w:line="360" w:lineRule="auto"/>
              <w:ind w:firstLine="420" w:firstLineChars="200"/>
              <w:rPr>
                <w:szCs w:val="22"/>
              </w:rPr>
            </w:pPr>
            <w:r>
              <w:rPr>
                <w:rFonts w:hint="eastAsia"/>
                <w:szCs w:val="22"/>
              </w:rPr>
              <w:t>基于对4.1和4.2的考虑，分析了公司存在的风险和机遇：</w:t>
            </w:r>
          </w:p>
          <w:p>
            <w:pPr>
              <w:spacing w:line="360" w:lineRule="auto"/>
              <w:ind w:firstLine="420" w:firstLineChars="200"/>
              <w:rPr>
                <w:szCs w:val="22"/>
              </w:rPr>
            </w:pPr>
            <w:r>
              <w:rPr>
                <w:rFonts w:hint="eastAsia"/>
                <w:szCs w:val="22"/>
              </w:rPr>
              <w:t>机遇：</w:t>
            </w:r>
            <w:r>
              <w:rPr>
                <w:rFonts w:ascii="宋体" w:hAnsi="宋体" w:cs="Arial"/>
                <w:spacing w:val="-6"/>
                <w:szCs w:val="21"/>
              </w:rPr>
              <w:t>行业市场的规模化，市场需求量很大</w:t>
            </w:r>
            <w:r>
              <w:rPr>
                <w:rFonts w:hint="eastAsia" w:ascii="宋体" w:hAnsi="宋体" w:cs="Arial"/>
                <w:spacing w:val="-6"/>
                <w:szCs w:val="21"/>
              </w:rPr>
              <w:t>，</w:t>
            </w:r>
            <w:r>
              <w:rPr>
                <w:rFonts w:ascii="宋体" w:hAnsi="宋体" w:cs="Arial"/>
                <w:spacing w:val="-6"/>
                <w:szCs w:val="21"/>
              </w:rPr>
              <w:t>销售市场巨大，目前市场经济对企业有较好的推动作用</w:t>
            </w:r>
            <w:r>
              <w:rPr>
                <w:rFonts w:hint="eastAsia"/>
                <w:szCs w:val="22"/>
              </w:rPr>
              <w:t>。</w:t>
            </w:r>
          </w:p>
          <w:p>
            <w:pPr>
              <w:spacing w:line="360" w:lineRule="auto"/>
              <w:ind w:firstLine="420" w:firstLineChars="200"/>
              <w:rPr>
                <w:szCs w:val="22"/>
              </w:rPr>
            </w:pPr>
            <w:r>
              <w:rPr>
                <w:rFonts w:hint="eastAsia"/>
                <w:szCs w:val="22"/>
              </w:rPr>
              <w:t>风险：</w:t>
            </w:r>
            <w:r>
              <w:rPr>
                <w:rFonts w:ascii="宋体" w:hAnsi="宋体" w:cs="Arial"/>
                <w:spacing w:val="-6"/>
                <w:szCs w:val="21"/>
              </w:rPr>
              <w:t>同类产品竞争逐渐加剧</w:t>
            </w:r>
            <w:r>
              <w:rPr>
                <w:rFonts w:hint="eastAsia"/>
                <w:szCs w:val="22"/>
              </w:rPr>
              <w:t>。</w:t>
            </w:r>
          </w:p>
          <w:p>
            <w:pPr>
              <w:spacing w:line="360" w:lineRule="auto"/>
              <w:ind w:firstLine="420" w:firstLineChars="200"/>
              <w:rPr>
                <w:szCs w:val="22"/>
              </w:rPr>
            </w:pPr>
            <w:r>
              <w:rPr>
                <w:rFonts w:hint="eastAsia"/>
                <w:szCs w:val="22"/>
              </w:rPr>
              <w:t>公司高层对公司内外部风险和机遇进行了分析；策划了风险和机遇应对措施。</w:t>
            </w:r>
          </w:p>
          <w:p>
            <w:pPr>
              <w:spacing w:line="360" w:lineRule="auto"/>
              <w:ind w:firstLine="420" w:firstLineChars="200"/>
              <w:rPr>
                <w:szCs w:val="22"/>
              </w:rPr>
            </w:pPr>
            <w:r>
              <w:rPr>
                <w:rFonts w:hint="eastAsia"/>
                <w:szCs w:val="22"/>
              </w:rPr>
              <w:t>编制有《风险和机遇的应对控制程序》，对组织内外的风险和机遇进行了策划。</w:t>
            </w:r>
          </w:p>
          <w:p>
            <w:pPr>
              <w:spacing w:line="360" w:lineRule="auto"/>
              <w:ind w:firstLine="420" w:firstLineChars="200"/>
              <w:rPr>
                <w:szCs w:val="22"/>
              </w:rPr>
            </w:pPr>
            <w:r>
              <w:rPr>
                <w:rFonts w:hint="eastAsia"/>
                <w:szCs w:val="22"/>
              </w:rPr>
              <w:t>公司策划了业务流程：</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生产：</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切割下料——冲压——折弯——焊接——喷塑——组装包装——检验入库</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销售：</w:t>
            </w:r>
          </w:p>
          <w:p>
            <w:pPr>
              <w:spacing w:line="360" w:lineRule="auto"/>
              <w:ind w:firstLine="420" w:firstLineChars="200"/>
              <w:rPr>
                <w:szCs w:val="22"/>
              </w:rPr>
            </w:pPr>
            <w:r>
              <w:rPr>
                <w:rFonts w:hint="eastAsia" w:ascii="Times New Roman" w:hAnsi="Times New Roman" w:eastAsia="宋体" w:cs="Times New Roman"/>
                <w:szCs w:val="22"/>
                <w:lang w:val="en-US" w:eastAsia="zh-CN"/>
              </w:rPr>
              <w:t>产品要求信息获取——产品要求评审——签订合同——采购——质检——销售</w:t>
            </w:r>
          </w:p>
          <w:p>
            <w:pPr>
              <w:spacing w:line="360" w:lineRule="auto"/>
              <w:ind w:firstLine="420" w:firstLineChars="200"/>
              <w:rPr>
                <w:szCs w:val="22"/>
              </w:rPr>
            </w:pPr>
            <w:r>
              <w:rPr>
                <w:rFonts w:hint="eastAsia"/>
                <w:szCs w:val="22"/>
              </w:rPr>
              <w:t>基于业务流程，公司分析了重要环境因素和不可接受风险，并策划了控制措施：</w:t>
            </w:r>
          </w:p>
          <w:p>
            <w:pPr>
              <w:spacing w:line="360" w:lineRule="auto"/>
              <w:ind w:firstLine="420" w:firstLineChars="200"/>
              <w:rPr>
                <w:szCs w:val="22"/>
              </w:rPr>
            </w:pPr>
            <w:r>
              <w:rPr>
                <w:rFonts w:hint="eastAsia"/>
                <w:szCs w:val="22"/>
              </w:rPr>
              <w:t>重要环境因素：</w:t>
            </w:r>
            <w:r>
              <w:rPr>
                <w:rFonts w:hint="eastAsia" w:hAnsi="宋体"/>
                <w:szCs w:val="21"/>
              </w:rPr>
              <w:t>噪声排放</w:t>
            </w:r>
            <w:r>
              <w:rPr>
                <w:rFonts w:hint="eastAsia" w:hAnsi="宋体"/>
                <w:szCs w:val="21"/>
                <w:lang w:eastAsia="zh-CN"/>
              </w:rPr>
              <w:t>、</w:t>
            </w:r>
            <w:r>
              <w:rPr>
                <w:rFonts w:hint="eastAsia" w:hAnsi="宋体"/>
                <w:szCs w:val="21"/>
              </w:rPr>
              <w:t>潜在火灾、爆炸</w:t>
            </w:r>
            <w:r>
              <w:rPr>
                <w:rFonts w:hint="eastAsia" w:hAnsi="宋体"/>
                <w:szCs w:val="21"/>
                <w:lang w:eastAsia="zh-CN"/>
              </w:rPr>
              <w:t>、</w:t>
            </w:r>
            <w:r>
              <w:rPr>
                <w:rFonts w:hint="eastAsia" w:hAnsi="宋体"/>
                <w:szCs w:val="21"/>
              </w:rPr>
              <w:t>固废、废气排放；</w:t>
            </w:r>
          </w:p>
          <w:p>
            <w:pPr>
              <w:spacing w:line="360" w:lineRule="auto"/>
              <w:ind w:firstLine="420" w:firstLineChars="200"/>
              <w:rPr>
                <w:szCs w:val="22"/>
              </w:rPr>
            </w:pPr>
            <w:r>
              <w:rPr>
                <w:rFonts w:hint="eastAsia"/>
                <w:szCs w:val="22"/>
              </w:rPr>
              <w:t>通用措施——</w:t>
            </w:r>
          </w:p>
          <w:p>
            <w:pPr>
              <w:spacing w:line="360" w:lineRule="auto"/>
              <w:ind w:firstLine="420" w:firstLineChars="200"/>
              <w:rPr>
                <w:szCs w:val="22"/>
              </w:rPr>
            </w:pPr>
            <w:r>
              <w:rPr>
                <w:rFonts w:hint="eastAsia"/>
                <w:szCs w:val="22"/>
              </w:rPr>
              <w:t>制定目标、指标，编制运行控制文件，运行控制；一旦发生按相关应急预案执行。</w:t>
            </w:r>
          </w:p>
          <w:p>
            <w:pPr>
              <w:spacing w:line="360" w:lineRule="auto"/>
              <w:ind w:firstLine="420" w:firstLineChars="200"/>
              <w:rPr>
                <w:szCs w:val="22"/>
              </w:rPr>
            </w:pPr>
            <w:r>
              <w:rPr>
                <w:rFonts w:hint="eastAsia"/>
                <w:szCs w:val="22"/>
              </w:rPr>
              <w:t>固（危）废——</w:t>
            </w:r>
          </w:p>
          <w:p>
            <w:pPr>
              <w:spacing w:line="360" w:lineRule="auto"/>
              <w:ind w:firstLine="420" w:firstLineChars="200"/>
              <w:rPr>
                <w:szCs w:val="22"/>
              </w:rPr>
            </w:pPr>
            <w:r>
              <w:rPr>
                <w:rFonts w:hint="eastAsia"/>
                <w:szCs w:val="22"/>
              </w:rPr>
              <w:t>一般固废集中收集外售；危废</w:t>
            </w:r>
            <w:r>
              <w:rPr>
                <w:rFonts w:hint="eastAsia"/>
                <w:szCs w:val="22"/>
                <w:lang w:eastAsia="zh-CN"/>
              </w:rPr>
              <w:t>签订协议由有资质单位收处</w:t>
            </w:r>
            <w:r>
              <w:rPr>
                <w:rFonts w:hint="eastAsia"/>
                <w:szCs w:val="22"/>
              </w:rPr>
              <w:t>；</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szCs w:val="21"/>
              </w:rPr>
            </w:pPr>
            <w:r>
              <w:rPr>
                <w:rFonts w:hint="eastAsia" w:ascii="宋体" w:hAnsi="宋体" w:eastAsia="宋体" w:cs="Arial"/>
                <w:spacing w:val="-6"/>
                <w:szCs w:val="21"/>
              </w:rPr>
              <w:t>噪声——</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szCs w:val="21"/>
              </w:rPr>
            </w:pPr>
            <w:r>
              <w:rPr>
                <w:rFonts w:hint="eastAsia" w:ascii="宋体" w:hAnsi="宋体" w:eastAsia="宋体" w:cs="Arial"/>
                <w:spacing w:val="-6"/>
                <w:szCs w:val="21"/>
              </w:rPr>
              <w:t>选用低噪声设备，合理布局，隔声减震，厂房隔音</w:t>
            </w:r>
            <w:r>
              <w:rPr>
                <w:rFonts w:hint="eastAsia" w:ascii="宋体" w:hAnsi="宋体" w:eastAsia="宋体" w:cs="Arial"/>
                <w:spacing w:val="-6"/>
                <w:szCs w:val="21"/>
                <w:lang w:eastAsia="zh-CN"/>
              </w:rPr>
              <w:t>，个人防护用品的使用</w:t>
            </w:r>
            <w:r>
              <w:rPr>
                <w:rFonts w:hint="eastAsia" w:ascii="宋体" w:hAnsi="宋体" w:eastAsia="宋体" w:cs="Arial"/>
                <w:spacing w:val="-6"/>
                <w:szCs w:val="21"/>
              </w:rPr>
              <w:t>；</w:t>
            </w:r>
          </w:p>
          <w:p>
            <w:pPr>
              <w:spacing w:line="360" w:lineRule="auto"/>
              <w:ind w:firstLine="420" w:firstLineChars="200"/>
              <w:rPr>
                <w:rFonts w:hint="eastAsia" w:eastAsia="宋体"/>
                <w:szCs w:val="22"/>
                <w:lang w:eastAsia="zh-CN"/>
              </w:rPr>
            </w:pPr>
            <w:r>
              <w:rPr>
                <w:rFonts w:hint="eastAsia"/>
                <w:szCs w:val="22"/>
                <w:lang w:eastAsia="zh-CN"/>
              </w:rPr>
              <w:t>废气——</w:t>
            </w:r>
          </w:p>
          <w:p>
            <w:pPr>
              <w:spacing w:line="360" w:lineRule="auto"/>
              <w:ind w:firstLine="420" w:firstLineChars="200"/>
              <w:rPr>
                <w:rFonts w:hint="eastAsia" w:eastAsia="宋体"/>
                <w:szCs w:val="22"/>
                <w:lang w:eastAsia="zh-CN"/>
              </w:rPr>
            </w:pPr>
            <w:r>
              <w:rPr>
                <w:rFonts w:hint="eastAsia"/>
                <w:szCs w:val="22"/>
                <w:lang w:eastAsia="zh-CN"/>
              </w:rPr>
              <w:t>除尘装置处理后达标排放、个人防护用品使用；</w:t>
            </w:r>
          </w:p>
          <w:p>
            <w:pPr>
              <w:spacing w:line="360" w:lineRule="auto"/>
              <w:ind w:firstLine="420" w:firstLineChars="200"/>
              <w:rPr>
                <w:szCs w:val="22"/>
              </w:rPr>
            </w:pPr>
            <w:r>
              <w:rPr>
                <w:rFonts w:hint="eastAsia"/>
                <w:szCs w:val="22"/>
              </w:rPr>
              <w:t>潜在火灾</w:t>
            </w:r>
            <w:r>
              <w:rPr>
                <w:rFonts w:hint="eastAsia" w:hAnsi="宋体"/>
                <w:szCs w:val="21"/>
              </w:rPr>
              <w:t>、爆炸</w:t>
            </w:r>
            <w:r>
              <w:rPr>
                <w:rFonts w:hint="eastAsia"/>
                <w:szCs w:val="22"/>
              </w:rPr>
              <w:t>——</w:t>
            </w:r>
          </w:p>
          <w:p>
            <w:pPr>
              <w:spacing w:line="360" w:lineRule="auto"/>
              <w:ind w:firstLine="420" w:firstLineChars="200"/>
              <w:rPr>
                <w:szCs w:val="22"/>
              </w:rPr>
            </w:pPr>
            <w:r>
              <w:rPr>
                <w:rFonts w:hint="eastAsia"/>
                <w:szCs w:val="22"/>
              </w:rPr>
              <w:t>定期检查用电安全，电工持证上岗；配置消防器材、做好火灾预防措施；</w:t>
            </w:r>
          </w:p>
          <w:p>
            <w:pPr>
              <w:spacing w:line="360" w:lineRule="auto"/>
              <w:ind w:firstLine="420" w:firstLineChars="200"/>
              <w:rPr>
                <w:szCs w:val="22"/>
              </w:rPr>
            </w:pPr>
            <w:r>
              <w:rPr>
                <w:rFonts w:hint="eastAsia"/>
                <w:szCs w:val="22"/>
              </w:rPr>
              <w:t>不可接受风险有：触电</w:t>
            </w:r>
            <w:r>
              <w:rPr>
                <w:rFonts w:hint="eastAsia"/>
                <w:szCs w:val="22"/>
                <w:lang w:eastAsia="zh-CN"/>
              </w:rPr>
              <w:t>、</w:t>
            </w:r>
            <w:r>
              <w:rPr>
                <w:rFonts w:hint="eastAsia"/>
                <w:szCs w:val="22"/>
              </w:rPr>
              <w:t>机械伤害</w:t>
            </w:r>
            <w:r>
              <w:rPr>
                <w:rFonts w:hint="eastAsia"/>
                <w:szCs w:val="22"/>
                <w:lang w:eastAsia="zh-CN"/>
              </w:rPr>
              <w:t>、</w:t>
            </w:r>
            <w:r>
              <w:rPr>
                <w:rFonts w:hint="eastAsia"/>
                <w:szCs w:val="22"/>
              </w:rPr>
              <w:t>听力损害</w:t>
            </w:r>
            <w:r>
              <w:rPr>
                <w:rFonts w:hint="eastAsia"/>
                <w:szCs w:val="22"/>
                <w:lang w:eastAsia="zh-CN"/>
              </w:rPr>
              <w:t>、</w:t>
            </w:r>
            <w:r>
              <w:rPr>
                <w:rFonts w:hint="eastAsia"/>
                <w:szCs w:val="22"/>
              </w:rPr>
              <w:t>火灾、爆炸</w:t>
            </w:r>
            <w:r>
              <w:rPr>
                <w:rFonts w:hint="eastAsia"/>
                <w:szCs w:val="22"/>
                <w:lang w:eastAsia="zh-CN"/>
              </w:rPr>
              <w:t>、</w:t>
            </w:r>
            <w:r>
              <w:rPr>
                <w:rFonts w:hint="eastAsia"/>
                <w:szCs w:val="22"/>
              </w:rPr>
              <w:t>职业病</w:t>
            </w:r>
            <w:r>
              <w:rPr>
                <w:rFonts w:hint="eastAsia"/>
                <w:szCs w:val="22"/>
                <w:lang w:eastAsia="zh-CN"/>
              </w:rPr>
              <w:t>、</w:t>
            </w:r>
            <w:r>
              <w:rPr>
                <w:rFonts w:hint="eastAsia"/>
                <w:szCs w:val="22"/>
              </w:rPr>
              <w:t>人身伤害等；</w:t>
            </w:r>
          </w:p>
          <w:p>
            <w:pPr>
              <w:spacing w:line="360" w:lineRule="auto"/>
              <w:ind w:firstLine="420" w:firstLineChars="200"/>
              <w:rPr>
                <w:szCs w:val="22"/>
              </w:rPr>
            </w:pPr>
            <w:r>
              <w:rPr>
                <w:rFonts w:hint="eastAsia"/>
                <w:szCs w:val="22"/>
              </w:rPr>
              <w:t>通用控制措施——</w:t>
            </w:r>
          </w:p>
          <w:p>
            <w:pPr>
              <w:spacing w:line="360" w:lineRule="auto"/>
              <w:ind w:firstLine="420" w:firstLineChars="200"/>
              <w:rPr>
                <w:szCs w:val="22"/>
              </w:rPr>
            </w:pPr>
            <w:r>
              <w:rPr>
                <w:rFonts w:hint="eastAsia"/>
                <w:szCs w:val="22"/>
              </w:rPr>
              <w:t>制定目标、指标，编制运行控制文件，运行控制；设置警示标志标识；</w:t>
            </w:r>
          </w:p>
          <w:p>
            <w:pPr>
              <w:spacing w:line="360" w:lineRule="auto"/>
              <w:ind w:firstLine="420" w:firstLineChars="200"/>
              <w:rPr>
                <w:szCs w:val="22"/>
              </w:rPr>
            </w:pPr>
            <w:r>
              <w:rPr>
                <w:rFonts w:hint="eastAsia"/>
                <w:szCs w:val="22"/>
              </w:rPr>
              <w:t>火灾、爆炸</w:t>
            </w:r>
            <w:r>
              <w:rPr>
                <w:rFonts w:hint="eastAsia"/>
                <w:szCs w:val="22"/>
                <w:lang w:eastAsia="zh-CN"/>
              </w:rPr>
              <w:t>、</w:t>
            </w:r>
            <w:r>
              <w:rPr>
                <w:rFonts w:hint="eastAsia"/>
                <w:szCs w:val="22"/>
              </w:rPr>
              <w:t>触电——</w:t>
            </w:r>
          </w:p>
          <w:p>
            <w:pPr>
              <w:spacing w:line="360" w:lineRule="auto"/>
              <w:ind w:firstLine="420" w:firstLineChars="200"/>
              <w:rPr>
                <w:szCs w:val="22"/>
              </w:rPr>
            </w:pPr>
            <w:r>
              <w:rPr>
                <w:rFonts w:hint="eastAsia"/>
                <w:szCs w:val="22"/>
              </w:rPr>
              <w:t>设备、电路定期检修、检查，人员持证上岗；配置消防器材、做好火灾预防措施。</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机械伤害——</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szCs w:val="21"/>
                <w:lang w:val="en-US" w:eastAsia="zh-CN"/>
              </w:rPr>
            </w:pPr>
            <w:r>
              <w:rPr>
                <w:rFonts w:hint="eastAsia" w:ascii="宋体" w:hAnsi="宋体" w:eastAsia="宋体" w:cs="Arial"/>
                <w:spacing w:val="-6"/>
                <w:szCs w:val="21"/>
                <w:lang w:val="en-US" w:eastAsia="zh-CN"/>
              </w:rPr>
              <w:t>设备设施安全防护、加强安全教育，按章作业，加强工艺纪律检查，使用个人防护用品。</w:t>
            </w:r>
          </w:p>
          <w:p>
            <w:pPr>
              <w:spacing w:line="360" w:lineRule="auto"/>
              <w:ind w:firstLine="420" w:firstLineChars="200"/>
              <w:rPr>
                <w:szCs w:val="22"/>
              </w:rPr>
            </w:pPr>
            <w:r>
              <w:rPr>
                <w:rFonts w:hint="eastAsia"/>
                <w:szCs w:val="22"/>
              </w:rPr>
              <w:t>为应对上述风险和机遇，公司依据GB/T19001-2016、GB/T24001-2016、GB/T45001-2020标准的要求并结合公司的具体情况，采取PDCA的过程方法，建立、实施、保持并持续改进质量、环境、职业健康安全管理体系。</w:t>
            </w:r>
          </w:p>
          <w:p>
            <w:pPr>
              <w:spacing w:line="360" w:lineRule="auto"/>
              <w:ind w:firstLine="420" w:firstLineChars="200"/>
              <w:rPr>
                <w:szCs w:val="22"/>
              </w:rPr>
            </w:pPr>
            <w:r>
              <w:rPr>
                <w:rFonts w:hint="eastAsia"/>
                <w:szCs w:val="22"/>
              </w:rPr>
              <w:t>管理手册——</w:t>
            </w:r>
            <w:r>
              <w:rPr>
                <w:rFonts w:hint="eastAsia"/>
                <w:szCs w:val="22"/>
                <w:lang w:val="en-US" w:eastAsia="zh-CN"/>
              </w:rPr>
              <w:t>A/0  实施日期：2022年1月5日</w:t>
            </w:r>
            <w:r>
              <w:rPr>
                <w:rFonts w:hint="eastAsia"/>
                <w:szCs w:val="22"/>
              </w:rPr>
              <w:t>；</w:t>
            </w:r>
          </w:p>
          <w:p>
            <w:pPr>
              <w:spacing w:line="360" w:lineRule="auto"/>
              <w:ind w:firstLine="420" w:firstLineChars="200"/>
              <w:rPr>
                <w:szCs w:val="22"/>
              </w:rPr>
            </w:pPr>
            <w:r>
              <w:rPr>
                <w:rFonts w:hint="eastAsia"/>
                <w:szCs w:val="22"/>
              </w:rPr>
              <w:t>程序文件——A/0  实施日期：2022年1月5日；</w:t>
            </w:r>
          </w:p>
          <w:p>
            <w:pPr>
              <w:spacing w:line="360" w:lineRule="auto"/>
              <w:ind w:firstLine="420" w:firstLineChars="200"/>
              <w:rPr>
                <w:szCs w:val="22"/>
              </w:rPr>
            </w:pPr>
            <w:r>
              <w:rPr>
                <w:rFonts w:hint="eastAsia"/>
                <w:szCs w:val="22"/>
              </w:rPr>
              <w:t>包括：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w:t>
            </w:r>
            <w:r>
              <w:rPr>
                <w:rFonts w:hint="eastAsia"/>
                <w:szCs w:val="22"/>
                <w:lang w:val="en-US" w:eastAsia="zh-CN"/>
              </w:rPr>
              <w:t>7</w:t>
            </w:r>
            <w:r>
              <w:rPr>
                <w:rFonts w:hint="eastAsia"/>
                <w:szCs w:val="22"/>
              </w:rPr>
              <w:t>个；</w:t>
            </w:r>
          </w:p>
          <w:p>
            <w:pPr>
              <w:spacing w:line="360" w:lineRule="auto"/>
              <w:ind w:firstLine="420" w:firstLineChars="200"/>
              <w:rPr>
                <w:rFonts w:hint="eastAsia" w:ascii="Times New Roman" w:hAnsi="Times New Roman" w:eastAsia="宋体" w:cs="Times New Roman"/>
                <w:szCs w:val="22"/>
              </w:rPr>
            </w:pPr>
            <w:r>
              <w:rPr>
                <w:rFonts w:hint="eastAsia"/>
                <w:szCs w:val="22"/>
              </w:rPr>
              <w:t>建立有外来文件清单，收集相关标准和法律法规：中华人民共和国产品质量法、中华人民共和国安全生产法、中华人民共和国环境保护法、中华人民共和国消防法</w:t>
            </w:r>
            <w:r>
              <w:rPr>
                <w:rFonts w:hint="eastAsia"/>
                <w:szCs w:val="22"/>
                <w:lang w:eastAsia="zh-CN"/>
              </w:rPr>
              <w:t>等</w:t>
            </w:r>
            <w:r>
              <w:rPr>
                <w:rFonts w:hint="eastAsia"/>
                <w:szCs w:val="22"/>
                <w:lang w:val="en-US" w:eastAsia="zh-CN"/>
              </w:rPr>
              <w:t>173项</w:t>
            </w:r>
            <w:r>
              <w:rPr>
                <w:rFonts w:hint="eastAsia" w:ascii="Times New Roman" w:hAnsi="Times New Roman" w:eastAsia="宋体" w:cs="Times New Roman"/>
                <w:szCs w:val="22"/>
              </w:rPr>
              <w:t>。</w:t>
            </w:r>
          </w:p>
          <w:p>
            <w:pPr>
              <w:spacing w:line="360" w:lineRule="auto"/>
              <w:ind w:firstLine="420" w:firstLineChars="200"/>
              <w:rPr>
                <w:szCs w:val="22"/>
              </w:rPr>
            </w:pPr>
            <w:r>
              <w:rPr>
                <w:rFonts w:hint="eastAsia"/>
                <w:szCs w:val="22"/>
              </w:rPr>
              <w:t>管理手册中确定的认证范围：</w:t>
            </w:r>
          </w:p>
          <w:p>
            <w:pPr>
              <w:spacing w:line="360" w:lineRule="auto"/>
              <w:ind w:firstLine="420" w:firstLineChars="200"/>
              <w:rPr>
                <w:rFonts w:hint="eastAsia"/>
                <w:szCs w:val="22"/>
              </w:rPr>
            </w:pPr>
            <w:r>
              <w:rPr>
                <w:rFonts w:hint="eastAsia"/>
                <w:szCs w:val="22"/>
              </w:rPr>
              <w:t>Q：钢制办公家具、医用家具（护士站、导诊台、治疗柜、处置柜）的生产及销售，病房门、钢制门、监狱电动门、学生床的销售</w:t>
            </w:r>
          </w:p>
          <w:p>
            <w:pPr>
              <w:spacing w:line="360" w:lineRule="auto"/>
              <w:ind w:firstLine="420" w:firstLineChars="200"/>
              <w:rPr>
                <w:rFonts w:hint="eastAsia"/>
                <w:szCs w:val="22"/>
              </w:rPr>
            </w:pPr>
            <w:r>
              <w:rPr>
                <w:rFonts w:hint="eastAsia"/>
                <w:szCs w:val="22"/>
              </w:rPr>
              <w:t>E：钢制办公家具、医用家具（护士站、导诊台、治疗柜、处置柜）的生产及销售，病房门、钢制门、监狱电动门、学生床的销售所涉及场所的相关环境管理活动</w:t>
            </w:r>
          </w:p>
          <w:p>
            <w:pPr>
              <w:spacing w:line="360" w:lineRule="auto"/>
              <w:ind w:firstLine="420" w:firstLineChars="200"/>
              <w:rPr>
                <w:szCs w:val="22"/>
              </w:rPr>
            </w:pPr>
            <w:r>
              <w:rPr>
                <w:rFonts w:hint="eastAsia"/>
                <w:szCs w:val="22"/>
              </w:rPr>
              <w:t>O：钢制办公家具、医用家具（护士站、导诊台、治疗柜、处置柜）的生产及销售，病房门、钢制门、监狱电动门、学生床的销售所涉及场所的相关职业健康安全管理活动</w:t>
            </w:r>
          </w:p>
          <w:p>
            <w:pPr>
              <w:spacing w:line="360" w:lineRule="auto"/>
              <w:ind w:firstLine="420" w:firstLineChars="200"/>
              <w:rPr>
                <w:rFonts w:hint="eastAsia"/>
                <w:szCs w:val="22"/>
              </w:rPr>
            </w:pPr>
            <w:r>
              <w:rPr>
                <w:rFonts w:hint="eastAsia"/>
                <w:szCs w:val="22"/>
              </w:rPr>
              <w:t>公司管理体系</w:t>
            </w:r>
            <w:r>
              <w:rPr>
                <w:rFonts w:hint="eastAsia"/>
                <w:szCs w:val="22"/>
                <w:lang w:eastAsia="zh-CN"/>
              </w:rPr>
              <w:t>新建立，目前未发生</w:t>
            </w:r>
            <w:r>
              <w:rPr>
                <w:rFonts w:hint="eastAsia"/>
                <w:szCs w:val="22"/>
              </w:rPr>
              <w:t>变更。</w:t>
            </w:r>
            <w:bookmarkStart w:id="2" w:name="_GoBack"/>
            <w:bookmarkEnd w:id="2"/>
          </w:p>
          <w:p>
            <w:pPr>
              <w:spacing w:line="360" w:lineRule="auto"/>
              <w:ind w:firstLine="420" w:firstLineChars="200"/>
              <w:rPr>
                <w:rFonts w:ascii="Times New Roman" w:hAnsi="Times New Roman" w:eastAsia="宋体" w:cs="Times New Roman"/>
                <w:kern w:val="2"/>
                <w:sz w:val="21"/>
                <w:lang w:val="en-US" w:eastAsia="zh-CN" w:bidi="ar-SA"/>
              </w:rPr>
            </w:pPr>
            <w:r>
              <w:rPr>
                <w:rFonts w:hint="eastAsia"/>
                <w:szCs w:val="22"/>
              </w:rPr>
              <w:t>基本合理。</w:t>
            </w:r>
          </w:p>
        </w:tc>
        <w:tc>
          <w:tcPr>
            <w:tcW w:w="889"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Align w:val="top"/>
          </w:tcPr>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质量/环境/职业健康安全方针</w:t>
            </w:r>
          </w:p>
          <w:p>
            <w:pPr>
              <w:adjustRightInd w:val="0"/>
              <w:snapToGrid w:val="0"/>
              <w:spacing w:line="24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eastAsia="宋体" w:cs="Arial"/>
                <w:spacing w:val="-6"/>
                <w:szCs w:val="21"/>
              </w:rPr>
              <w:t>质量/环境/职业健康安全目标及其实现的策划</w:t>
            </w:r>
          </w:p>
        </w:tc>
        <w:tc>
          <w:tcPr>
            <w:tcW w:w="1113" w:type="dxa"/>
            <w:vAlign w:val="top"/>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QEO:5.2</w:t>
            </w:r>
          </w:p>
          <w:p>
            <w:pPr>
              <w:adjustRightInd w:val="0"/>
              <w:snapToGrid w:val="0"/>
              <w:spacing w:line="36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cs="Arial"/>
                <w:spacing w:val="-6"/>
                <w:szCs w:val="21"/>
              </w:rPr>
              <w:t>QEO:6.2</w:t>
            </w:r>
          </w:p>
        </w:tc>
        <w:tc>
          <w:tcPr>
            <w:tcW w:w="10700" w:type="dxa"/>
            <w:vAlign w:val="top"/>
          </w:tcPr>
          <w:p>
            <w:pPr>
              <w:spacing w:line="360" w:lineRule="auto"/>
              <w:ind w:firstLine="420" w:firstLineChars="200"/>
              <w:rPr>
                <w:szCs w:val="22"/>
              </w:rPr>
            </w:pPr>
            <w:r>
              <w:rPr>
                <w:rFonts w:hint="eastAsia"/>
                <w:szCs w:val="22"/>
              </w:rPr>
              <w:t>《管理手册》中明确了公司的质量、环境、职业健康安全方针是：</w:t>
            </w:r>
          </w:p>
          <w:p>
            <w:pPr>
              <w:spacing w:line="360" w:lineRule="auto"/>
              <w:ind w:firstLine="420" w:firstLineChars="200"/>
              <w:rPr>
                <w:szCs w:val="22"/>
              </w:rPr>
            </w:pPr>
            <w:r>
              <w:rPr>
                <w:rFonts w:hint="eastAsia"/>
                <w:szCs w:val="22"/>
              </w:rPr>
              <w:t>质量环境职业健康安全方针：</w:t>
            </w:r>
          </w:p>
          <w:p>
            <w:pPr>
              <w:tabs>
                <w:tab w:val="left" w:pos="720"/>
              </w:tabs>
              <w:spacing w:line="480" w:lineRule="exact"/>
              <w:ind w:firstLine="525" w:firstLineChars="250"/>
              <w:rPr>
                <w:rFonts w:hint="eastAsia"/>
                <w:szCs w:val="22"/>
              </w:rPr>
            </w:pPr>
            <w:r>
              <w:rPr>
                <w:rFonts w:hint="eastAsia"/>
                <w:szCs w:val="22"/>
              </w:rPr>
              <w:t xml:space="preserve">质量至上、持续创新、诚实守信、顾客至上 </w:t>
            </w:r>
          </w:p>
          <w:p>
            <w:pPr>
              <w:tabs>
                <w:tab w:val="left" w:pos="720"/>
              </w:tabs>
              <w:spacing w:line="480" w:lineRule="exact"/>
              <w:ind w:firstLine="525" w:firstLineChars="250"/>
              <w:rPr>
                <w:szCs w:val="22"/>
              </w:rPr>
            </w:pPr>
            <w:r>
              <w:rPr>
                <w:rFonts w:hint="eastAsia"/>
                <w:szCs w:val="22"/>
              </w:rPr>
              <w:t>遵章守法，控制污染；预防为主，健康安全</w:t>
            </w:r>
          </w:p>
          <w:p>
            <w:pPr>
              <w:spacing w:line="360" w:lineRule="auto"/>
              <w:ind w:firstLine="420" w:firstLineChars="200"/>
              <w:rPr>
                <w:rFonts w:hint="eastAsia"/>
                <w:szCs w:val="22"/>
              </w:rPr>
            </w:pPr>
            <w:r>
              <w:rPr>
                <w:rFonts w:hint="eastAsia"/>
                <w:szCs w:val="22"/>
              </w:rPr>
              <w:t>方针适宜于公司现状，在管理手册中明确，通过文件发放，是员工获知，适用时提供给相关方。并以方针为框架，建立了公司管理目标：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产品质量目标：产品一次交验合格率≥98.5%；</w:t>
            </w:r>
          </w:p>
          <w:p>
            <w:pPr>
              <w:spacing w:line="360" w:lineRule="auto"/>
              <w:ind w:firstLine="420" w:firstLineChars="200"/>
              <w:rPr>
                <w:rFonts w:hint="eastAsia" w:ascii="Times New Roman" w:hAnsi="Times New Roman" w:eastAsia="宋体" w:cs="Times New Roman"/>
                <w:szCs w:val="22"/>
                <w:lang w:eastAsia="zh-CN"/>
              </w:rPr>
            </w:pPr>
            <w:r>
              <w:rPr>
                <w:rFonts w:hint="eastAsia" w:ascii="Times New Roman" w:hAnsi="Times New Roman" w:eastAsia="宋体" w:cs="Times New Roman"/>
                <w:szCs w:val="22"/>
              </w:rPr>
              <w:t xml:space="preserve">              客户满意度大于9</w:t>
            </w:r>
            <w:r>
              <w:rPr>
                <w:rFonts w:hint="eastAsia" w:ascii="Times New Roman" w:hAnsi="Times New Roman" w:eastAsia="宋体" w:cs="Times New Roman"/>
                <w:szCs w:val="22"/>
                <w:lang w:val="en-US" w:eastAsia="zh-CN"/>
              </w:rPr>
              <w:t>5</w:t>
            </w:r>
            <w:r>
              <w:rPr>
                <w:rFonts w:hint="eastAsia" w:ascii="Times New Roman" w:hAnsi="Times New Roman" w:eastAsia="宋体" w:cs="Times New Roman"/>
                <w:szCs w:val="22"/>
              </w:rPr>
              <w:t>分</w:t>
            </w:r>
            <w:r>
              <w:rPr>
                <w:rFonts w:hint="eastAsia" w:ascii="Times New Roman" w:hAnsi="Times New Roman" w:eastAsia="宋体" w:cs="Times New Roman"/>
                <w:szCs w:val="22"/>
                <w:lang w:eastAsia="zh-CN"/>
              </w:rPr>
              <w:t>；</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环境安全目标：固体废弃物分类处置率100%；</w:t>
            </w:r>
          </w:p>
          <w:p>
            <w:pPr>
              <w:spacing w:line="360" w:lineRule="auto"/>
              <w:ind w:firstLine="1890" w:firstLineChars="900"/>
              <w:rPr>
                <w:rFonts w:hint="eastAsia" w:ascii="Times New Roman" w:hAnsi="Times New Roman" w:eastAsia="宋体" w:cs="Times New Roman"/>
                <w:szCs w:val="22"/>
                <w:lang w:eastAsia="zh-CN"/>
              </w:rPr>
            </w:pPr>
            <w:r>
              <w:rPr>
                <w:rFonts w:hint="eastAsia" w:ascii="Times New Roman" w:hAnsi="Times New Roman" w:eastAsia="宋体" w:cs="Times New Roman"/>
                <w:szCs w:val="22"/>
              </w:rPr>
              <w:t>火灾事故为0</w:t>
            </w:r>
            <w:r>
              <w:rPr>
                <w:rFonts w:hint="eastAsia" w:ascii="Times New Roman" w:hAnsi="Times New Roman" w:eastAsia="宋体" w:cs="Times New Roman"/>
                <w:szCs w:val="22"/>
                <w:lang w:eastAsia="zh-CN"/>
              </w:rPr>
              <w:t>；</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保留有公司的环境和安全管理方案和控制措施。</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基本符合。</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保留“目标分解考核表”，对管理目标按照部门进行了分解；</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ascii="Times New Roman" w:hAnsi="Times New Roman" w:eastAsia="宋体" w:cs="Times New Roman"/>
                <w:szCs w:val="22"/>
              </w:rPr>
              <w:t>保留“目标分解考核表”，2022年1-6月目标均已完成。</w:t>
            </w:r>
          </w:p>
        </w:tc>
        <w:tc>
          <w:tcPr>
            <w:tcW w:w="889"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Align w:val="top"/>
          </w:tcPr>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领导作用和承诺</w:t>
            </w:r>
          </w:p>
          <w:p>
            <w:pPr>
              <w:adjustRightInd w:val="0"/>
              <w:snapToGrid w:val="0"/>
              <w:spacing w:line="24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eastAsia="宋体" w:cs="Arial"/>
                <w:spacing w:val="-6"/>
                <w:szCs w:val="21"/>
              </w:rPr>
              <w:t>组织的岗位、职责和权限</w:t>
            </w:r>
          </w:p>
        </w:tc>
        <w:tc>
          <w:tcPr>
            <w:tcW w:w="1113" w:type="dxa"/>
            <w:vAlign w:val="top"/>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QEO:5.1</w:t>
            </w:r>
          </w:p>
          <w:p>
            <w:pPr>
              <w:adjustRightInd w:val="0"/>
              <w:snapToGrid w:val="0"/>
              <w:spacing w:line="36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cs="Arial"/>
                <w:spacing w:val="-6"/>
                <w:szCs w:val="21"/>
              </w:rPr>
              <w:t>QEO:5.3</w:t>
            </w:r>
          </w:p>
        </w:tc>
        <w:tc>
          <w:tcPr>
            <w:tcW w:w="10700" w:type="dxa"/>
            <w:vAlign w:val="top"/>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最高管理者在管理手册中明确了各部门和各岗位的职责和权限，以确保管理体系符合各项标准的要求，并确保各个过程获得其预期输出。</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经授权分管领导向最高管理者报告质量、环境、职业健康安全管理体系的绩效及改进机会，确保整个组织推动以顾客为关注焦点、保持环境管理和职业健康安全管理绩效，确保在策划和实施管理体系变更时保持其完整性。</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公司组织机构设置有：</w:t>
            </w:r>
            <w:r>
              <w:rPr>
                <w:rFonts w:hint="eastAsia" w:ascii="Times New Roman" w:hAnsi="Times New Roman" w:eastAsia="宋体" w:cs="Times New Roman"/>
                <w:szCs w:val="22"/>
                <w:lang w:eastAsia="zh-CN"/>
              </w:rPr>
              <w:t>行政部</w:t>
            </w:r>
            <w:r>
              <w:rPr>
                <w:rFonts w:hint="eastAsia" w:ascii="Times New Roman" w:hAnsi="Times New Roman" w:eastAsia="宋体" w:cs="Times New Roman"/>
                <w:szCs w:val="22"/>
              </w:rPr>
              <w:t>、生产部、</w:t>
            </w:r>
            <w:r>
              <w:rPr>
                <w:rFonts w:hint="eastAsia" w:ascii="Times New Roman" w:hAnsi="Times New Roman" w:eastAsia="宋体" w:cs="Times New Roman"/>
                <w:szCs w:val="22"/>
                <w:lang w:eastAsia="zh-CN"/>
              </w:rPr>
              <w:t>供销</w:t>
            </w:r>
            <w:r>
              <w:rPr>
                <w:rFonts w:hint="eastAsia" w:ascii="Times New Roman" w:hAnsi="Times New Roman" w:eastAsia="宋体" w:cs="Times New Roman"/>
                <w:szCs w:val="22"/>
              </w:rPr>
              <w:t>部。</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经查每个部门均有部门职责和权限，各岗位的职责和权限、任职要求在《管理手册》中得到规定。</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ascii="Times New Roman" w:hAnsi="Times New Roman" w:eastAsia="宋体" w:cs="Times New Roman"/>
                <w:szCs w:val="22"/>
              </w:rPr>
              <w:t>经查问组织内的职责和权限基本得到沟通，通过文件发布、传达、会议、培训等了解有关职责和权限。</w:t>
            </w:r>
          </w:p>
        </w:tc>
        <w:tc>
          <w:tcPr>
            <w:tcW w:w="889"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Align w:val="top"/>
          </w:tcPr>
          <w:p>
            <w:pPr>
              <w:adjustRightInd w:val="0"/>
              <w:snapToGrid w:val="0"/>
              <w:spacing w:line="36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cs="Arial"/>
                <w:spacing w:val="-6"/>
                <w:szCs w:val="21"/>
              </w:rPr>
              <w:t>资源总则</w:t>
            </w:r>
          </w:p>
        </w:tc>
        <w:tc>
          <w:tcPr>
            <w:tcW w:w="1113" w:type="dxa"/>
            <w:vAlign w:val="top"/>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Q:7.1.1</w:t>
            </w:r>
          </w:p>
          <w:p>
            <w:pPr>
              <w:adjustRightInd w:val="0"/>
              <w:snapToGrid w:val="0"/>
              <w:spacing w:line="36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cs="Arial"/>
                <w:spacing w:val="-6"/>
                <w:szCs w:val="21"/>
              </w:rPr>
              <w:t>EO:7.1</w:t>
            </w:r>
          </w:p>
        </w:tc>
        <w:tc>
          <w:tcPr>
            <w:tcW w:w="10700" w:type="dxa"/>
            <w:vAlign w:val="top"/>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公司注册资金2000万元，</w:t>
            </w:r>
            <w:r>
              <w:rPr>
                <w:rFonts w:hint="eastAsia" w:ascii="Times New Roman" w:hAnsi="Times New Roman" w:eastAsia="宋体" w:cs="Times New Roman"/>
                <w:szCs w:val="22"/>
                <w:lang w:eastAsia="zh-CN"/>
              </w:rPr>
              <w:t>占地面积</w:t>
            </w:r>
            <w:r>
              <w:rPr>
                <w:rFonts w:hint="eastAsia" w:ascii="Times New Roman" w:hAnsi="Times New Roman" w:eastAsia="宋体" w:cs="Times New Roman"/>
                <w:szCs w:val="22"/>
                <w:lang w:val="en-US" w:eastAsia="zh-CN"/>
              </w:rPr>
              <w:t>10000余平方米；</w:t>
            </w:r>
            <w:r>
              <w:rPr>
                <w:rFonts w:hint="eastAsia" w:ascii="Times New Roman" w:hAnsi="Times New Roman" w:eastAsia="宋体" w:cs="Times New Roman"/>
                <w:szCs w:val="22"/>
              </w:rPr>
              <w:t>主要进行钢制办公家具、医用家具（护士站、导诊台、治疗柜、处置柜）的生产及销售，病房门、钢制门、学生床的销售。</w:t>
            </w:r>
          </w:p>
          <w:p>
            <w:pPr>
              <w:spacing w:line="360" w:lineRule="auto"/>
              <w:ind w:firstLine="420" w:firstLineChars="200"/>
              <w:rPr>
                <w:szCs w:val="22"/>
              </w:rPr>
            </w:pPr>
            <w:r>
              <w:rPr>
                <w:rFonts w:hint="eastAsia"/>
                <w:szCs w:val="22"/>
              </w:rPr>
              <w:t>公司部门设置有：</w:t>
            </w:r>
            <w:r>
              <w:rPr>
                <w:rFonts w:hint="eastAsia"/>
                <w:szCs w:val="22"/>
                <w:lang w:eastAsia="zh-CN"/>
              </w:rPr>
              <w:t>行政部</w:t>
            </w:r>
            <w:r>
              <w:rPr>
                <w:rFonts w:hint="eastAsia"/>
                <w:szCs w:val="22"/>
              </w:rPr>
              <w:t>、生产部、</w:t>
            </w:r>
            <w:r>
              <w:rPr>
                <w:rFonts w:hint="eastAsia"/>
                <w:szCs w:val="22"/>
                <w:lang w:eastAsia="zh-CN"/>
              </w:rPr>
              <w:t>供销</w:t>
            </w:r>
            <w:r>
              <w:rPr>
                <w:rFonts w:hint="eastAsia"/>
                <w:szCs w:val="22"/>
              </w:rPr>
              <w:t>部；共约4</w:t>
            </w:r>
            <w:r>
              <w:rPr>
                <w:rFonts w:hint="eastAsia"/>
                <w:szCs w:val="22"/>
                <w:lang w:val="en-US" w:eastAsia="zh-CN"/>
              </w:rPr>
              <w:t>0</w:t>
            </w:r>
            <w:r>
              <w:rPr>
                <w:rFonts w:hint="eastAsia"/>
                <w:szCs w:val="22"/>
              </w:rPr>
              <w:t>人左右。</w:t>
            </w:r>
          </w:p>
          <w:p>
            <w:pPr>
              <w:spacing w:line="360" w:lineRule="auto"/>
              <w:ind w:firstLine="420" w:firstLineChars="200"/>
              <w:rPr>
                <w:rFonts w:hint="eastAsia"/>
                <w:szCs w:val="22"/>
                <w:lang w:eastAsia="zh-CN"/>
              </w:rPr>
            </w:pPr>
            <w:r>
              <w:rPr>
                <w:rFonts w:hint="eastAsia"/>
                <w:szCs w:val="22"/>
              </w:rPr>
              <w:t>公司主要设备包括：数控冲床、激光切割机、折弯机、电焊机、喷涂流水线等</w:t>
            </w:r>
            <w:r>
              <w:rPr>
                <w:rFonts w:hint="eastAsia"/>
                <w:szCs w:val="22"/>
                <w:lang w:eastAsia="zh-CN"/>
              </w:rPr>
              <w:t>；</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cs="Times New Roman"/>
                <w:szCs w:val="22"/>
                <w:lang w:val="en-US" w:eastAsia="zh-CN"/>
              </w:rPr>
              <w:t>环保设备：除尘装置、消防设备设施等；</w:t>
            </w:r>
          </w:p>
          <w:p>
            <w:pPr>
              <w:spacing w:line="360" w:lineRule="auto"/>
              <w:ind w:firstLine="420" w:firstLineChars="200"/>
              <w:rPr>
                <w:szCs w:val="22"/>
              </w:rPr>
            </w:pPr>
            <w:r>
              <w:rPr>
                <w:rFonts w:hint="eastAsia"/>
                <w:szCs w:val="22"/>
              </w:rPr>
              <w:t>监视和测量仪器主要有：千分尺、数显卡尺、卷尺、钢直尺、塞尺等；</w:t>
            </w:r>
          </w:p>
          <w:p>
            <w:pPr>
              <w:spacing w:line="360" w:lineRule="auto"/>
              <w:ind w:firstLine="420" w:firstLineChars="200"/>
              <w:rPr>
                <w:szCs w:val="22"/>
              </w:rPr>
            </w:pPr>
            <w:r>
              <w:rPr>
                <w:szCs w:val="22"/>
              </w:rPr>
              <w:t>确认公司目前人力资源、基础设施、销售人员、财力、信息等资源均能保证。</w:t>
            </w:r>
          </w:p>
          <w:p>
            <w:pPr>
              <w:spacing w:line="360" w:lineRule="auto"/>
              <w:ind w:firstLine="420" w:firstLineChars="200"/>
              <w:rPr>
                <w:szCs w:val="22"/>
              </w:rPr>
            </w:pPr>
            <w:r>
              <w:rPr>
                <w:szCs w:val="22"/>
              </w:rPr>
              <w:t>公司厂房，库房、办公室、会议室，现场配备了灭火器、消防栓等消防安全设备，能保证企业正常办公。</w:t>
            </w:r>
          </w:p>
          <w:p>
            <w:pPr>
              <w:spacing w:line="360" w:lineRule="auto"/>
              <w:ind w:firstLine="420" w:firstLineChars="200"/>
              <w:rPr>
                <w:szCs w:val="22"/>
              </w:rPr>
            </w:pPr>
            <w:r>
              <w:rPr>
                <w:szCs w:val="22"/>
              </w:rPr>
              <w:t>公司财务能保证质量、环境、职业健康安全工作的开展，确保相关资金及时投入</w:t>
            </w:r>
            <w:r>
              <w:rPr>
                <w:rFonts w:hint="eastAsia"/>
                <w:szCs w:val="22"/>
                <w:lang w:eastAsia="zh-CN"/>
              </w:rPr>
              <w:t>，</w:t>
            </w:r>
            <w:r>
              <w:rPr>
                <w:rFonts w:hint="eastAsia"/>
                <w:szCs w:val="22"/>
                <w:lang w:val="en-US" w:eastAsia="zh-CN"/>
              </w:rPr>
              <w:t>2022年计提14.8万元</w:t>
            </w:r>
            <w:r>
              <w:rPr>
                <w:szCs w:val="22"/>
              </w:rPr>
              <w:t>。</w:t>
            </w:r>
          </w:p>
          <w:p>
            <w:pPr>
              <w:spacing w:line="360" w:lineRule="auto"/>
              <w:ind w:firstLine="420" w:firstLineChars="200"/>
              <w:rPr>
                <w:rFonts w:ascii="Times New Roman" w:hAnsi="Times New Roman" w:eastAsia="宋体" w:cs="Times New Roman"/>
                <w:kern w:val="2"/>
                <w:sz w:val="21"/>
                <w:szCs w:val="22"/>
                <w:lang w:val="en-US" w:eastAsia="zh-CN" w:bidi="ar-SA"/>
              </w:rPr>
            </w:pPr>
            <w:r>
              <w:rPr>
                <w:szCs w:val="22"/>
              </w:rPr>
              <w:t>基本能满足体系运行的要求。</w:t>
            </w:r>
          </w:p>
        </w:tc>
        <w:tc>
          <w:tcPr>
            <w:tcW w:w="889"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Align w:val="top"/>
          </w:tcPr>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沟通/信息交流</w:t>
            </w:r>
          </w:p>
          <w:p>
            <w:pPr>
              <w:adjustRightInd w:val="0"/>
              <w:snapToGrid w:val="0"/>
              <w:spacing w:line="24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eastAsia="宋体" w:cs="Arial"/>
                <w:spacing w:val="-6"/>
                <w:szCs w:val="21"/>
              </w:rPr>
              <w:t>协商与参与</w:t>
            </w:r>
          </w:p>
        </w:tc>
        <w:tc>
          <w:tcPr>
            <w:tcW w:w="1113" w:type="dxa"/>
            <w:vAlign w:val="top"/>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QEO:7.4</w:t>
            </w:r>
          </w:p>
          <w:p>
            <w:pPr>
              <w:adjustRightInd w:val="0"/>
              <w:snapToGrid w:val="0"/>
              <w:spacing w:line="36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cs="Arial"/>
                <w:spacing w:val="-6"/>
                <w:szCs w:val="21"/>
              </w:rPr>
              <w:t>O:5.4</w:t>
            </w:r>
          </w:p>
        </w:tc>
        <w:tc>
          <w:tcPr>
            <w:tcW w:w="10700" w:type="dxa"/>
            <w:vAlign w:val="top"/>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编制了《信息交流与沟通控制程序》，确了内部外部信息交流的内容及职责，包含重要环境因素、不可接受风险、管理方针、应急控制等的交流规定。</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组织在各部门之间建立了与体系有关的信息通渠沟道，借助于会议、电话、微信、网络、口头交流等方式使全体员工达到沟通和理解。目前各部门协调一致，工作上的接口基本理顺。</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总经理定期主持经营办公例会，分析公司的发展、市场情况和体系运行是否有效，管理目标完成情况，满足顾客要求和法规程度，改进建议等内部管理存在问题等。</w:t>
            </w:r>
          </w:p>
          <w:p>
            <w:pPr>
              <w:spacing w:line="360" w:lineRule="auto"/>
              <w:ind w:firstLine="420" w:firstLineChars="200"/>
              <w:rPr>
                <w:szCs w:val="22"/>
              </w:rPr>
            </w:pPr>
            <w:r>
              <w:rPr>
                <w:rFonts w:hint="eastAsia"/>
                <w:szCs w:val="22"/>
              </w:rPr>
              <w:t>总经理为协商、参与提供了时间、机会、培训、资源等保障，明确了沟通、协商、参与渠道，消除了障碍和壁垒。</w:t>
            </w:r>
          </w:p>
          <w:p>
            <w:pPr>
              <w:spacing w:line="360" w:lineRule="auto"/>
              <w:ind w:firstLine="420" w:firstLineChars="200"/>
              <w:rPr>
                <w:szCs w:val="22"/>
              </w:rPr>
            </w:pPr>
            <w:r>
              <w:rPr>
                <w:rFonts w:hint="eastAsia"/>
                <w:szCs w:val="22"/>
              </w:rPr>
              <w:t>日常对于质量、环保、安全方面的信息主要利用会议、培训、座谈、电话、网络、收文等方式进行内外部沟通和协商。</w:t>
            </w:r>
          </w:p>
          <w:p>
            <w:pPr>
              <w:spacing w:line="360" w:lineRule="auto"/>
              <w:ind w:firstLine="420" w:firstLineChars="200"/>
              <w:rPr>
                <w:szCs w:val="22"/>
              </w:rPr>
            </w:pPr>
            <w:r>
              <w:rPr>
                <w:rFonts w:hint="eastAsia"/>
                <w:szCs w:val="22"/>
              </w:rPr>
              <w:t>经交流：目前与环保、劳动、消防、安监部门的外部信息交流主要是参加会议、接收来文、电话、邮件等，均按要求予以传达和落实，沟通情况较好。</w:t>
            </w:r>
          </w:p>
          <w:p>
            <w:pPr>
              <w:spacing w:line="360" w:lineRule="auto"/>
              <w:ind w:firstLine="420" w:firstLineChars="200"/>
              <w:rPr>
                <w:rFonts w:hint="eastAsia"/>
                <w:szCs w:val="22"/>
              </w:rPr>
            </w:pPr>
            <w:r>
              <w:rPr>
                <w:rFonts w:hint="eastAsia"/>
                <w:szCs w:val="22"/>
              </w:rPr>
              <w:t>现有的沟通渠道和方法能满足要求。</w:t>
            </w:r>
          </w:p>
          <w:p>
            <w:pPr>
              <w:spacing w:line="360" w:lineRule="auto"/>
              <w:ind w:firstLine="420" w:firstLineChars="200"/>
              <w:rPr>
                <w:szCs w:val="22"/>
              </w:rPr>
            </w:pPr>
            <w:r>
              <w:rPr>
                <w:rFonts w:hint="eastAsia"/>
                <w:szCs w:val="22"/>
              </w:rPr>
              <w:t>相关人员能够适当参与并协商办理公司经营管理及安全事务等工作。</w:t>
            </w:r>
          </w:p>
          <w:p>
            <w:pPr>
              <w:spacing w:line="360" w:lineRule="auto"/>
              <w:ind w:firstLine="420" w:firstLineChars="200"/>
              <w:rPr>
                <w:szCs w:val="22"/>
              </w:rPr>
            </w:pPr>
            <w:r>
              <w:rPr>
                <w:rFonts w:hint="eastAsia"/>
                <w:szCs w:val="22"/>
              </w:rPr>
              <w:t>公司经选举确定职业健康安全事务代表是</w:t>
            </w:r>
            <w:r>
              <w:rPr>
                <w:rFonts w:hint="eastAsia"/>
                <w:szCs w:val="22"/>
                <w:u w:val="single"/>
                <w:lang w:eastAsia="zh-CN"/>
              </w:rPr>
              <w:t>杨逸安</w:t>
            </w:r>
            <w:r>
              <w:rPr>
                <w:rFonts w:hint="eastAsia"/>
                <w:szCs w:val="22"/>
              </w:rPr>
              <w:t>；管理手册中明确了其主要职责为：</w:t>
            </w:r>
          </w:p>
          <w:p>
            <w:pPr>
              <w:spacing w:line="360" w:lineRule="auto"/>
              <w:ind w:firstLine="420" w:firstLineChars="200"/>
              <w:rPr>
                <w:szCs w:val="22"/>
              </w:rPr>
            </w:pPr>
            <w:r>
              <w:rPr>
                <w:rFonts w:hint="eastAsia"/>
                <w:szCs w:val="22"/>
              </w:rPr>
              <w:t>1.参与管理方针和程序的制定和评审；</w:t>
            </w:r>
          </w:p>
          <w:p>
            <w:pPr>
              <w:spacing w:line="360" w:lineRule="auto"/>
              <w:ind w:firstLine="420" w:firstLineChars="200"/>
              <w:rPr>
                <w:szCs w:val="22"/>
              </w:rPr>
            </w:pPr>
            <w:r>
              <w:rPr>
                <w:rFonts w:hint="eastAsia"/>
                <w:szCs w:val="22"/>
              </w:rPr>
              <w:t>2.参与商讨影响工作场所职业健康安全的任何变化；</w:t>
            </w:r>
          </w:p>
          <w:p>
            <w:pPr>
              <w:spacing w:line="360" w:lineRule="auto"/>
              <w:ind w:firstLine="420" w:firstLineChars="200"/>
              <w:rPr>
                <w:szCs w:val="22"/>
              </w:rPr>
            </w:pPr>
            <w:r>
              <w:rPr>
                <w:rFonts w:hint="eastAsia"/>
                <w:szCs w:val="22"/>
              </w:rPr>
              <w:t>3.参与职业健康安全的事务的处理。</w:t>
            </w:r>
          </w:p>
          <w:p>
            <w:pPr>
              <w:spacing w:line="360" w:lineRule="auto"/>
              <w:ind w:firstLine="420" w:firstLineChars="200"/>
              <w:rPr>
                <w:szCs w:val="22"/>
              </w:rPr>
            </w:pPr>
            <w:r>
              <w:rPr>
                <w:rFonts w:hint="eastAsia"/>
                <w:szCs w:val="22"/>
              </w:rPr>
              <w:t>介绍说，公司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spacing w:line="360" w:lineRule="auto"/>
              <w:ind w:firstLine="420" w:firstLineChars="200"/>
              <w:rPr>
                <w:szCs w:val="22"/>
              </w:rPr>
            </w:pPr>
            <w:r>
              <w:rPr>
                <w:rFonts w:hint="eastAsia"/>
                <w:szCs w:val="22"/>
              </w:rPr>
              <w:t>相关人员能够适当参与并协商办理公司经营管理及安全事务等工作。</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szCs w:val="22"/>
              </w:rPr>
              <w:t>安全事务代表能履行职责。</w:t>
            </w:r>
          </w:p>
        </w:tc>
        <w:tc>
          <w:tcPr>
            <w:tcW w:w="889"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Align w:val="top"/>
          </w:tcPr>
          <w:p>
            <w:pPr>
              <w:adjustRightInd w:val="0"/>
              <w:snapToGrid w:val="0"/>
              <w:spacing w:line="36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cs="Arial"/>
                <w:spacing w:val="-6"/>
                <w:szCs w:val="21"/>
              </w:rPr>
              <w:t>管理评审</w:t>
            </w:r>
          </w:p>
        </w:tc>
        <w:tc>
          <w:tcPr>
            <w:tcW w:w="1113" w:type="dxa"/>
            <w:vAlign w:val="top"/>
          </w:tcPr>
          <w:p>
            <w:pPr>
              <w:adjustRightInd w:val="0"/>
              <w:snapToGrid w:val="0"/>
              <w:spacing w:line="360" w:lineRule="auto"/>
              <w:ind w:right="105" w:rightChars="50"/>
              <w:textAlignment w:val="baseline"/>
              <w:rPr>
                <w:rFonts w:ascii="宋体" w:hAnsi="宋体" w:eastAsia="宋体" w:cs="Arial"/>
                <w:b/>
                <w:spacing w:val="-6"/>
                <w:kern w:val="2"/>
                <w:sz w:val="21"/>
                <w:szCs w:val="21"/>
                <w:lang w:val="en-US" w:eastAsia="zh-CN" w:bidi="ar-SA"/>
              </w:rPr>
            </w:pPr>
            <w:r>
              <w:rPr>
                <w:rFonts w:hint="eastAsia" w:ascii="宋体" w:hAnsi="宋体" w:cs="Arial"/>
                <w:spacing w:val="-6"/>
                <w:szCs w:val="21"/>
              </w:rPr>
              <w:t>QEO:9.3</w:t>
            </w:r>
          </w:p>
        </w:tc>
        <w:tc>
          <w:tcPr>
            <w:tcW w:w="10700" w:type="dxa"/>
            <w:vAlign w:val="top"/>
          </w:tcPr>
          <w:p>
            <w:pPr>
              <w:spacing w:line="360" w:lineRule="auto"/>
              <w:ind w:firstLine="420" w:firstLineChars="200"/>
              <w:rPr>
                <w:szCs w:val="22"/>
              </w:rPr>
            </w:pPr>
            <w:r>
              <w:rPr>
                <w:rFonts w:hint="eastAsia"/>
                <w:szCs w:val="22"/>
              </w:rPr>
              <w:t>2022年10月26日在会议室王高霞总经理主持了管理评审。保留有管理评审计划、管理评审会议通知、评审记录、评审报告和改进措施计划等；</w:t>
            </w:r>
          </w:p>
          <w:p>
            <w:pPr>
              <w:spacing w:line="360" w:lineRule="auto"/>
              <w:ind w:firstLine="420" w:firstLineChars="200"/>
              <w:rPr>
                <w:szCs w:val="22"/>
              </w:rPr>
            </w:pPr>
            <w:r>
              <w:rPr>
                <w:rFonts w:hint="eastAsia"/>
                <w:szCs w:val="22"/>
              </w:rPr>
              <w:t>管理评审输入较充分；</w:t>
            </w:r>
          </w:p>
          <w:p>
            <w:pPr>
              <w:spacing w:line="360" w:lineRule="auto"/>
              <w:ind w:firstLine="420" w:firstLineChars="200"/>
              <w:rPr>
                <w:szCs w:val="22"/>
              </w:rPr>
            </w:pPr>
            <w:r>
              <w:rPr>
                <w:rFonts w:hint="eastAsia"/>
                <w:szCs w:val="22"/>
              </w:rPr>
              <w:t>管理评审结论：管理体系的建立和运行是充分的、适宜的、有效的。</w:t>
            </w:r>
          </w:p>
          <w:p>
            <w:pPr>
              <w:spacing w:line="360" w:lineRule="auto"/>
              <w:ind w:firstLine="420" w:firstLineChars="200"/>
              <w:rPr>
                <w:rFonts w:hint="eastAsia"/>
                <w:szCs w:val="22"/>
              </w:rPr>
            </w:pPr>
            <w:r>
              <w:rPr>
                <w:rFonts w:hint="eastAsia"/>
                <w:szCs w:val="22"/>
              </w:rPr>
              <w:t>改进措施建议：进一步组织对相关的法律、法规、规程和规范的学习；</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szCs w:val="22"/>
              </w:rPr>
              <w:t>保留有“管理评审改进措施计划”。</w:t>
            </w:r>
          </w:p>
        </w:tc>
        <w:tc>
          <w:tcPr>
            <w:tcW w:w="889"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Align w:val="top"/>
          </w:tcPr>
          <w:p>
            <w:pPr>
              <w:adjustRightInd w:val="0"/>
              <w:snapToGrid w:val="0"/>
              <w:spacing w:line="240" w:lineRule="auto"/>
              <w:ind w:right="105" w:rightChars="50"/>
              <w:textAlignment w:val="baseline"/>
              <w:rPr>
                <w:rFonts w:ascii="宋体" w:hAnsi="宋体" w:cs="Arial"/>
                <w:spacing w:val="-6"/>
                <w:szCs w:val="21"/>
              </w:rPr>
            </w:pPr>
            <w:r>
              <w:rPr>
                <w:rFonts w:hint="eastAsia" w:ascii="宋体" w:hAnsi="宋体" w:cs="Arial"/>
                <w:spacing w:val="-6"/>
                <w:szCs w:val="21"/>
              </w:rPr>
              <w:t>改进</w:t>
            </w:r>
          </w:p>
          <w:p>
            <w:pPr>
              <w:adjustRightInd w:val="0"/>
              <w:snapToGrid w:val="0"/>
              <w:spacing w:line="24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cs="Arial"/>
                <w:spacing w:val="-6"/>
                <w:szCs w:val="21"/>
              </w:rPr>
              <w:t>持续改进</w:t>
            </w:r>
          </w:p>
        </w:tc>
        <w:tc>
          <w:tcPr>
            <w:tcW w:w="1113" w:type="dxa"/>
            <w:vAlign w:val="top"/>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QEO:10.1</w:t>
            </w:r>
          </w:p>
          <w:p>
            <w:pPr>
              <w:adjustRightInd w:val="0"/>
              <w:snapToGrid w:val="0"/>
              <w:spacing w:line="360" w:lineRule="auto"/>
              <w:ind w:right="105" w:rightChars="50"/>
              <w:textAlignment w:val="baseline"/>
              <w:rPr>
                <w:rFonts w:ascii="宋体" w:hAnsi="宋体" w:eastAsia="宋体" w:cs="Arial"/>
                <w:b/>
                <w:spacing w:val="-6"/>
                <w:kern w:val="2"/>
                <w:sz w:val="21"/>
                <w:szCs w:val="21"/>
                <w:lang w:val="en-US" w:eastAsia="zh-CN" w:bidi="ar-SA"/>
              </w:rPr>
            </w:pPr>
            <w:r>
              <w:rPr>
                <w:rFonts w:hint="eastAsia" w:ascii="宋体" w:hAnsi="宋体" w:cs="Arial"/>
                <w:spacing w:val="-6"/>
                <w:szCs w:val="21"/>
              </w:rPr>
              <w:t>QEO:10.3</w:t>
            </w:r>
          </w:p>
        </w:tc>
        <w:tc>
          <w:tcPr>
            <w:tcW w:w="10700" w:type="dxa"/>
            <w:vAlign w:val="top"/>
          </w:tcPr>
          <w:p>
            <w:pPr>
              <w:spacing w:line="360" w:lineRule="auto"/>
              <w:ind w:firstLine="420" w:firstLineChars="200"/>
              <w:rPr>
                <w:szCs w:val="22"/>
              </w:rPr>
            </w:pPr>
            <w:r>
              <w:rPr>
                <w:rFonts w:hint="eastAsia"/>
                <w:szCs w:val="22"/>
              </w:rPr>
              <w:t>管理者代表根据总经理意图组织持续改进过程的策划工作，由行政部实施持续改进过程的管理。</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szCs w:val="22"/>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889"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Align w:val="top"/>
          </w:tcPr>
          <w:p>
            <w:pPr>
              <w:adjustRightInd w:val="0"/>
              <w:snapToGrid w:val="0"/>
              <w:spacing w:line="24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eastAsia="宋体" w:cs="Arial"/>
                <w:spacing w:val="-6"/>
                <w:szCs w:val="21"/>
              </w:rPr>
              <w:t>上次审核不符合验证</w:t>
            </w:r>
          </w:p>
        </w:tc>
        <w:tc>
          <w:tcPr>
            <w:tcW w:w="1113" w:type="dxa"/>
            <w:vAlign w:val="top"/>
          </w:tcPr>
          <w:p>
            <w:pPr>
              <w:adjustRightInd w:val="0"/>
              <w:snapToGrid w:val="0"/>
              <w:spacing w:line="360" w:lineRule="auto"/>
              <w:ind w:right="105" w:rightChars="50"/>
              <w:textAlignment w:val="baseline"/>
              <w:rPr>
                <w:rFonts w:ascii="宋体" w:hAnsi="宋体" w:eastAsia="宋体" w:cs="Arial"/>
                <w:spacing w:val="-6"/>
                <w:kern w:val="2"/>
                <w:sz w:val="21"/>
                <w:szCs w:val="21"/>
                <w:lang w:val="en-US" w:eastAsia="zh-CN" w:bidi="ar-SA"/>
              </w:rPr>
            </w:pPr>
          </w:p>
        </w:tc>
        <w:tc>
          <w:tcPr>
            <w:tcW w:w="10700" w:type="dxa"/>
            <w:vAlign w:val="top"/>
          </w:tcPr>
          <w:p>
            <w:pPr>
              <w:spacing w:line="360" w:lineRule="auto"/>
              <w:ind w:firstLine="420" w:firstLineChars="200"/>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szCs w:val="22"/>
                <w:lang w:eastAsia="zh-CN"/>
              </w:rPr>
              <w:t>一阶段</w:t>
            </w:r>
            <w:r>
              <w:rPr>
                <w:rFonts w:hint="eastAsia" w:ascii="Times New Roman" w:hAnsi="Times New Roman" w:eastAsia="宋体" w:cs="Times New Roman"/>
                <w:szCs w:val="22"/>
              </w:rPr>
              <w:t>审核</w:t>
            </w:r>
            <w:r>
              <w:rPr>
                <w:rFonts w:hint="eastAsia" w:ascii="Times New Roman" w:hAnsi="Times New Roman" w:eastAsia="宋体" w:cs="Times New Roman"/>
                <w:szCs w:val="22"/>
                <w:lang w:eastAsia="zh-CN"/>
              </w:rPr>
              <w:t>未开出书面</w:t>
            </w:r>
            <w:r>
              <w:rPr>
                <w:rFonts w:hint="eastAsia" w:ascii="Times New Roman" w:hAnsi="Times New Roman" w:eastAsia="宋体" w:cs="Times New Roman"/>
                <w:szCs w:val="22"/>
              </w:rPr>
              <w:t>不符合项</w:t>
            </w:r>
            <w:r>
              <w:rPr>
                <w:rFonts w:hint="eastAsia" w:ascii="Times New Roman" w:hAnsi="Times New Roman" w:eastAsia="宋体" w:cs="Times New Roman"/>
                <w:szCs w:val="22"/>
                <w:lang w:eastAsia="zh-CN"/>
              </w:rPr>
              <w:t>。</w:t>
            </w:r>
          </w:p>
        </w:tc>
        <w:tc>
          <w:tcPr>
            <w:tcW w:w="889"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07" w:type="dxa"/>
            <w:vAlign w:val="top"/>
          </w:tcPr>
          <w:p>
            <w:pPr>
              <w:adjustRightInd w:val="0"/>
              <w:snapToGrid w:val="0"/>
              <w:spacing w:line="240" w:lineRule="auto"/>
              <w:ind w:right="105" w:rightChars="50"/>
              <w:textAlignment w:val="baseline"/>
              <w:rPr>
                <w:rFonts w:ascii="宋体" w:hAnsi="宋体" w:eastAsia="宋体" w:cs="Arial"/>
                <w:spacing w:val="-6"/>
                <w:kern w:val="2"/>
                <w:sz w:val="21"/>
                <w:szCs w:val="21"/>
                <w:lang w:val="en-US" w:eastAsia="zh-CN" w:bidi="ar-SA"/>
              </w:rPr>
            </w:pPr>
            <w:r>
              <w:rPr>
                <w:rFonts w:hint="eastAsia" w:ascii="宋体" w:hAnsi="宋体" w:cs="Arial"/>
                <w:spacing w:val="-6"/>
                <w:szCs w:val="21"/>
              </w:rPr>
              <w:t>国家/地方监督抽查情况；顾客满意、相关方投诉及处理情况</w:t>
            </w:r>
          </w:p>
        </w:tc>
        <w:tc>
          <w:tcPr>
            <w:tcW w:w="1113" w:type="dxa"/>
            <w:vAlign w:val="top"/>
          </w:tcPr>
          <w:p>
            <w:pPr>
              <w:adjustRightInd w:val="0"/>
              <w:snapToGrid w:val="0"/>
              <w:spacing w:line="360" w:lineRule="auto"/>
              <w:ind w:right="105" w:rightChars="50"/>
              <w:textAlignment w:val="baseline"/>
              <w:rPr>
                <w:rFonts w:ascii="宋体" w:hAnsi="宋体" w:eastAsia="宋体" w:cs="Arial"/>
                <w:spacing w:val="-6"/>
                <w:kern w:val="2"/>
                <w:sz w:val="21"/>
                <w:szCs w:val="21"/>
                <w:lang w:val="en-US" w:eastAsia="zh-CN" w:bidi="ar-SA"/>
              </w:rPr>
            </w:pPr>
          </w:p>
        </w:tc>
        <w:tc>
          <w:tcPr>
            <w:tcW w:w="10700" w:type="dxa"/>
            <w:vAlign w:val="top"/>
          </w:tcPr>
          <w:p>
            <w:pPr>
              <w:spacing w:line="360" w:lineRule="auto"/>
              <w:ind w:firstLine="420" w:firstLineChars="200"/>
              <w:rPr>
                <w:szCs w:val="22"/>
              </w:rPr>
            </w:pPr>
            <w:r>
              <w:rPr>
                <w:rFonts w:hint="eastAsia"/>
                <w:szCs w:val="22"/>
              </w:rPr>
              <w:t>顾客满意：2022年9月30日通过顾客满意度调查进行监测，经统计分析，顾客满意度为</w:t>
            </w:r>
            <w:r>
              <w:rPr>
                <w:rFonts w:hint="eastAsia"/>
                <w:szCs w:val="22"/>
                <w:lang w:val="en-US" w:eastAsia="zh-CN"/>
              </w:rPr>
              <w:t>100</w:t>
            </w:r>
            <w:r>
              <w:rPr>
                <w:rFonts w:hint="eastAsia"/>
                <w:szCs w:val="22"/>
              </w:rPr>
              <w:t>分。</w:t>
            </w:r>
          </w:p>
          <w:p>
            <w:pPr>
              <w:spacing w:line="360" w:lineRule="auto"/>
              <w:ind w:firstLine="420" w:firstLineChars="200"/>
              <w:rPr>
                <w:szCs w:val="22"/>
              </w:rPr>
            </w:pPr>
            <w:r>
              <w:rPr>
                <w:rFonts w:hint="eastAsia"/>
                <w:szCs w:val="22"/>
              </w:rPr>
              <w:t>自公司成立以来，未受到上级主管部门有关质量、环保、职业健康安全的行政处罚。未发生相关方投诉。</w:t>
            </w:r>
          </w:p>
          <w:p>
            <w:pPr>
              <w:adjustRightInd w:val="0"/>
              <w:snapToGrid w:val="0"/>
              <w:spacing w:beforeLines="30" w:afterLines="30" w:line="288" w:lineRule="auto"/>
              <w:ind w:right="105" w:rightChars="50" w:firstLine="420" w:firstLineChars="200"/>
              <w:textAlignment w:val="baseline"/>
              <w:rPr>
                <w:rFonts w:hint="eastAsia"/>
                <w:szCs w:val="22"/>
              </w:rPr>
            </w:pPr>
            <w:r>
              <w:rPr>
                <w:rFonts w:hint="eastAsia"/>
                <w:szCs w:val="22"/>
              </w:rPr>
              <w:t>暂时没有国家/地方抽查情况。</w:t>
            </w:r>
          </w:p>
          <w:p>
            <w:pPr>
              <w:adjustRightInd w:val="0"/>
              <w:snapToGrid w:val="0"/>
              <w:spacing w:beforeLines="30" w:afterLines="30" w:line="288" w:lineRule="auto"/>
              <w:ind w:right="105" w:rightChars="50" w:firstLine="420" w:firstLineChars="200"/>
              <w:textAlignment w:val="baseline"/>
              <w:rPr>
                <w:rFonts w:ascii="Times New Roman" w:hAnsi="Times New Roman" w:eastAsia="宋体" w:cs="Times New Roman"/>
                <w:kern w:val="2"/>
                <w:sz w:val="21"/>
                <w:lang w:val="en-US" w:eastAsia="zh-CN" w:bidi="ar-SA"/>
              </w:rPr>
            </w:pPr>
            <w:r>
              <w:rPr>
                <w:rFonts w:hint="eastAsia"/>
                <w:szCs w:val="22"/>
              </w:rPr>
              <w:t>目前没有相关行政主管部门的检查处罚，在审核现场也未发现抽查、相关方投诉等情况。</w:t>
            </w:r>
          </w:p>
        </w:tc>
        <w:tc>
          <w:tcPr>
            <w:tcW w:w="889" w:type="dxa"/>
            <w:vAlign w:val="top"/>
          </w:tcPr>
          <w:p>
            <w:pPr>
              <w:rPr>
                <w:rFonts w:ascii="Times New Roman" w:hAnsi="Times New Roman" w:eastAsia="宋体" w:cs="Times New Roman"/>
                <w:kern w:val="2"/>
                <w:sz w:val="21"/>
                <w:lang w:val="en-US" w:eastAsia="zh-CN" w:bidi="ar-SA"/>
              </w:rPr>
            </w:pPr>
            <w:r>
              <w:rPr>
                <w:rFonts w:hint="eastAsi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23884EFB"/>
    <w:rsid w:val="49653842"/>
    <w:rsid w:val="5AE21A3C"/>
    <w:rsid w:val="67B300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4982</Words>
  <Characters>5264</Characters>
  <Lines>1</Lines>
  <Paragraphs>1</Paragraphs>
  <TotalTime>34</TotalTime>
  <ScaleCrop>false</ScaleCrop>
  <LinksUpToDate>false</LinksUpToDate>
  <CharactersWithSpaces>5317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2022-11-17T02:11:41Z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8D33227296EC4A07A696BA0BBB9EF000</vt:lpwstr>
  </property>
  <property fmtid="{D5CDD505-2E9C-101B-9397-08002B2CF9AE}" pid="3" name="KSOProductBuildVer">
    <vt:lpwstr>2052-11.1.0.12763</vt:lpwstr>
  </property>
</Properties>
</file>