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2220"/>
        <w:gridCol w:w="9855"/>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47"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2220" w:type="dxa"/>
            <w:vMerge w:val="restart"/>
            <w:vAlign w:val="center"/>
          </w:tcPr>
          <w:p>
            <w:pPr>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涉及</w:t>
            </w:r>
            <w:r>
              <w:rPr>
                <w:rFonts w:hint="eastAsia" w:asciiTheme="minorEastAsia" w:hAnsiTheme="minorEastAsia" w:eastAsiaTheme="minorEastAsia" w:cstheme="minorEastAsia"/>
                <w:color w:val="auto"/>
                <w:sz w:val="21"/>
                <w:szCs w:val="21"/>
                <w:lang w:val="en-US" w:eastAsia="zh-CN"/>
              </w:rPr>
              <w:t>-</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9855" w:type="dxa"/>
            <w:vAlign w:val="center"/>
          </w:tcPr>
          <w:p>
            <w:pPr>
              <w:snapToGrid w:val="0"/>
              <w:spacing w:line="260" w:lineRule="exact"/>
              <w:jc w:val="lef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受审核部门：</w:t>
            </w:r>
            <w:r>
              <w:rPr>
                <w:rFonts w:hint="eastAsia" w:asciiTheme="minorEastAsia" w:hAnsiTheme="minorEastAsia" w:eastAsiaTheme="minorEastAsia" w:cstheme="minorEastAsia"/>
                <w:color w:val="auto"/>
                <w:kern w:val="2"/>
                <w:sz w:val="21"/>
                <w:szCs w:val="21"/>
                <w:lang w:val="en-US" w:eastAsia="zh-CN" w:bidi="ar"/>
              </w:rPr>
              <w:t>生产部</w:t>
            </w:r>
            <w:r>
              <w:rPr>
                <w:rFonts w:hint="eastAsia" w:asciiTheme="minorEastAsia" w:hAnsiTheme="minorEastAsia" w:eastAsiaTheme="minorEastAsia" w:cstheme="minorEastAsia"/>
                <w:color w:val="auto"/>
                <w:sz w:val="21"/>
                <w:szCs w:val="21"/>
                <w:lang w:val="en-US" w:eastAsia="zh-CN"/>
              </w:rPr>
              <w:t xml:space="preserve">       主管领导： </w:t>
            </w:r>
            <w:r>
              <w:rPr>
                <w:rFonts w:hint="eastAsia" w:asciiTheme="minorEastAsia" w:hAnsiTheme="minorEastAsia" w:eastAsiaTheme="minorEastAsia" w:cstheme="minorEastAsia"/>
                <w:color w:val="auto"/>
                <w:sz w:val="21"/>
                <w:szCs w:val="21"/>
                <w:lang w:eastAsia="zh-CN"/>
              </w:rPr>
              <w:t>张艳波</w:t>
            </w:r>
            <w:r>
              <w:rPr>
                <w:rFonts w:hint="eastAsia" w:asciiTheme="minorEastAsia" w:hAnsiTheme="minorEastAsia" w:eastAsiaTheme="minorEastAsia" w:cstheme="minorEastAsia"/>
                <w:color w:val="auto"/>
                <w:sz w:val="21"/>
                <w:szCs w:val="21"/>
                <w:lang w:val="en-US" w:eastAsia="zh-CN"/>
              </w:rPr>
              <w:t xml:space="preserve">         陪同人员：</w:t>
            </w:r>
            <w:r>
              <w:rPr>
                <w:rFonts w:hint="eastAsia" w:ascii="仿宋_GB2312" w:eastAsia="仿宋_GB2312"/>
              </w:rPr>
              <w:t>高红雪</w:t>
            </w:r>
          </w:p>
        </w:tc>
        <w:tc>
          <w:tcPr>
            <w:tcW w:w="1187"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47" w:type="dxa"/>
            <w:vMerge w:val="continue"/>
            <w:vAlign w:val="center"/>
          </w:tcPr>
          <w:p>
            <w:pPr>
              <w:rPr>
                <w:rFonts w:hint="eastAsia" w:asciiTheme="minorEastAsia" w:hAnsiTheme="minorEastAsia" w:eastAsiaTheme="minorEastAsia" w:cstheme="minorEastAsia"/>
                <w:color w:val="auto"/>
                <w:sz w:val="21"/>
                <w:szCs w:val="21"/>
              </w:rPr>
            </w:pPr>
          </w:p>
        </w:tc>
        <w:tc>
          <w:tcPr>
            <w:tcW w:w="2220" w:type="dxa"/>
            <w:vMerge w:val="continue"/>
            <w:vAlign w:val="center"/>
          </w:tcPr>
          <w:p>
            <w:pPr>
              <w:rPr>
                <w:rFonts w:hint="eastAsia" w:asciiTheme="minorEastAsia" w:hAnsiTheme="minorEastAsia" w:eastAsiaTheme="minorEastAsia" w:cstheme="minorEastAsia"/>
                <w:color w:val="auto"/>
                <w:sz w:val="21"/>
                <w:szCs w:val="21"/>
              </w:rPr>
            </w:pPr>
          </w:p>
        </w:tc>
        <w:tc>
          <w:tcPr>
            <w:tcW w:w="9855" w:type="dxa"/>
            <w:vAlign w:val="center"/>
          </w:tcPr>
          <w:p>
            <w:pPr>
              <w:snapToGrid w:val="0"/>
              <w:spacing w:line="260" w:lineRule="exact"/>
              <w:jc w:val="lef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审核员：赵丽萍         审核时间：2023.1.3</w:t>
            </w:r>
          </w:p>
        </w:tc>
        <w:tc>
          <w:tcPr>
            <w:tcW w:w="1187"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47" w:type="dxa"/>
            <w:vMerge w:val="continue"/>
            <w:vAlign w:val="center"/>
          </w:tcPr>
          <w:p>
            <w:pPr>
              <w:rPr>
                <w:rFonts w:hint="eastAsia" w:asciiTheme="minorEastAsia" w:hAnsiTheme="minorEastAsia" w:eastAsiaTheme="minorEastAsia" w:cstheme="minorEastAsia"/>
                <w:color w:val="auto"/>
                <w:sz w:val="21"/>
                <w:szCs w:val="21"/>
              </w:rPr>
            </w:pPr>
          </w:p>
        </w:tc>
        <w:tc>
          <w:tcPr>
            <w:tcW w:w="2220" w:type="dxa"/>
            <w:vMerge w:val="continue"/>
            <w:vAlign w:val="center"/>
          </w:tcPr>
          <w:p>
            <w:pPr>
              <w:rPr>
                <w:rFonts w:hint="eastAsia" w:asciiTheme="minorEastAsia" w:hAnsiTheme="minorEastAsia" w:eastAsiaTheme="minorEastAsia" w:cstheme="minorEastAsia"/>
                <w:color w:val="auto"/>
                <w:sz w:val="21"/>
                <w:szCs w:val="21"/>
              </w:rPr>
            </w:pPr>
          </w:p>
        </w:tc>
        <w:tc>
          <w:tcPr>
            <w:tcW w:w="9855" w:type="dxa"/>
            <w:vAlign w:val="center"/>
          </w:tcPr>
          <w:p>
            <w:pPr>
              <w:rPr>
                <w:sz w:val="21"/>
                <w:szCs w:val="21"/>
                <w:lang w:val="de-DE"/>
              </w:rPr>
            </w:pPr>
            <w:r>
              <w:rPr>
                <w:rFonts w:hint="eastAsia"/>
                <w:sz w:val="21"/>
                <w:szCs w:val="21"/>
                <w:lang w:val="de-DE"/>
              </w:rPr>
              <w:t>Q</w:t>
            </w:r>
            <w:r>
              <w:rPr>
                <w:sz w:val="21"/>
                <w:szCs w:val="21"/>
                <w:lang w:val="de-DE"/>
              </w:rPr>
              <w:t>MS:</w:t>
            </w:r>
            <w:r>
              <w:rPr>
                <w:rFonts w:hint="eastAsia"/>
                <w:sz w:val="21"/>
                <w:szCs w:val="21"/>
                <w:lang w:val="de-DE"/>
              </w:rPr>
              <w:t xml:space="preserve"> 5.3、6.2、</w:t>
            </w:r>
            <w:r>
              <w:rPr>
                <w:sz w:val="21"/>
                <w:szCs w:val="21"/>
                <w:lang w:val="de-DE"/>
              </w:rPr>
              <w:t>7.1.3</w:t>
            </w:r>
            <w:r>
              <w:rPr>
                <w:rFonts w:hint="eastAsia"/>
                <w:sz w:val="21"/>
                <w:szCs w:val="21"/>
                <w:lang w:val="de-DE"/>
              </w:rPr>
              <w:t>、</w:t>
            </w:r>
            <w:r>
              <w:rPr>
                <w:sz w:val="21"/>
                <w:szCs w:val="21"/>
                <w:lang w:val="de-DE"/>
              </w:rPr>
              <w:t>7.1.4</w:t>
            </w:r>
            <w:r>
              <w:rPr>
                <w:rFonts w:hint="eastAsia"/>
                <w:sz w:val="21"/>
                <w:szCs w:val="21"/>
                <w:lang w:val="de-DE"/>
              </w:rPr>
              <w:t>、8.1</w:t>
            </w:r>
            <w:r>
              <w:rPr>
                <w:rFonts w:hint="eastAsia"/>
                <w:sz w:val="21"/>
                <w:szCs w:val="21"/>
              </w:rPr>
              <w:t>、</w:t>
            </w:r>
            <w:r>
              <w:rPr>
                <w:rFonts w:hint="eastAsia"/>
                <w:sz w:val="21"/>
                <w:szCs w:val="21"/>
                <w:lang w:val="de-DE"/>
              </w:rPr>
              <w:t>8.3，8.5</w:t>
            </w:r>
            <w:r>
              <w:rPr>
                <w:sz w:val="21"/>
                <w:szCs w:val="21"/>
                <w:lang w:val="de-DE"/>
              </w:rPr>
              <w:t xml:space="preserve"> </w:t>
            </w:r>
          </w:p>
          <w:p>
            <w:pPr>
              <w:rPr>
                <w:sz w:val="21"/>
                <w:szCs w:val="21"/>
                <w:lang w:val="de-DE"/>
              </w:rPr>
            </w:pPr>
            <w:r>
              <w:rPr>
                <w:sz w:val="21"/>
                <w:szCs w:val="21"/>
                <w:lang w:val="de-DE"/>
              </w:rPr>
              <w:t>EMS: 5.3</w:t>
            </w:r>
            <w:r>
              <w:rPr>
                <w:rFonts w:hint="eastAsia"/>
                <w:sz w:val="21"/>
                <w:szCs w:val="21"/>
              </w:rPr>
              <w:t>、</w:t>
            </w:r>
            <w:r>
              <w:rPr>
                <w:rFonts w:hint="eastAsia"/>
                <w:sz w:val="21"/>
                <w:szCs w:val="21"/>
                <w:lang w:val="de-DE"/>
              </w:rPr>
              <w:t>6.2，</w:t>
            </w:r>
            <w:r>
              <w:rPr>
                <w:sz w:val="21"/>
                <w:szCs w:val="21"/>
                <w:lang w:val="de-DE"/>
              </w:rPr>
              <w:t>6.1.2</w:t>
            </w:r>
            <w:r>
              <w:rPr>
                <w:rFonts w:hint="eastAsia"/>
                <w:sz w:val="21"/>
                <w:szCs w:val="21"/>
              </w:rPr>
              <w:t>、</w:t>
            </w:r>
            <w:r>
              <w:rPr>
                <w:sz w:val="21"/>
                <w:szCs w:val="21"/>
                <w:lang w:val="de-DE"/>
              </w:rPr>
              <w:t>8.1</w:t>
            </w:r>
            <w:r>
              <w:rPr>
                <w:rFonts w:hint="eastAsia"/>
                <w:sz w:val="21"/>
                <w:szCs w:val="21"/>
              </w:rPr>
              <w:t>、</w:t>
            </w:r>
            <w:r>
              <w:rPr>
                <w:sz w:val="21"/>
                <w:szCs w:val="21"/>
                <w:lang w:val="de-DE"/>
              </w:rPr>
              <w:t>8.2</w:t>
            </w:r>
            <w:r>
              <w:rPr>
                <w:rFonts w:hint="eastAsia"/>
                <w:sz w:val="21"/>
                <w:szCs w:val="21"/>
                <w:lang w:val="de-DE"/>
              </w:rPr>
              <w:t>，</w:t>
            </w:r>
          </w:p>
          <w:p>
            <w:pPr>
              <w:pStyle w:val="14"/>
              <w:rPr>
                <w:rFonts w:hint="eastAsia" w:asciiTheme="minorEastAsia" w:hAnsiTheme="minorEastAsia" w:eastAsiaTheme="minorEastAsia" w:cstheme="minorEastAsia"/>
                <w:color w:val="auto"/>
                <w:kern w:val="2"/>
                <w:sz w:val="21"/>
                <w:szCs w:val="21"/>
                <w:lang w:val="en-US" w:eastAsia="zh-CN" w:bidi="ar"/>
              </w:rPr>
            </w:pPr>
            <w:r>
              <w:rPr>
                <w:sz w:val="21"/>
                <w:szCs w:val="21"/>
              </w:rPr>
              <w:t>OHS:</w:t>
            </w:r>
            <w:r>
              <w:rPr>
                <w:rFonts w:hint="eastAsia" w:eastAsiaTheme="minorEastAsia"/>
                <w:sz w:val="21"/>
                <w:szCs w:val="21"/>
                <w:lang w:eastAsia="zh-CN"/>
              </w:rPr>
              <w:t xml:space="preserve"> </w:t>
            </w:r>
            <w:r>
              <w:rPr>
                <w:sz w:val="21"/>
                <w:szCs w:val="21"/>
              </w:rPr>
              <w:t>5.3</w:t>
            </w:r>
            <w:r>
              <w:rPr>
                <w:rFonts w:hint="eastAsia" w:ascii="宋体" w:hAnsi="宋体" w:eastAsia="宋体" w:cs="宋体"/>
                <w:sz w:val="21"/>
                <w:szCs w:val="21"/>
              </w:rPr>
              <w:t>、</w:t>
            </w:r>
            <w:r>
              <w:rPr>
                <w:rFonts w:hint="eastAsia"/>
                <w:sz w:val="21"/>
                <w:szCs w:val="21"/>
              </w:rPr>
              <w:t>6.2</w:t>
            </w:r>
            <w:r>
              <w:rPr>
                <w:rFonts w:hint="eastAsia" w:ascii="宋体" w:hAnsi="宋体" w:eastAsia="宋体" w:cs="宋体"/>
                <w:sz w:val="21"/>
                <w:szCs w:val="21"/>
              </w:rPr>
              <w:t>，</w:t>
            </w:r>
            <w:r>
              <w:rPr>
                <w:sz w:val="21"/>
                <w:szCs w:val="21"/>
              </w:rPr>
              <w:t>6.1.2</w:t>
            </w:r>
            <w:r>
              <w:rPr>
                <w:rFonts w:hint="eastAsia" w:ascii="宋体" w:hAnsi="宋体" w:eastAsia="宋体" w:cs="宋体"/>
                <w:sz w:val="21"/>
                <w:szCs w:val="21"/>
              </w:rPr>
              <w:t>、</w:t>
            </w:r>
            <w:r>
              <w:rPr>
                <w:sz w:val="21"/>
                <w:szCs w:val="21"/>
              </w:rPr>
              <w:t>8.1</w:t>
            </w:r>
            <w:r>
              <w:rPr>
                <w:rFonts w:hint="eastAsia" w:ascii="宋体" w:hAnsi="宋体" w:eastAsia="宋体" w:cs="宋体"/>
                <w:sz w:val="21"/>
                <w:szCs w:val="21"/>
              </w:rPr>
              <w:t>、</w:t>
            </w:r>
            <w:r>
              <w:rPr>
                <w:sz w:val="21"/>
                <w:szCs w:val="21"/>
              </w:rPr>
              <w:t>8.2</w:t>
            </w:r>
            <w:r>
              <w:rPr>
                <w:rFonts w:hint="eastAsia" w:ascii="宋体" w:hAnsi="宋体" w:eastAsia="宋体" w:cs="宋体"/>
                <w:sz w:val="21"/>
                <w:szCs w:val="21"/>
              </w:rPr>
              <w:t>，</w:t>
            </w:r>
            <w:r>
              <w:rPr>
                <w:rFonts w:hint="eastAsia" w:ascii="宋体" w:hAnsi="宋体" w:eastAsia="宋体" w:cs="Arial"/>
                <w:sz w:val="21"/>
                <w:szCs w:val="21"/>
                <w:lang w:eastAsia="zh-CN"/>
              </w:rPr>
              <w:t xml:space="preserve"> </w:t>
            </w:r>
          </w:p>
        </w:tc>
        <w:tc>
          <w:tcPr>
            <w:tcW w:w="1187"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kern w:val="0"/>
                <w:sz w:val="21"/>
                <w:szCs w:val="21"/>
                <w:lang w:val="en-US" w:eastAsia="zh-CN" w:bidi="ar"/>
              </w:rPr>
              <w:t>岗位、职责和权限</w:t>
            </w:r>
          </w:p>
        </w:tc>
        <w:tc>
          <w:tcPr>
            <w:tcW w:w="2220" w:type="dxa"/>
          </w:tcPr>
          <w:p>
            <w:pPr>
              <w:pStyle w:val="1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QEO5.3</w:t>
            </w:r>
          </w:p>
        </w:tc>
        <w:tc>
          <w:tcPr>
            <w:tcW w:w="9855" w:type="dxa"/>
          </w:tcPr>
          <w:p>
            <w:pPr>
              <w:numPr>
                <w:ilvl w:val="0"/>
                <w:numId w:val="0"/>
              </w:numPr>
              <w:spacing w:after="200" w:line="276" w:lineRule="auto"/>
              <w:ind w:leftChars="0"/>
              <w:rPr>
                <w:rFonts w:hint="eastAsia" w:eastAsia="宋体"/>
                <w:lang w:eastAsia="zh-CN"/>
              </w:rPr>
            </w:pPr>
            <w:r>
              <w:rPr>
                <w:rFonts w:hint="eastAsia" w:asciiTheme="minorEastAsia" w:hAnsiTheme="minorEastAsia" w:eastAsiaTheme="minorEastAsia" w:cstheme="minorEastAsia"/>
                <w:color w:val="auto"/>
                <w:sz w:val="21"/>
                <w:szCs w:val="21"/>
                <w:lang w:val="en-US" w:eastAsia="zh-CN"/>
              </w:rPr>
              <w:t>生产部长介绍，本部门主要职责包括：</w:t>
            </w:r>
            <w:r>
              <w:rPr>
                <w:rFonts w:hint="eastAsia" w:ascii="宋体" w:hAnsi="宋体" w:cs="宋体"/>
                <w:color w:val="000000"/>
                <w:szCs w:val="21"/>
                <w:highlight w:val="white"/>
              </w:rPr>
              <w:t>公司基础设施和工作环境的管理</w:t>
            </w:r>
            <w:r>
              <w:rPr>
                <w:rFonts w:hint="eastAsia" w:ascii="宋体" w:hAnsi="宋体" w:cs="宋体"/>
                <w:color w:val="000000"/>
                <w:szCs w:val="21"/>
                <w:highlight w:val="white"/>
                <w:lang w:val="en-US" w:eastAsia="zh-CN"/>
              </w:rPr>
              <w:t>；</w:t>
            </w:r>
            <w:r>
              <w:rPr>
                <w:rFonts w:hint="eastAsia" w:ascii="宋体" w:hAnsi="宋体" w:cs="宋体"/>
                <w:color w:val="000000"/>
                <w:szCs w:val="21"/>
                <w:highlight w:val="white"/>
              </w:rPr>
              <w:t>产品生产工作</w:t>
            </w:r>
            <w:r>
              <w:rPr>
                <w:rFonts w:hint="eastAsia"/>
                <w:lang w:val="en-US" w:eastAsia="zh-CN"/>
              </w:rPr>
              <w:t>；</w:t>
            </w:r>
            <w:r>
              <w:rPr>
                <w:rFonts w:hint="eastAsia"/>
              </w:rPr>
              <w:t>负责本部门环境因素、危险源的识别和评价</w:t>
            </w:r>
            <w:r>
              <w:rPr>
                <w:rFonts w:hint="eastAsia"/>
                <w:lang w:val="en-US" w:eastAsia="zh-CN"/>
              </w:rPr>
              <w:t>；</w:t>
            </w:r>
          </w:p>
          <w:p>
            <w:pPr>
              <w:spacing w:after="200" w:line="276" w:lineRule="auto"/>
              <w:rPr>
                <w:rFonts w:hint="eastAsia" w:asciiTheme="minorEastAsia" w:hAnsiTheme="minorEastAsia" w:eastAsiaTheme="minorEastAsia" w:cstheme="minorEastAsia"/>
                <w:color w:val="auto"/>
                <w:sz w:val="21"/>
                <w:szCs w:val="21"/>
                <w:lang w:val="en-US" w:eastAsia="zh-CN"/>
              </w:rPr>
            </w:pPr>
            <w:r>
              <w:rPr>
                <w:rFonts w:hint="eastAsia"/>
              </w:rPr>
              <w:t>现场询问部门负责人</w:t>
            </w:r>
            <w:r>
              <w:rPr>
                <w:rFonts w:hint="eastAsia"/>
                <w:lang w:eastAsia="zh-CN"/>
              </w:rPr>
              <w:t>张艳波</w:t>
            </w:r>
            <w:r>
              <w:rPr>
                <w:rFonts w:hint="eastAsia"/>
              </w:rPr>
              <w:t>，能够了解并履行自己职责，沟通顺畅。</w:t>
            </w:r>
          </w:p>
        </w:tc>
        <w:tc>
          <w:tcPr>
            <w:tcW w:w="1187" w:type="dxa"/>
            <w:vAlign w:val="top"/>
          </w:tcPr>
          <w:p>
            <w:pPr>
              <w:pStyle w:val="14"/>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目标、方案</w:t>
            </w:r>
          </w:p>
        </w:tc>
        <w:tc>
          <w:tcPr>
            <w:tcW w:w="2220" w:type="dxa"/>
          </w:tcPr>
          <w:p>
            <w:pPr>
              <w:pStyle w:val="1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QEO6.2</w:t>
            </w:r>
          </w:p>
        </w:tc>
        <w:tc>
          <w:tcPr>
            <w:tcW w:w="9855" w:type="dxa"/>
          </w:tcPr>
          <w:p>
            <w:pPr>
              <w:numPr>
                <w:ilvl w:val="0"/>
                <w:numId w:val="0"/>
              </w:numPr>
              <w:spacing w:after="200" w:line="276" w:lineRule="auto"/>
              <w:ind w:leftChars="0"/>
              <w:rPr>
                <w:rFonts w:hint="eastAsia"/>
                <w:lang w:val="en-US" w:eastAsia="zh-CN"/>
              </w:rPr>
            </w:pPr>
            <w:r>
              <w:rPr>
                <w:rFonts w:hint="eastAsia"/>
                <w:lang w:val="en-US" w:eastAsia="zh-CN"/>
              </w:rPr>
              <w:t>分解到</w:t>
            </w:r>
            <w:r>
              <w:rPr>
                <w:rFonts w:hint="eastAsia"/>
              </w:rPr>
              <w:t>本部门的</w:t>
            </w:r>
            <w:r>
              <w:rPr>
                <w:rFonts w:hint="eastAsia"/>
                <w:lang w:val="en-US" w:eastAsia="zh-CN"/>
              </w:rPr>
              <w:t>及查看2022.11.4目标完成情况：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rPr>
            </w:pPr>
            <w:r>
              <w:rPr>
                <w:rFonts w:hint="eastAsia"/>
              </w:rPr>
              <w:t xml:space="preserve">目标                            </w:t>
            </w:r>
            <w:r>
              <w:rPr>
                <w:rFonts w:hint="eastAsia"/>
                <w:lang w:val="en-US" w:eastAsia="zh-CN"/>
              </w:rPr>
              <w:t xml:space="preserve">                                 </w:t>
            </w:r>
            <w:r>
              <w:rPr>
                <w:rFonts w:hint="eastAsia"/>
              </w:rPr>
              <w:t>完成情况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rPr>
            </w:pPr>
            <w:r>
              <w:rPr>
                <w:rFonts w:hint="eastAsia"/>
              </w:rPr>
              <w:t>1、</w:t>
            </w:r>
            <w:r>
              <w:rPr>
                <w:rFonts w:hint="eastAsia" w:ascii="宋体" w:hAnsi="宋体"/>
                <w:szCs w:val="21"/>
              </w:rPr>
              <w:t>产品交付合格率</w:t>
            </w:r>
            <w:r>
              <w:rPr>
                <w:rFonts w:ascii="宋体" w:hAnsi="宋体"/>
                <w:szCs w:val="21"/>
              </w:rPr>
              <w:t>9</w:t>
            </w:r>
            <w:r>
              <w:rPr>
                <w:rFonts w:hint="eastAsia" w:ascii="宋体" w:hAnsi="宋体"/>
                <w:szCs w:val="21"/>
                <w:lang w:val="en-US" w:eastAsia="zh-CN"/>
              </w:rPr>
              <w:t>8</w:t>
            </w:r>
            <w:r>
              <w:rPr>
                <w:rFonts w:hint="eastAsia" w:ascii="宋体" w:hAnsi="宋体"/>
                <w:szCs w:val="21"/>
              </w:rPr>
              <w:t>%以上</w:t>
            </w:r>
            <w:r>
              <w:rPr>
                <w:rFonts w:hint="eastAsia"/>
              </w:rPr>
              <w:t xml:space="preserve">      </w:t>
            </w:r>
            <w:r>
              <w:rPr>
                <w:rFonts w:hint="eastAsia"/>
                <w:lang w:val="en-US" w:eastAsia="zh-CN"/>
              </w:rPr>
              <w:t xml:space="preserve">                                     </w:t>
            </w:r>
            <w:r>
              <w:rPr>
                <w:rFonts w:hint="eastAsia"/>
              </w:rPr>
              <w:t xml:space="preserve"> 100%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rPr>
            </w:pPr>
            <w:r>
              <w:rPr>
                <w:rFonts w:hint="eastAsia"/>
              </w:rPr>
              <w:t>2、</w:t>
            </w:r>
            <w:r>
              <w:rPr>
                <w:rFonts w:hint="eastAsia" w:ascii="宋体" w:hAnsi="宋体"/>
                <w:sz w:val="21"/>
                <w:szCs w:val="21"/>
              </w:rPr>
              <w:t>产生的固体废物、分类、收集、统一处理，减少环境污染</w:t>
            </w:r>
            <w:r>
              <w:rPr>
                <w:rFonts w:hint="eastAsia"/>
              </w:rPr>
              <w:t xml:space="preserve">                </w:t>
            </w:r>
            <w:r>
              <w:rPr>
                <w:rFonts w:hint="eastAsia"/>
                <w:lang w:val="en-US" w:eastAsia="zh-CN"/>
              </w:rPr>
              <w:t>符合</w:t>
            </w:r>
          </w:p>
          <w:p>
            <w:pPr>
              <w:rPr>
                <w:rFonts w:hint="default" w:eastAsia="方正北魏楷书简体"/>
                <w:lang w:val="en-US" w:eastAsia="zh-CN"/>
              </w:rPr>
            </w:pPr>
            <w:r>
              <w:rPr>
                <w:rFonts w:hint="eastAsia"/>
                <w:lang w:val="en-US" w:eastAsia="zh-CN"/>
              </w:rPr>
              <w:t>3、</w:t>
            </w:r>
            <w:r>
              <w:rPr>
                <w:rFonts w:hint="eastAsia" w:ascii="宋体" w:hAnsi="宋体"/>
                <w:bCs/>
                <w:sz w:val="21"/>
                <w:szCs w:val="21"/>
              </w:rPr>
              <w:t>触电事故为</w:t>
            </w:r>
            <w:r>
              <w:rPr>
                <w:rFonts w:ascii="宋体" w:hAnsi="宋体"/>
                <w:bCs/>
                <w:sz w:val="21"/>
                <w:szCs w:val="21"/>
              </w:rPr>
              <w:t>0</w:t>
            </w:r>
            <w:r>
              <w:rPr>
                <w:rFonts w:hint="eastAsia" w:ascii="Times New Roman" w:hAnsi="Times New Roman" w:cs="Times New Roman"/>
              </w:rPr>
              <w:t>。</w:t>
            </w:r>
            <w:r>
              <w:rPr>
                <w:rFonts w:hint="eastAsia" w:ascii="Times New Roman" w:hAnsi="Times New Roman" w:eastAsia="方正北魏楷书简体"/>
                <w:szCs w:val="21"/>
                <w:lang w:val="en-US" w:eastAsia="zh-CN"/>
              </w:rPr>
              <w:t xml:space="preserve">                   </w:t>
            </w:r>
            <w:r>
              <w:rPr>
                <w:rFonts w:hint="eastAsia" w:eastAsia="方正北魏楷书简体"/>
                <w:szCs w:val="21"/>
                <w:lang w:val="en-US" w:eastAsia="zh-CN"/>
              </w:rPr>
              <w:t xml:space="preserve">                               </w:t>
            </w:r>
            <w:r>
              <w:rPr>
                <w:rFonts w:hint="eastAsia" w:ascii="Times New Roman" w:hAnsi="Times New Roman" w:eastAsia="方正北魏楷书简体"/>
                <w:szCs w:val="21"/>
                <w:lang w:val="en-US" w:eastAsia="zh-CN"/>
              </w:rPr>
              <w:t xml:space="preserve">  </w:t>
            </w:r>
            <w:r>
              <w:rPr>
                <w:rFonts w:hint="eastAsia" w:eastAsia="方正北魏楷书简体"/>
                <w:szCs w:val="21"/>
                <w:lang w:val="en-US" w:eastAsia="zh-CN"/>
              </w:rPr>
              <w:t>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rPr>
            </w:pPr>
            <w:r>
              <w:rPr>
                <w:rFonts w:hint="eastAsia"/>
                <w:lang w:val="en-US" w:eastAsia="zh-CN"/>
              </w:rPr>
              <w:t>4、</w:t>
            </w:r>
            <w:r>
              <w:rPr>
                <w:rFonts w:hint="eastAsia" w:ascii="宋体" w:hAnsi="宋体"/>
                <w:bCs/>
                <w:sz w:val="21"/>
                <w:szCs w:val="21"/>
              </w:rPr>
              <w:t>职业病发生为</w:t>
            </w:r>
            <w:r>
              <w:rPr>
                <w:rFonts w:ascii="宋体" w:hAnsi="宋体"/>
                <w:bCs/>
                <w:sz w:val="21"/>
                <w:szCs w:val="21"/>
              </w:rPr>
              <w:t>0</w:t>
            </w:r>
            <w:r>
              <w:rPr>
                <w:rFonts w:hint="eastAsia"/>
              </w:rPr>
              <w:t xml:space="preserve">。                        </w:t>
            </w:r>
            <w:r>
              <w:rPr>
                <w:rFonts w:hint="eastAsia"/>
                <w:lang w:val="en-US" w:eastAsia="zh-CN"/>
              </w:rPr>
              <w:t xml:space="preserve">                        </w:t>
            </w:r>
            <w:r>
              <w:rPr>
                <w:rFonts w:hint="eastAsia"/>
              </w:rPr>
              <w:t xml:space="preserve">  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rPr>
            </w:pPr>
            <w:r>
              <w:rPr>
                <w:rFonts w:hint="eastAsia"/>
                <w:lang w:val="en-US" w:eastAsia="zh-CN"/>
              </w:rPr>
              <w:t>5、</w:t>
            </w:r>
            <w:r>
              <w:rPr>
                <w:rFonts w:hint="eastAsia"/>
                <w:bCs/>
                <w:sz w:val="21"/>
                <w:szCs w:val="21"/>
              </w:rPr>
              <w:t>火灾事故为</w:t>
            </w:r>
            <w:r>
              <w:rPr>
                <w:bCs/>
                <w:sz w:val="21"/>
                <w:szCs w:val="21"/>
              </w:rPr>
              <w:t>0</w:t>
            </w:r>
            <w:r>
              <w:rPr>
                <w:rFonts w:hint="eastAsia"/>
              </w:rPr>
              <w:t xml:space="preserve">。                  </w:t>
            </w:r>
            <w:r>
              <w:rPr>
                <w:rFonts w:hint="eastAsia"/>
                <w:lang w:val="en-US" w:eastAsia="zh-CN"/>
              </w:rPr>
              <w:t xml:space="preserve">                            </w:t>
            </w:r>
            <w:r>
              <w:rPr>
                <w:rFonts w:hint="eastAsia"/>
              </w:rPr>
              <w:t xml:space="preserve">      0</w:t>
            </w:r>
          </w:p>
          <w:p>
            <w:pPr>
              <w:autoSpaceDE w:val="0"/>
              <w:autoSpaceDN w:val="0"/>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rPr>
              <w:t>提供《目标</w:t>
            </w:r>
            <w:r>
              <w:rPr>
                <w:rFonts w:hint="eastAsia"/>
                <w:lang w:val="en-US" w:eastAsia="zh-CN"/>
              </w:rPr>
              <w:t>指标</w:t>
            </w:r>
            <w:r>
              <w:rPr>
                <w:rFonts w:hint="eastAsia"/>
              </w:rPr>
              <w:t>完成情况</w:t>
            </w:r>
            <w:r>
              <w:rPr>
                <w:rFonts w:hint="eastAsia"/>
                <w:lang w:val="en-US" w:eastAsia="zh-CN"/>
              </w:rPr>
              <w:t>统计</w:t>
            </w:r>
            <w:r>
              <w:rPr>
                <w:rFonts w:hint="eastAsia"/>
              </w:rPr>
              <w:t>表》</w:t>
            </w:r>
            <w:r>
              <w:rPr>
                <w:rFonts w:hint="eastAsia"/>
                <w:lang w:val="en-US" w:eastAsia="zh-CN"/>
              </w:rPr>
              <w:t>考核人：</w:t>
            </w:r>
            <w:r>
              <w:rPr>
                <w:rFonts w:hint="eastAsia" w:ascii="宋体" w:hAnsi="宋体"/>
                <w:bCs/>
                <w:sz w:val="21"/>
                <w:szCs w:val="21"/>
              </w:rPr>
              <w:t>高红雪</w:t>
            </w:r>
            <w:r>
              <w:rPr>
                <w:rFonts w:hint="eastAsia"/>
              </w:rPr>
              <w:t>。</w:t>
            </w:r>
          </w:p>
        </w:tc>
        <w:tc>
          <w:tcPr>
            <w:tcW w:w="1187" w:type="dxa"/>
          </w:tcPr>
          <w:p>
            <w:pPr>
              <w:pStyle w:val="1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基础设施</w:t>
            </w:r>
          </w:p>
        </w:tc>
        <w:tc>
          <w:tcPr>
            <w:tcW w:w="2220" w:type="dxa"/>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Q</w:t>
            </w:r>
            <w:r>
              <w:rPr>
                <w:rFonts w:hint="eastAsia" w:cs="Times New Roman"/>
                <w:lang w:val="en-US" w:eastAsia="zh-CN"/>
              </w:rPr>
              <w:t>：</w:t>
            </w:r>
            <w:r>
              <w:rPr>
                <w:rFonts w:hint="eastAsia" w:ascii="Times New Roman" w:hAnsi="Times New Roman" w:eastAsia="宋体" w:cs="Times New Roman"/>
              </w:rPr>
              <w:t>7.1.3</w:t>
            </w:r>
          </w:p>
        </w:tc>
        <w:tc>
          <w:tcPr>
            <w:tcW w:w="9855" w:type="dxa"/>
            <w:vAlign w:val="center"/>
          </w:tcPr>
          <w:p>
            <w:pPr>
              <w:rPr>
                <w:rFonts w:hint="eastAsia"/>
              </w:rPr>
            </w:pPr>
            <w:r>
              <w:rPr>
                <w:rFonts w:hint="eastAsia"/>
                <w:lang w:eastAsia="zh-CN"/>
              </w:rPr>
              <w:t>提供了设备</w:t>
            </w:r>
            <w:r>
              <w:rPr>
                <w:rFonts w:hint="eastAsia"/>
                <w:lang w:val="en-US" w:eastAsia="zh-CN"/>
              </w:rPr>
              <w:t>清单</w:t>
            </w:r>
            <w:r>
              <w:rPr>
                <w:rFonts w:hint="eastAsia"/>
              </w:rPr>
              <w:t>，</w:t>
            </w:r>
            <w:r>
              <w:rPr>
                <w:rFonts w:hint="eastAsia"/>
                <w:lang w:val="en-US" w:eastAsia="zh-CN"/>
              </w:rPr>
              <w:t>主要有工具箱、开孔钻、安装器变径、砂轮机、角磨机、扳手等。</w:t>
            </w:r>
            <w:r>
              <w:rPr>
                <w:rFonts w:hint="eastAsia"/>
              </w:rPr>
              <w:t>可满足生产需要。</w:t>
            </w:r>
          </w:p>
          <w:p>
            <w:pPr>
              <w:rPr>
                <w:rFonts w:hint="eastAsia"/>
              </w:rPr>
            </w:pPr>
            <w:r>
              <w:rPr>
                <w:rFonts w:hint="eastAsia"/>
              </w:rPr>
              <w:t>生产设备完好，维护保养基本得当，能够满足生产符合要求产品的需要。</w:t>
            </w:r>
          </w:p>
          <w:p>
            <w:pPr>
              <w:rPr>
                <w:rFonts w:hint="eastAsia"/>
              </w:rPr>
            </w:pPr>
            <w:r>
              <w:rPr>
                <w:rFonts w:hint="eastAsia" w:ascii="宋体" w:hAnsi="宋体"/>
                <w:sz w:val="21"/>
                <w:szCs w:val="21"/>
                <w:lang w:val="en-US" w:eastAsia="zh-CN"/>
              </w:rPr>
              <w:t>----</w:t>
            </w:r>
            <w:r>
              <w:rPr>
                <w:rFonts w:hint="eastAsia"/>
              </w:rPr>
              <w:t>抽生产设备保养、检修情况：提供</w:t>
            </w:r>
            <w:r>
              <w:rPr>
                <w:rFonts w:hint="eastAsia"/>
                <w:lang w:val="en-US" w:eastAsia="zh-CN"/>
              </w:rPr>
              <w:t>工具整理、工具修复</w:t>
            </w:r>
            <w:r>
              <w:rPr>
                <w:rFonts w:hint="eastAsia"/>
              </w:rPr>
              <w:t>等。</w:t>
            </w:r>
          </w:p>
          <w:p>
            <w:pPr>
              <w:rPr>
                <w:rFonts w:hint="eastAsia"/>
              </w:rPr>
            </w:pPr>
            <w:r>
              <w:rPr>
                <w:rFonts w:hint="eastAsia"/>
              </w:rPr>
              <w:t>记录清晰，写明了</w:t>
            </w:r>
            <w:r>
              <w:rPr>
                <w:rFonts w:hint="eastAsia"/>
                <w:lang w:val="en-US" w:eastAsia="zh-CN"/>
              </w:rPr>
              <w:t>时间、地点、内容、责任人、工具状况</w:t>
            </w:r>
            <w:r>
              <w:rPr>
                <w:rFonts w:hint="eastAsia"/>
              </w:rPr>
              <w:t>等内容，满足要求。</w:t>
            </w:r>
          </w:p>
          <w:p>
            <w:pPr>
              <w:pStyle w:val="14"/>
              <w:rPr>
                <w:rFonts w:hint="eastAsia" w:ascii="Times New Roman" w:hAnsi="Times New Roman" w:eastAsia="宋体" w:cs="Times New Roman"/>
                <w:bCs/>
                <w:spacing w:val="10"/>
                <w:kern w:val="2"/>
                <w:sz w:val="21"/>
                <w:lang w:val="en-US" w:eastAsia="zh-CN" w:bidi="ar-SA"/>
              </w:rPr>
            </w:pPr>
            <w:r>
              <w:rPr>
                <w:rFonts w:hint="eastAsia"/>
                <w:highlight w:val="none"/>
                <w:lang w:val="en-US" w:eastAsia="zh-CN"/>
              </w:rPr>
              <w:t>不存在特种设备。</w:t>
            </w:r>
          </w:p>
        </w:tc>
        <w:tc>
          <w:tcPr>
            <w:tcW w:w="1187" w:type="dxa"/>
          </w:tcPr>
          <w:p>
            <w:pPr>
              <w:pStyle w:val="1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运行环境</w:t>
            </w:r>
          </w:p>
        </w:tc>
        <w:tc>
          <w:tcPr>
            <w:tcW w:w="2220" w:type="dxa"/>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Q</w:t>
            </w:r>
            <w:r>
              <w:rPr>
                <w:rFonts w:hint="eastAsia" w:cs="Times New Roman"/>
                <w:lang w:val="en-US" w:eastAsia="zh-CN"/>
              </w:rPr>
              <w:t>：</w:t>
            </w:r>
            <w:r>
              <w:rPr>
                <w:rFonts w:hint="eastAsia" w:ascii="Times New Roman" w:hAnsi="Times New Roman" w:eastAsia="宋体" w:cs="Times New Roman"/>
              </w:rPr>
              <w:t>7.1.4</w:t>
            </w:r>
          </w:p>
        </w:tc>
        <w:tc>
          <w:tcPr>
            <w:tcW w:w="9855" w:type="dxa"/>
            <w:vAlign w:val="center"/>
          </w:tcPr>
          <w:p>
            <w:pPr>
              <w:rPr>
                <w:rFonts w:hint="eastAsia" w:ascii="Times New Roman" w:hAnsi="Times New Roman" w:eastAsia="宋体" w:cs="Times New Roman"/>
              </w:rPr>
            </w:pPr>
            <w:r>
              <w:rPr>
                <w:rFonts w:hint="eastAsia" w:ascii="Times New Roman" w:hAnsi="Times New Roman" w:eastAsia="宋体" w:cs="Times New Roman"/>
              </w:rPr>
              <w:t>公</w:t>
            </w:r>
            <w:r>
              <w:rPr>
                <w:rFonts w:hint="eastAsia" w:ascii="Times New Roman" w:hAnsi="Times New Roman" w:eastAsia="宋体" w:cs="Times New Roman"/>
                <w:highlight w:val="none"/>
              </w:rPr>
              <w:t>司生产区</w:t>
            </w:r>
            <w:r>
              <w:rPr>
                <w:rFonts w:hint="eastAsia" w:eastAsia="宋体" w:cs="Times New Roman"/>
                <w:highlight w:val="none"/>
                <w:lang w:val="en-US" w:eastAsia="zh-CN"/>
              </w:rPr>
              <w:t>约100</w:t>
            </w:r>
            <w:r>
              <w:rPr>
                <w:rFonts w:hint="eastAsia" w:ascii="Times New Roman" w:hAnsi="Times New Roman" w:eastAsia="宋体" w:cs="Times New Roman"/>
                <w:highlight w:val="none"/>
              </w:rPr>
              <w:t>平米</w:t>
            </w:r>
            <w:r>
              <w:rPr>
                <w:rFonts w:hint="eastAsia" w:eastAsia="宋体" w:cs="Times New Roman"/>
                <w:highlight w:val="none"/>
                <w:lang w:eastAsia="zh-CN"/>
              </w:rPr>
              <w:t>，</w:t>
            </w:r>
            <w:r>
              <w:rPr>
                <w:rFonts w:hint="eastAsia" w:ascii="Times New Roman" w:hAnsi="Times New Roman" w:eastAsia="宋体" w:cs="Times New Roman"/>
                <w:highlight w:val="none"/>
              </w:rPr>
              <w:t>库房</w:t>
            </w:r>
            <w:r>
              <w:rPr>
                <w:rFonts w:hint="eastAsia" w:cs="Times New Roman"/>
                <w:highlight w:val="none"/>
                <w:lang w:val="en-US" w:eastAsia="zh-CN"/>
              </w:rPr>
              <w:t>约</w:t>
            </w:r>
            <w:r>
              <w:rPr>
                <w:rFonts w:hint="eastAsia" w:eastAsia="宋体" w:cs="Times New Roman"/>
                <w:highlight w:val="none"/>
                <w:lang w:val="en-US" w:eastAsia="zh-CN"/>
              </w:rPr>
              <w:t>80</w:t>
            </w:r>
            <w:r>
              <w:rPr>
                <w:rFonts w:hint="eastAsia" w:ascii="Times New Roman" w:hAnsi="Times New Roman" w:eastAsia="宋体" w:cs="Times New Roman"/>
                <w:highlight w:val="none"/>
              </w:rPr>
              <w:t>平米</w:t>
            </w:r>
            <w:r>
              <w:rPr>
                <w:rFonts w:hint="eastAsia" w:ascii="Times New Roman" w:hAnsi="Times New Roman" w:eastAsia="宋体" w:cs="Times New Roman"/>
              </w:rPr>
              <w:t>。</w:t>
            </w:r>
          </w:p>
          <w:p>
            <w:pPr>
              <w:rPr>
                <w:rFonts w:hint="eastAsia" w:ascii="Times New Roman" w:hAnsi="Times New Roman" w:eastAsia="宋体" w:cs="Times New Roman"/>
              </w:rPr>
            </w:pPr>
            <w:r>
              <w:rPr>
                <w:rFonts w:hint="eastAsia" w:cs="Times New Roman"/>
                <w:lang w:val="en-US" w:eastAsia="zh-CN"/>
              </w:rPr>
              <w:t>现场</w:t>
            </w:r>
            <w:r>
              <w:rPr>
                <w:rFonts w:hint="eastAsia" w:ascii="Times New Roman" w:hAnsi="Times New Roman" w:eastAsia="宋体" w:cs="Times New Roman"/>
                <w:lang w:val="en-US" w:eastAsia="zh-CN"/>
              </w:rPr>
              <w:t>查看：</w:t>
            </w:r>
            <w:r>
              <w:rPr>
                <w:rFonts w:hint="eastAsia" w:ascii="Times New Roman" w:hAnsi="Times New Roman" w:eastAsia="宋体" w:cs="Times New Roman"/>
              </w:rPr>
              <w:t>车间宽敞明亮，干净整洁，通道畅通。车间内各种规格、型号产品摆放整齐，工序间工位器具设置较合理。工人每日工作前，仔细检查设备防护情况。车间工人在工作前及工作结束后能够及时清理环境及设备。</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工作环境得到良好的控制。</w:t>
            </w:r>
          </w:p>
        </w:tc>
        <w:tc>
          <w:tcPr>
            <w:tcW w:w="1187" w:type="dxa"/>
          </w:tcPr>
          <w:p>
            <w:pPr>
              <w:pStyle w:val="1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策划</w:t>
            </w:r>
          </w:p>
        </w:tc>
        <w:tc>
          <w:tcPr>
            <w:tcW w:w="2220" w:type="dxa"/>
          </w:tcPr>
          <w:p>
            <w:pPr>
              <w:pStyle w:val="1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Q8.1</w:t>
            </w:r>
          </w:p>
        </w:tc>
        <w:tc>
          <w:tcPr>
            <w:tcW w:w="9855" w:type="dxa"/>
          </w:tcPr>
          <w:p>
            <w:pPr>
              <w:rPr>
                <w:rFonts w:hint="eastAsia" w:ascii="Times New Roman" w:hAnsi="Times New Roman" w:eastAsia="宋体" w:cs="Times New Roman"/>
                <w:szCs w:val="22"/>
                <w:lang w:val="en-US" w:eastAsia="zh-CN"/>
              </w:rPr>
            </w:pPr>
            <w:r>
              <w:rPr>
                <w:rFonts w:hint="eastAsia" w:ascii="宋体" w:hAnsi="宋体"/>
                <w:sz w:val="21"/>
                <w:szCs w:val="21"/>
                <w:lang w:val="en-US" w:eastAsia="zh-CN"/>
              </w:rPr>
              <w:t>----</w:t>
            </w:r>
            <w:r>
              <w:rPr>
                <w:rFonts w:hint="eastAsia" w:ascii="Times New Roman" w:hAnsi="Times New Roman" w:eastAsia="宋体" w:cs="Times New Roman"/>
                <w:szCs w:val="22"/>
                <w:lang w:val="en-US" w:eastAsia="zh-CN"/>
              </w:rPr>
              <w:t>公司对产品质量目标、产品实现过程；产品所要求的验证、确认、监视、检验和试验活动以及产品接收准则进行了策划，并规定了所需的记录。</w:t>
            </w:r>
          </w:p>
          <w:p>
            <w:pPr>
              <w:rPr>
                <w:rFonts w:hint="default" w:ascii="Times New Roman" w:hAnsi="Times New Roman" w:eastAsia="宋体" w:cs="Times New Roman"/>
                <w:szCs w:val="22"/>
                <w:lang w:val="en-US" w:eastAsia="zh-CN"/>
              </w:rPr>
            </w:pPr>
            <w:r>
              <w:rPr>
                <w:rFonts w:hint="eastAsia" w:cs="Times New Roman"/>
                <w:szCs w:val="22"/>
                <w:lang w:val="en-US" w:eastAsia="zh-CN"/>
              </w:rPr>
              <w:t>－－</w:t>
            </w:r>
            <w:r>
              <w:rPr>
                <w:rFonts w:hint="eastAsia" w:ascii="Times New Roman" w:hAnsi="Times New Roman" w:eastAsia="宋体" w:cs="Times New Roman"/>
                <w:szCs w:val="22"/>
                <w:lang w:val="en-US" w:eastAsia="zh-CN"/>
              </w:rPr>
              <w:t>本公司提供的</w:t>
            </w:r>
            <w:r>
              <w:rPr>
                <w:rFonts w:hint="eastAsia" w:cs="Times New Roman"/>
                <w:szCs w:val="22"/>
                <w:lang w:val="en-US" w:eastAsia="zh-CN"/>
              </w:rPr>
              <w:t>产品服务</w:t>
            </w:r>
            <w:r>
              <w:rPr>
                <w:rFonts w:hint="eastAsia" w:ascii="Times New Roman" w:hAnsi="Times New Roman" w:eastAsia="宋体" w:cs="Times New Roman"/>
                <w:szCs w:val="22"/>
                <w:lang w:val="en-US" w:eastAsia="zh-CN"/>
              </w:rPr>
              <w:t>为：</w:t>
            </w:r>
            <w:r>
              <w:rPr>
                <w:rFonts w:hint="eastAsia" w:cs="Times New Roman"/>
                <w:szCs w:val="22"/>
                <w:lang w:val="en-US" w:eastAsia="zh-CN"/>
              </w:rPr>
              <w:t>智能多声道超声流量计（速度式流量计）的生产组装</w:t>
            </w:r>
          </w:p>
          <w:p>
            <w:pPr>
              <w:rPr>
                <w:rFonts w:hint="eastAsia" w:ascii="Times New Roman" w:hAnsi="Times New Roman" w:eastAsia="宋体" w:cs="Times New Roman"/>
                <w:szCs w:val="22"/>
                <w:lang w:val="en-US" w:eastAsia="zh-CN"/>
              </w:rPr>
            </w:pPr>
            <w:r>
              <w:rPr>
                <w:rFonts w:hint="eastAsia" w:cs="Times New Roman"/>
                <w:szCs w:val="22"/>
                <w:lang w:val="en-US" w:eastAsia="zh-CN"/>
              </w:rPr>
              <w:t>生产组装</w:t>
            </w:r>
            <w:r>
              <w:rPr>
                <w:rFonts w:hint="eastAsia" w:ascii="Times New Roman" w:hAnsi="Times New Roman" w:eastAsia="宋体" w:cs="Times New Roman"/>
                <w:szCs w:val="22"/>
                <w:lang w:val="en-US" w:eastAsia="zh-CN"/>
              </w:rPr>
              <w:t>流程：</w:t>
            </w:r>
            <w:r>
              <w:rPr>
                <w:rFonts w:hint="eastAsia" w:eastAsia="宋体" w:cs="Times New Roman"/>
                <w:szCs w:val="22"/>
                <w:lang w:val="en-US" w:eastAsia="zh-CN"/>
              </w:rPr>
              <w:t>零部件采购—组装—调试—测试—成品</w:t>
            </w:r>
          </w:p>
          <w:p>
            <w:pPr>
              <w:rPr>
                <w:rFonts w:hint="eastAsia" w:ascii="Times New Roman" w:hAnsi="Times New Roman" w:eastAsia="宋体" w:cs="Times New Roman"/>
                <w:szCs w:val="22"/>
                <w:lang w:val="en-US" w:eastAsia="zh-CN"/>
              </w:rPr>
            </w:pPr>
            <w:r>
              <w:rPr>
                <w:rFonts w:hint="eastAsia" w:cs="Times New Roman"/>
                <w:szCs w:val="22"/>
                <w:lang w:val="en-US" w:eastAsia="zh-CN"/>
              </w:rPr>
              <w:t>－－生产</w:t>
            </w:r>
            <w:r>
              <w:rPr>
                <w:rFonts w:hint="eastAsia" w:ascii="Times New Roman" w:hAnsi="Times New Roman" w:eastAsia="宋体" w:cs="Times New Roman"/>
                <w:szCs w:val="22"/>
                <w:lang w:val="en-US" w:eastAsia="zh-CN"/>
              </w:rPr>
              <w:t>设备：</w:t>
            </w:r>
            <w:r>
              <w:rPr>
                <w:rFonts w:hint="eastAsia"/>
                <w:lang w:val="en-US" w:eastAsia="zh-CN"/>
              </w:rPr>
              <w:t>工具箱、开孔钻、安装器变径、砂轮机、角磨机、扳手等</w:t>
            </w:r>
            <w:r>
              <w:rPr>
                <w:rFonts w:hint="eastAsia" w:ascii="Times New Roman" w:hAnsi="Times New Roman" w:eastAsia="宋体" w:cs="Times New Roman"/>
                <w:szCs w:val="22"/>
                <w:lang w:val="en-US" w:eastAsia="zh-CN"/>
              </w:rPr>
              <w:t>，基本满足要求。</w:t>
            </w:r>
          </w:p>
          <w:p>
            <w:pPr>
              <w:rPr>
                <w:rFonts w:hint="default" w:ascii="宋体" w:hAnsi="宋体" w:cs="宋体"/>
                <w:color w:val="auto"/>
                <w:szCs w:val="21"/>
                <w:lang w:val="en-US" w:eastAsia="zh-CN"/>
              </w:rPr>
            </w:pPr>
            <w:r>
              <w:rPr>
                <w:rFonts w:hint="eastAsia" w:ascii="宋体" w:hAnsi="宋体" w:cs="宋体"/>
                <w:szCs w:val="21"/>
                <w:lang w:val="en-US" w:eastAsia="zh-CN"/>
              </w:rPr>
              <w:t>－－</w:t>
            </w:r>
            <w:r>
              <w:rPr>
                <w:rFonts w:hint="eastAsia" w:ascii="宋体" w:hAnsi="宋体" w:cs="宋体"/>
                <w:color w:val="auto"/>
                <w:szCs w:val="21"/>
                <w:lang w:val="en-US" w:eastAsia="zh-CN"/>
              </w:rPr>
              <w:t>检测仪器：游标卡尺、外径千分尺、测厚仪、万用表、示波器等。</w:t>
            </w:r>
          </w:p>
          <w:p>
            <w:pPr>
              <w:rPr>
                <w:rFonts w:hint="default" w:ascii="宋体" w:hAnsi="宋体" w:cs="宋体"/>
                <w:szCs w:val="21"/>
                <w:lang w:val="en-US" w:eastAsia="zh-CN"/>
              </w:rPr>
            </w:pPr>
            <w:r>
              <w:rPr>
                <w:rFonts w:hint="eastAsia" w:ascii="宋体" w:hAnsi="宋体" w:cs="宋体"/>
                <w:color w:val="auto"/>
                <w:szCs w:val="21"/>
                <w:lang w:val="en-US" w:eastAsia="zh-CN"/>
              </w:rPr>
              <w:t>－－编制了作业指导书、装配工序规程、检验规程</w:t>
            </w:r>
            <w:r>
              <w:rPr>
                <w:rFonts w:hint="eastAsia" w:ascii="宋体" w:hAnsi="宋体" w:cs="宋体"/>
                <w:szCs w:val="21"/>
                <w:lang w:val="en-US" w:eastAsia="zh-CN"/>
              </w:rPr>
              <w:t>等。</w:t>
            </w:r>
          </w:p>
          <w:p>
            <w:pPr>
              <w:rPr>
                <w:rFonts w:hint="eastAsia" w:ascii="宋体" w:hAnsi="宋体" w:cs="宋体"/>
                <w:color w:val="auto"/>
                <w:szCs w:val="21"/>
                <w:lang w:val="en-US" w:eastAsia="zh-CN"/>
              </w:rPr>
            </w:pPr>
            <w:r>
              <w:rPr>
                <w:rFonts w:hint="eastAsia" w:ascii="宋体" w:hAnsi="宋体" w:cs="宋体"/>
                <w:szCs w:val="21"/>
                <w:lang w:val="en-US" w:eastAsia="zh-CN"/>
              </w:rPr>
              <w:t>－</w:t>
            </w:r>
            <w:r>
              <w:rPr>
                <w:rFonts w:hint="eastAsia" w:ascii="宋体" w:hAnsi="宋体" w:cs="宋体"/>
                <w:color w:val="auto"/>
                <w:szCs w:val="21"/>
                <w:lang w:val="en-US" w:eastAsia="zh-CN"/>
              </w:rPr>
              <w:t>－相关产品执行标准：</w:t>
            </w:r>
          </w:p>
          <w:p>
            <w:pPr>
              <w:rPr>
                <w:rFonts w:hint="eastAsia" w:ascii="宋体" w:hAnsi="宋体" w:cs="宋体"/>
                <w:color w:val="auto"/>
                <w:szCs w:val="21"/>
                <w:lang w:val="en-US" w:eastAsia="zh-CN"/>
              </w:rPr>
            </w:pPr>
            <w:r>
              <w:rPr>
                <w:rFonts w:hint="eastAsia" w:ascii="宋体" w:hAnsi="宋体" w:cs="宋体"/>
                <w:color w:val="auto"/>
                <w:szCs w:val="21"/>
                <w:lang w:val="en-US" w:eastAsia="zh-CN"/>
              </w:rPr>
              <w:t>JJG1030-2007     超声流量计</w:t>
            </w:r>
          </w:p>
          <w:p>
            <w:pPr>
              <w:rPr>
                <w:rFonts w:hint="eastAsia" w:ascii="宋体" w:hAnsi="宋体" w:cs="宋体"/>
                <w:color w:val="auto"/>
                <w:szCs w:val="21"/>
                <w:lang w:val="en-US" w:eastAsia="zh-CN"/>
              </w:rPr>
            </w:pPr>
            <w:r>
              <w:rPr>
                <w:rFonts w:hint="eastAsia" w:ascii="宋体" w:hAnsi="宋体" w:cs="宋体"/>
                <w:color w:val="auto"/>
                <w:szCs w:val="21"/>
                <w:lang w:val="en-US" w:eastAsia="zh-CN"/>
              </w:rPr>
              <w:t>GB/Z35717-2017   水轮机、蓄能泵和水泵水轮机流量的测量超声传播时间法</w:t>
            </w:r>
          </w:p>
          <w:p>
            <w:pPr>
              <w:rPr>
                <w:rFonts w:hint="eastAsia" w:ascii="宋体" w:hAnsi="宋体" w:cs="宋体"/>
                <w:color w:val="auto"/>
                <w:szCs w:val="21"/>
                <w:lang w:val="en-US" w:eastAsia="zh-CN"/>
              </w:rPr>
            </w:pPr>
            <w:r>
              <w:rPr>
                <w:rFonts w:hint="eastAsia" w:ascii="宋体" w:hAnsi="宋体" w:cs="宋体"/>
                <w:color w:val="auto"/>
                <w:szCs w:val="21"/>
                <w:lang w:val="en-US" w:eastAsia="zh-CN"/>
              </w:rPr>
              <w:t>GB/T35138-2017   封闭管道中流体流量的测量度越时间法液体超声流量计</w:t>
            </w:r>
          </w:p>
          <w:p>
            <w:pPr>
              <w:rPr>
                <w:rFonts w:hint="eastAsia" w:ascii="宋体" w:hAnsi="宋体" w:cs="宋体"/>
                <w:color w:val="auto"/>
                <w:szCs w:val="21"/>
                <w:lang w:val="en-US" w:eastAsia="zh-CN"/>
              </w:rPr>
            </w:pPr>
            <w:r>
              <w:rPr>
                <w:rFonts w:hint="eastAsia" w:ascii="宋体" w:hAnsi="宋体" w:cs="宋体"/>
                <w:color w:val="auto"/>
                <w:szCs w:val="21"/>
                <w:lang w:val="en-US" w:eastAsia="zh-CN"/>
              </w:rPr>
              <w:t>Q/BJWE0002-2019  USM5s智能多声道超声流量计</w:t>
            </w:r>
          </w:p>
          <w:p>
            <w:pPr>
              <w:rPr>
                <w:rFonts w:hint="eastAsia" w:ascii="宋体" w:hAnsi="宋体" w:cs="宋体"/>
                <w:color w:val="auto"/>
                <w:szCs w:val="21"/>
                <w:lang w:val="en-US" w:eastAsia="zh-CN"/>
              </w:rPr>
            </w:pPr>
            <w:r>
              <w:rPr>
                <w:rFonts w:hint="eastAsia" w:ascii="宋体" w:hAnsi="宋体" w:cs="宋体"/>
                <w:color w:val="auto"/>
                <w:szCs w:val="21"/>
                <w:lang w:val="en-US" w:eastAsia="zh-CN"/>
              </w:rPr>
              <w:t>等等。</w:t>
            </w:r>
          </w:p>
          <w:p>
            <w:pPr>
              <w:snapToGrid w:val="0"/>
              <w:spacing w:line="360" w:lineRule="exact"/>
              <w:jc w:val="left"/>
              <w:rPr>
                <w:rFonts w:hint="eastAsia" w:asciiTheme="minorEastAsia" w:hAnsiTheme="minorEastAsia" w:eastAsiaTheme="minorEastAsia" w:cstheme="minorEastAsia"/>
                <w:color w:val="0000FF"/>
                <w:sz w:val="21"/>
                <w:szCs w:val="21"/>
                <w:lang w:val="en-US" w:eastAsia="zh-CN"/>
              </w:rPr>
            </w:pPr>
            <w:r>
              <w:rPr>
                <w:rFonts w:hint="eastAsia" w:ascii="宋体" w:hAnsi="宋体" w:cs="宋体"/>
                <w:szCs w:val="21"/>
                <w:lang w:val="en-US" w:eastAsia="zh-CN"/>
              </w:rPr>
              <w:t>－－供应商及外包的控制：公司对供方进行合格评价，列入合格供方名录。经识别外包过程为主板、测量管加工。</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7" w:type="dxa"/>
          </w:tcPr>
          <w:p>
            <w:pPr>
              <w:keepNext w:val="0"/>
              <w:keepLines w:val="0"/>
              <w:widowControl/>
              <w:suppressLineNumbers w:val="0"/>
              <w:jc w:val="lef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设计开发</w:t>
            </w:r>
          </w:p>
        </w:tc>
        <w:tc>
          <w:tcPr>
            <w:tcW w:w="2220"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Q8.3</w:t>
            </w:r>
          </w:p>
        </w:tc>
        <w:tc>
          <w:tcPr>
            <w:tcW w:w="9855" w:type="dxa"/>
          </w:tcPr>
          <w:p>
            <w:pPr>
              <w:rPr>
                <w:rFonts w:hint="eastAsia" w:ascii="宋体" w:hAnsi="宋体" w:eastAsia="宋体" w:cs="宋体"/>
                <w:szCs w:val="21"/>
                <w:lang w:val="en-US" w:eastAsia="zh-CN"/>
              </w:rPr>
            </w:pPr>
            <w:r>
              <w:rPr>
                <w:rFonts w:hint="eastAsia" w:eastAsia="宋体"/>
                <w:szCs w:val="22"/>
                <w:lang w:val="en-US" w:eastAsia="zh-CN"/>
              </w:rPr>
              <w:t>本条</w:t>
            </w:r>
            <w:r>
              <w:rPr>
                <w:rFonts w:hint="eastAsia" w:ascii="宋体" w:hAnsi="宋体" w:eastAsia="宋体" w:cs="宋体"/>
                <w:szCs w:val="21"/>
                <w:lang w:val="en-US" w:eastAsia="zh-CN"/>
              </w:rPr>
              <w:t>款不适用。不适用理由：公司生产服务按国家标准或客户要求作业，不涉及设计研发，故公司目前不适用 “8.3  产品和服务的设计和开发”条款。不适用的要求不影响组织确保服务的符合性以及增强顾客满意的能力或责任。</w:t>
            </w:r>
          </w:p>
          <w:p>
            <w:pPr>
              <w:adjustRightInd w:val="0"/>
              <w:spacing w:line="300" w:lineRule="auto"/>
              <w:textAlignment w:val="baseline"/>
              <w:rPr>
                <w:rFonts w:hint="default" w:asciiTheme="minorEastAsia" w:hAnsiTheme="minorEastAsia" w:eastAsiaTheme="minorEastAsia" w:cstheme="minorEastAsia"/>
                <w:color w:val="auto"/>
                <w:sz w:val="21"/>
                <w:szCs w:val="21"/>
                <w:lang w:val="en-US" w:eastAsia="zh-CN"/>
              </w:rPr>
            </w:pPr>
            <w:r>
              <w:rPr>
                <w:rFonts w:hint="eastAsia" w:eastAsia="宋体"/>
                <w:szCs w:val="22"/>
                <w:lang w:val="en-US" w:eastAsia="zh-CN"/>
              </w:rPr>
              <w:t>不适用理由充分。</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服务提供的控制</w:t>
            </w:r>
          </w:p>
        </w:tc>
        <w:tc>
          <w:tcPr>
            <w:tcW w:w="2220"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Q8.5.1</w:t>
            </w:r>
          </w:p>
        </w:tc>
        <w:tc>
          <w:tcPr>
            <w:tcW w:w="985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编制</w:t>
            </w:r>
            <w:r>
              <w:rPr>
                <w:rFonts w:hint="eastAsia" w:ascii="宋体" w:hAnsi="宋体" w:cs="宋体"/>
                <w:color w:val="auto"/>
                <w:szCs w:val="21"/>
                <w:lang w:val="en-US" w:eastAsia="zh-CN"/>
              </w:rPr>
              <w:t>作业指导书、装配工序规程等</w:t>
            </w:r>
            <w:r>
              <w:rPr>
                <w:rFonts w:hint="eastAsia" w:asciiTheme="minorEastAsia" w:hAnsiTheme="minorEastAsia" w:eastAsiaTheme="minorEastAsia" w:cstheme="minorEastAsia"/>
                <w:sz w:val="24"/>
                <w:szCs w:val="24"/>
              </w:rPr>
              <w:t>，对生产过程进行控制</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 获得规定以下内容的文件化信息：</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生产的产品、提供的服务或执行的活动的特征：</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①与组织的产品及服务有关的法律法规：产品质量法、</w:t>
            </w:r>
            <w:r>
              <w:rPr>
                <w:rFonts w:hint="eastAsia" w:asciiTheme="minorEastAsia" w:hAnsiTheme="minorEastAsia" w:eastAsiaTheme="minorEastAsia" w:cstheme="minorEastAsia"/>
                <w:sz w:val="24"/>
                <w:szCs w:val="24"/>
                <w:lang w:val="en-US" w:eastAsia="zh-CN"/>
              </w:rPr>
              <w:t>民法典</w:t>
            </w:r>
            <w:r>
              <w:rPr>
                <w:rFonts w:hint="eastAsia" w:asciiTheme="minorEastAsia" w:hAnsiTheme="minorEastAsia" w:eastAsiaTheme="minorEastAsia" w:cstheme="minorEastAsia"/>
                <w:sz w:val="24"/>
                <w:szCs w:val="24"/>
              </w:rPr>
              <w:t>、计量法、消费者权益保护法、等；</w:t>
            </w:r>
          </w:p>
          <w:p>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②</w:t>
            </w:r>
            <w:r>
              <w:rPr>
                <w:rFonts w:hint="eastAsia" w:asciiTheme="minorEastAsia" w:hAnsiTheme="minorEastAsia" w:eastAsiaTheme="minorEastAsia" w:cstheme="minorEastAsia"/>
                <w:color w:val="auto"/>
                <w:sz w:val="24"/>
                <w:szCs w:val="24"/>
              </w:rPr>
              <w:t>编制了</w:t>
            </w:r>
            <w:r>
              <w:rPr>
                <w:rFonts w:hint="eastAsia" w:ascii="宋体" w:hAnsi="宋体" w:cs="宋体"/>
                <w:color w:val="auto"/>
                <w:szCs w:val="21"/>
                <w:lang w:val="en-US" w:eastAsia="zh-CN"/>
              </w:rPr>
              <w:t>作业指导书、装配工序规程、</w:t>
            </w:r>
            <w:r>
              <w:rPr>
                <w:rFonts w:hint="eastAsia" w:asciiTheme="minorEastAsia" w:hAnsiTheme="minorEastAsia" w:eastAsiaTheme="minorEastAsia" w:cstheme="minorEastAsia"/>
                <w:color w:val="auto"/>
                <w:sz w:val="24"/>
                <w:szCs w:val="24"/>
                <w:lang w:val="en-US" w:eastAsia="zh-CN"/>
              </w:rPr>
              <w:t>检验规程</w:t>
            </w:r>
            <w:r>
              <w:rPr>
                <w:rFonts w:hint="eastAsia" w:asciiTheme="minorEastAsia" w:hAnsiTheme="minorEastAsia" w:eastAsiaTheme="minorEastAsia" w:cstheme="minorEastAsia"/>
                <w:color w:val="auto"/>
                <w:sz w:val="24"/>
                <w:szCs w:val="24"/>
              </w:rPr>
              <w:t>等多个工艺文件和</w:t>
            </w:r>
            <w:r>
              <w:rPr>
                <w:rFonts w:hint="eastAsia" w:asciiTheme="minorEastAsia" w:hAnsiTheme="minorEastAsia" w:eastAsiaTheme="minorEastAsia" w:cstheme="minorEastAsia"/>
                <w:color w:val="auto"/>
                <w:sz w:val="24"/>
                <w:szCs w:val="24"/>
                <w:lang w:val="en-US" w:eastAsia="zh-CN"/>
              </w:rPr>
              <w:t>多</w:t>
            </w:r>
            <w:r>
              <w:rPr>
                <w:rFonts w:hint="eastAsia" w:asciiTheme="minorEastAsia" w:hAnsiTheme="minorEastAsia" w:eastAsiaTheme="minorEastAsia" w:cstheme="minorEastAsia"/>
                <w:color w:val="auto"/>
                <w:sz w:val="24"/>
                <w:szCs w:val="24"/>
              </w:rPr>
              <w:t>种记录。</w:t>
            </w:r>
          </w:p>
          <w:p>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2）要达到的结果：生产的产品能够符合国家、行业标准及客户要求，满足相关法律法规要求及产品使用性能/功能要求及售后服务承诺。</w:t>
            </w:r>
          </w:p>
          <w:p>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 获得和使用适宜的监视和测量资源：</w:t>
            </w:r>
          </w:p>
          <w:p>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提供的主要监视和测量设备：</w:t>
            </w:r>
            <w:r>
              <w:rPr>
                <w:rFonts w:hint="eastAsia" w:ascii="宋体" w:hAnsi="宋体" w:cs="宋体"/>
                <w:color w:val="auto"/>
                <w:szCs w:val="21"/>
                <w:lang w:val="en-US" w:eastAsia="zh-CN"/>
              </w:rPr>
              <w:t>游标卡尺、外径千分尺、测厚仪、万用表、示波器</w:t>
            </w:r>
            <w:r>
              <w:rPr>
                <w:rFonts w:hint="eastAsia" w:asciiTheme="minorEastAsia" w:hAnsiTheme="minorEastAsia" w:eastAsiaTheme="minorEastAsia" w:cstheme="minorEastAsia"/>
                <w:color w:val="auto"/>
                <w:sz w:val="24"/>
                <w:szCs w:val="24"/>
                <w:lang w:val="en-US" w:eastAsia="zh-CN"/>
              </w:rPr>
              <w:t>等</w:t>
            </w:r>
            <w:r>
              <w:rPr>
                <w:rFonts w:hint="eastAsia" w:asciiTheme="minorEastAsia" w:hAnsiTheme="minorEastAsia" w:eastAsiaTheme="minorEastAsia" w:cstheme="minorEastAsia"/>
                <w:color w:val="auto"/>
                <w:sz w:val="24"/>
                <w:szCs w:val="24"/>
              </w:rPr>
              <w:t>。</w:t>
            </w:r>
          </w:p>
          <w:p>
            <w:pP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c) 在适当阶段进行监视和测量，以验证过程或输出的控制及产品和服务的接收准则已得到满足；</w:t>
            </w:r>
          </w:p>
          <w:p>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查生产</w:t>
            </w:r>
            <w:r>
              <w:rPr>
                <w:rFonts w:hint="eastAsia" w:asciiTheme="minorEastAsia" w:hAnsiTheme="minorEastAsia" w:eastAsiaTheme="minorEastAsia" w:cstheme="minorEastAsia"/>
                <w:color w:val="auto"/>
                <w:sz w:val="24"/>
                <w:szCs w:val="24"/>
                <w:lang w:val="en-US" w:eastAsia="zh-CN"/>
              </w:rPr>
              <w:t>过程控制</w:t>
            </w:r>
            <w:r>
              <w:rPr>
                <w:rFonts w:hint="eastAsia" w:asciiTheme="minorEastAsia" w:hAnsiTheme="minorEastAsia" w:eastAsiaTheme="minorEastAsia" w:cstheme="minorEastAsia"/>
                <w:color w:val="auto"/>
                <w:sz w:val="24"/>
                <w:szCs w:val="24"/>
              </w:rPr>
              <w:t>：</w:t>
            </w:r>
          </w:p>
          <w:p>
            <w:pP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企业目前的生产控制过程较简单，基本符合工艺流程，关键环节在组装、产品检验，生产过程均填写控制记录</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 使用适宜的设备和过程环境；</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e)</w:t>
            </w:r>
            <w:r>
              <w:rPr>
                <w:rFonts w:hint="eastAsia" w:asciiTheme="minorEastAsia" w:hAnsiTheme="minorEastAsia" w:eastAsiaTheme="minorEastAsia" w:cstheme="minorEastAsia"/>
                <w:sz w:val="24"/>
                <w:szCs w:val="24"/>
              </w:rPr>
              <w:t>过程环境</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f</w:t>
            </w:r>
            <w:r>
              <w:rPr>
                <w:rFonts w:hint="eastAsia" w:asciiTheme="minorEastAsia" w:hAnsiTheme="minorEastAsia" w:eastAsiaTheme="minorEastAsia" w:cstheme="minorEastAsia"/>
                <w:sz w:val="24"/>
                <w:szCs w:val="24"/>
              </w:rPr>
              <w:t>）指派胜任的人员，包括所要求的资格；</w:t>
            </w:r>
          </w:p>
          <w:p>
            <w:pPr>
              <w:pStyle w:val="1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经识别公司目前无需要确认的过程</w:t>
            </w:r>
            <w:r>
              <w:rPr>
                <w:rFonts w:hint="eastAsia" w:asciiTheme="minorEastAsia" w:hAnsiTheme="minorEastAsia" w:eastAsiaTheme="minorEastAsia" w:cstheme="minorEastAsia"/>
                <w:sz w:val="24"/>
                <w:szCs w:val="24"/>
              </w:rPr>
              <w:t>；</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h</w:t>
            </w:r>
            <w:r>
              <w:rPr>
                <w:rFonts w:hint="eastAsia" w:asciiTheme="minorEastAsia" w:hAnsiTheme="minorEastAsia" w:eastAsiaTheme="minorEastAsia" w:cstheme="minorEastAsia"/>
                <w:sz w:val="24"/>
                <w:szCs w:val="24"/>
              </w:rPr>
              <w:t>) 实施防止人为错误的措施：体系文件中明确规定了不合格品控制要求：包括原材料的不合格品，生产加工中的不合格品均不准转序，必须按照相关文件、制度执行。</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原材料进货检验均有检验员签字后方可放行；</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生产过程的控制由各自工序检验合格后，方可放行；</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成品的检验必须经主管质量负责人确认签字后方可交付。</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对不影响使用功能的产品必须经总经理授权后，方可放行。</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i</w:t>
            </w:r>
            <w:r>
              <w:rPr>
                <w:rFonts w:hint="eastAsia" w:asciiTheme="minorEastAsia" w:hAnsiTheme="minorEastAsia" w:eastAsiaTheme="minorEastAsia" w:cstheme="minorEastAsia"/>
                <w:sz w:val="24"/>
                <w:szCs w:val="24"/>
              </w:rPr>
              <w:t>) 实施产品和服务的放行、交付和交付后的活动：</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查产品交付：根据合同要求进行产品交付。</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----查看生产过程控制及过程检验记录：</w:t>
            </w:r>
          </w:p>
          <w:p>
            <w:pPr>
              <w:rPr>
                <w:rFonts w:hint="eastAsia" w:eastAsia="宋体"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抽查2022.10.14订货单号：2022-VE036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流量计订货单， </w:t>
            </w:r>
            <w:r>
              <w:rPr>
                <w:rFonts w:hint="eastAsia" w:ascii="宋体" w:hAnsi="宋体" w:eastAsia="宋体" w:cs="宋体"/>
                <w:szCs w:val="21"/>
              </w:rPr>
              <w:t>记录了订单号、使用地点、型号规格、数量、合同备料、发货时间等</w:t>
            </w:r>
            <w:r>
              <w:rPr>
                <w:rFonts w:hint="eastAsia" w:ascii="宋体" w:hAnsi="宋体" w:eastAsia="宋体" w:cs="宋体"/>
                <w:szCs w:val="21"/>
                <w:lang w:eastAsia="zh-CN"/>
              </w:rPr>
              <w:t>。</w:t>
            </w:r>
          </w:p>
          <w:p>
            <w:pPr>
              <w:rPr>
                <w:rFonts w:hint="eastAsia" w:asciiTheme="minorEastAsia" w:hAnsiTheme="minorEastAsia" w:eastAsiaTheme="minorEastAsia" w:cstheme="minorEastAsia"/>
                <w:sz w:val="24"/>
                <w:szCs w:val="24"/>
                <w:lang w:val="en-US" w:eastAsia="zh-CN"/>
              </w:rPr>
            </w:pPr>
            <w:r>
              <w:drawing>
                <wp:inline distT="0" distB="0" distL="114300" distR="114300">
                  <wp:extent cx="3597275" cy="5088255"/>
                  <wp:effectExtent l="0" t="0" r="1460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597275" cy="5088255"/>
                          </a:xfrm>
                          <a:prstGeom prst="rect">
                            <a:avLst/>
                          </a:prstGeom>
                          <a:noFill/>
                          <a:ln>
                            <a:noFill/>
                          </a:ln>
                        </pic:spPr>
                      </pic:pic>
                    </a:graphicData>
                  </a:graphic>
                </wp:inline>
              </w:drawing>
            </w:r>
          </w:p>
          <w:p>
            <w:p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提供了货料清单。</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查看工序生产、检验确认单 ，内容包括各工序内容、检验标准、生产记录、检验记录等。</w:t>
            </w:r>
          </w:p>
          <w:p>
            <w:p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6120765" cy="2673985"/>
                  <wp:effectExtent l="0" t="0" r="5715" b="8255"/>
                  <wp:docPr id="5" name="图片 5" descr="167273374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2733744515"/>
                          <pic:cNvPicPr>
                            <a:picLocks noChangeAspect="1"/>
                          </pic:cNvPicPr>
                        </pic:nvPicPr>
                        <pic:blipFill>
                          <a:blip r:embed="rId7"/>
                          <a:stretch>
                            <a:fillRect/>
                          </a:stretch>
                        </pic:blipFill>
                        <pic:spPr>
                          <a:xfrm>
                            <a:off x="0" y="0"/>
                            <a:ext cx="6120765" cy="2673985"/>
                          </a:xfrm>
                          <a:prstGeom prst="rect">
                            <a:avLst/>
                          </a:prstGeom>
                        </pic:spPr>
                      </pic:pic>
                    </a:graphicData>
                  </a:graphic>
                </wp:inline>
              </w:drawing>
            </w: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查看生产（零点）标定数据表，</w:t>
            </w:r>
          </w:p>
          <w:p>
            <w:pPr>
              <w:rPr>
                <w:rFonts w:hint="eastAsia" w:asciiTheme="minorEastAsia" w:hAnsiTheme="minorEastAsia" w:eastAsiaTheme="minorEastAsia" w:cstheme="minorEastAsia"/>
                <w:sz w:val="24"/>
                <w:szCs w:val="24"/>
                <w:lang w:val="en-US" w:eastAsia="zh-CN"/>
              </w:rPr>
            </w:pPr>
            <w:r>
              <w:drawing>
                <wp:inline distT="0" distB="0" distL="114300" distR="114300">
                  <wp:extent cx="3293745" cy="4659630"/>
                  <wp:effectExtent l="0" t="0" r="1333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293745" cy="4659630"/>
                          </a:xfrm>
                          <a:prstGeom prst="rect">
                            <a:avLst/>
                          </a:prstGeom>
                          <a:noFill/>
                          <a:ln>
                            <a:noFill/>
                          </a:ln>
                        </pic:spPr>
                      </pic:pic>
                    </a:graphicData>
                  </a:graphic>
                </wp:inline>
              </w:drawing>
            </w:r>
            <w:bookmarkStart w:id="0" w:name="_GoBack"/>
            <w:bookmarkEnd w:id="0"/>
          </w:p>
          <w:p>
            <w:pPr>
              <w:rPr>
                <w:rFonts w:hint="eastAsia" w:asciiTheme="minorEastAsia" w:hAnsiTheme="minorEastAsia" w:eastAsiaTheme="minorEastAsia" w:cstheme="minorEastAsia"/>
                <w:sz w:val="24"/>
                <w:szCs w:val="24"/>
                <w:lang w:val="en-US" w:eastAsia="zh-CN"/>
              </w:rPr>
            </w:pPr>
          </w:p>
          <w:p>
            <w:p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另查2022.4.15订单号2022-VE011流量计订货单及生产过程记录，均符合要求。</w:t>
            </w: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现场查看车间正在组装订单号2022-043，型号民：DN150F3（2.5MPa），</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682240" cy="3749040"/>
                  <wp:effectExtent l="0" t="0" r="0" b="0"/>
                  <wp:docPr id="2" name="图片 2" descr="167271516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2715164953"/>
                          <pic:cNvPicPr>
                            <a:picLocks noChangeAspect="1"/>
                          </pic:cNvPicPr>
                        </pic:nvPicPr>
                        <pic:blipFill>
                          <a:blip r:embed="rId9"/>
                          <a:stretch>
                            <a:fillRect/>
                          </a:stretch>
                        </pic:blipFill>
                        <pic:spPr>
                          <a:xfrm>
                            <a:off x="0" y="0"/>
                            <a:ext cx="2682240" cy="3749040"/>
                          </a:xfrm>
                          <a:prstGeom prst="rect">
                            <a:avLst/>
                          </a:prstGeom>
                        </pic:spPr>
                      </pic:pic>
                    </a:graphicData>
                  </a:graphic>
                </wp:inline>
              </w:drawing>
            </w:r>
          </w:p>
          <w:p>
            <w:p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基本符合要求。</w:t>
            </w:r>
          </w:p>
          <w:p>
            <w:pPr>
              <w:rPr>
                <w:rFonts w:hint="default" w:eastAsia="宋体"/>
                <w:lang w:val="en-US" w:eastAsia="zh-CN"/>
              </w:rPr>
            </w:pP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w:t>
            </w: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rPr>
                <w:rFonts w:hint="default"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7"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标识和可追溯性</w:t>
            </w:r>
          </w:p>
        </w:tc>
        <w:tc>
          <w:tcPr>
            <w:tcW w:w="2220" w:type="dxa"/>
            <w:vAlign w:val="top"/>
          </w:tcPr>
          <w:p>
            <w:pPr>
              <w:tabs>
                <w:tab w:val="left" w:pos="7380"/>
              </w:tabs>
              <w:rPr>
                <w:rFonts w:ascii="宋体" w:hAnsi="宋体"/>
                <w:szCs w:val="21"/>
              </w:rPr>
            </w:pPr>
            <w:r>
              <w:rPr>
                <w:rFonts w:hint="eastAsia" w:ascii="宋体" w:hAnsi="宋体"/>
                <w:szCs w:val="21"/>
              </w:rPr>
              <w:t>Q8.5.2</w:t>
            </w:r>
            <w:r>
              <w:rPr>
                <w:rFonts w:ascii="宋体" w:hAnsi="宋体"/>
                <w:szCs w:val="21"/>
              </w:rPr>
              <w:t xml:space="preserve"> </w:t>
            </w:r>
          </w:p>
          <w:p>
            <w:pPr>
              <w:tabs>
                <w:tab w:val="left" w:pos="7380"/>
              </w:tabs>
              <w:jc w:val="left"/>
              <w:rPr>
                <w:rFonts w:hint="eastAsia" w:ascii="宋体" w:hAnsi="宋体" w:eastAsia="宋体" w:cs="Times New Roman"/>
                <w:kern w:val="2"/>
                <w:sz w:val="21"/>
                <w:lang w:val="en-US" w:eastAsia="zh-CN" w:bidi="ar-SA"/>
              </w:rPr>
            </w:pPr>
          </w:p>
        </w:tc>
        <w:tc>
          <w:tcPr>
            <w:tcW w:w="9855" w:type="dxa"/>
            <w:vAlign w:val="top"/>
          </w:tcPr>
          <w:p>
            <w:r>
              <w:rPr>
                <w:rFonts w:hint="eastAsia"/>
              </w:rPr>
              <w:t>1、产品状态标识应包括以下内容：</w:t>
            </w:r>
          </w:p>
          <w:p>
            <w:r>
              <w:rPr>
                <w:rFonts w:hint="eastAsia"/>
              </w:rPr>
              <w:t xml:space="preserve"> a）产品的名称、客户信息、产品型号等；</w:t>
            </w:r>
          </w:p>
          <w:p>
            <w:r>
              <w:rPr>
                <w:rFonts w:hint="eastAsia"/>
              </w:rPr>
              <w:t xml:space="preserve"> b）检验状态：待检、合格、不合格、待判定。</w:t>
            </w:r>
          </w:p>
          <w:p>
            <w:r>
              <w:rPr>
                <w:rFonts w:hint="eastAsia"/>
              </w:rPr>
              <w:t>2、标识方式主要有：存放区域和外包装物标识及记录等；</w:t>
            </w:r>
          </w:p>
          <w:p>
            <w:r>
              <w:rPr>
                <w:rFonts w:hint="eastAsia"/>
              </w:rPr>
              <w:t>在现场检查中看到，正在生产的产品上均有产品状态标识卡，内容有：客户标识、规格等。</w:t>
            </w:r>
          </w:p>
          <w:p>
            <w:r>
              <w:rPr>
                <w:rFonts w:hint="eastAsia"/>
              </w:rPr>
              <w:t>成品上有产品标识签，内容有：客户名称、物料名称、数量、检验员、日期</w:t>
            </w:r>
          </w:p>
          <w:p>
            <w:r>
              <w:rPr>
                <w:rFonts w:hint="eastAsia"/>
              </w:rPr>
              <w:t>查看仓库存放成品标识，企业对仓库进行了分区，按序号进行标识，不同客户、不同规格产品分别存放。</w:t>
            </w:r>
          </w:p>
          <w:p>
            <w:r>
              <w:rPr>
                <w:rFonts w:hint="eastAsia"/>
              </w:rPr>
              <w:t>可追溯性：进货单号→订单</w:t>
            </w:r>
            <w:r>
              <w:rPr>
                <w:rFonts w:hint="eastAsia"/>
                <w:lang w:val="en-US" w:eastAsia="zh-CN"/>
              </w:rPr>
              <w:t>号</w:t>
            </w:r>
            <w:r>
              <w:rPr>
                <w:rFonts w:hint="eastAsia"/>
              </w:rPr>
              <w:t>→</w:t>
            </w:r>
            <w:r>
              <w:rPr>
                <w:rFonts w:hint="eastAsia"/>
                <w:lang w:val="en-US" w:eastAsia="zh-CN"/>
              </w:rPr>
              <w:t>物料清单</w:t>
            </w:r>
            <w:r>
              <w:rPr>
                <w:rFonts w:hint="eastAsia"/>
              </w:rPr>
              <w:t>→检验记录，保证了公司的每件产品出公司后仍能根据标号查到产品从进货到加工到生产的每个环节的信息。</w:t>
            </w:r>
          </w:p>
          <w:p>
            <w:r>
              <w:rPr>
                <w:rFonts w:hint="eastAsia"/>
              </w:rPr>
              <w:t>追溯路径为：</w:t>
            </w:r>
          </w:p>
          <w:p>
            <w:pPr>
              <w:rPr>
                <w:rFonts w:hint="eastAsia" w:ascii="Times New Roman" w:hAnsi="Times New Roman" w:eastAsia="宋体" w:cs="Times New Roman"/>
                <w:kern w:val="2"/>
                <w:sz w:val="21"/>
                <w:szCs w:val="21"/>
                <w:lang w:val="en-US" w:eastAsia="zh-CN" w:bidi="ar-SA"/>
              </w:rPr>
            </w:pPr>
            <w:r>
              <w:rPr>
                <w:rFonts w:hint="eastAsia"/>
              </w:rPr>
              <w:t>成品检验 →订单→领料单 → 采购原料原标识</w:t>
            </w:r>
            <w:r>
              <w:rPr>
                <w:rFonts w:hint="eastAsia"/>
                <w:szCs w:val="21"/>
              </w:rPr>
              <w:t>。</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p>
            <w:pPr>
              <w:pStyle w:val="14"/>
              <w:rPr>
                <w:rFonts w:hint="default"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7" w:type="dxa"/>
            <w:vAlign w:val="top"/>
          </w:tcPr>
          <w:p>
            <w:pPr>
              <w:rPr>
                <w:rFonts w:hint="eastAsia" w:ascii="宋体" w:hAnsi="宋体" w:eastAsia="宋体" w:cs="Times New Roman"/>
                <w:kern w:val="2"/>
                <w:sz w:val="21"/>
                <w:szCs w:val="21"/>
                <w:lang w:val="en-US" w:eastAsia="zh-CN" w:bidi="ar-SA"/>
              </w:rPr>
            </w:pPr>
            <w:r>
              <w:rPr>
                <w:rFonts w:hint="eastAsia"/>
                <w:szCs w:val="21"/>
              </w:rPr>
              <w:t>顾客或外部供方财产管理</w:t>
            </w:r>
          </w:p>
        </w:tc>
        <w:tc>
          <w:tcPr>
            <w:tcW w:w="2220" w:type="dxa"/>
            <w:vAlign w:val="top"/>
          </w:tcPr>
          <w:p>
            <w:pPr>
              <w:tabs>
                <w:tab w:val="left" w:pos="7380"/>
              </w:tabs>
              <w:rPr>
                <w:rFonts w:hint="eastAsia" w:ascii="Times New Roman" w:hAnsi="Times New Roman" w:eastAsia="宋体" w:cs="Times New Roman"/>
                <w:kern w:val="2"/>
                <w:sz w:val="21"/>
                <w:szCs w:val="21"/>
                <w:lang w:val="en-US" w:eastAsia="zh-CN" w:bidi="ar-SA"/>
              </w:rPr>
            </w:pPr>
            <w:r>
              <w:rPr>
                <w:rFonts w:hint="eastAsia" w:ascii="宋体" w:hAnsi="宋体"/>
                <w:szCs w:val="21"/>
              </w:rPr>
              <w:t>Q8.5.3</w:t>
            </w:r>
            <w:r>
              <w:rPr>
                <w:rFonts w:hint="eastAsia"/>
                <w:szCs w:val="21"/>
              </w:rPr>
              <w:t xml:space="preserve"> </w:t>
            </w:r>
          </w:p>
        </w:tc>
        <w:tc>
          <w:tcPr>
            <w:tcW w:w="9855" w:type="dxa"/>
            <w:vAlign w:val="top"/>
          </w:tcPr>
          <w:p>
            <w:pPr>
              <w:rPr>
                <w:rFonts w:hint="eastAsia" w:ascii="宋体" w:hAnsi="宋体" w:eastAsia="宋体" w:cs="Times New Roman"/>
                <w:kern w:val="2"/>
                <w:sz w:val="21"/>
                <w:lang w:val="en-US" w:eastAsia="zh-CN" w:bidi="ar-SA"/>
              </w:rPr>
            </w:pPr>
            <w:r>
              <w:rPr>
                <w:rFonts w:hint="eastAsia"/>
              </w:rPr>
              <w:t>公司</w:t>
            </w:r>
            <w:r>
              <w:rPr>
                <w:rFonts w:hint="eastAsia"/>
                <w:lang w:val="en-US" w:eastAsia="zh-CN"/>
              </w:rPr>
              <w:t>涉及的</w:t>
            </w:r>
            <w:r>
              <w:rPr>
                <w:rFonts w:hint="eastAsia"/>
              </w:rPr>
              <w:t>顾客财产主要为顾客提供的图纸、样品及顾客的个人信息等，做好图纸和样品保管及个人信息保密工作。</w:t>
            </w:r>
            <w:r>
              <w:rPr>
                <w:rFonts w:hint="eastAsia"/>
              </w:rPr>
              <w:br w:type="textWrapping"/>
            </w:r>
            <w:r>
              <w:rPr>
                <w:rFonts w:hint="eastAsia"/>
                <w:lang w:val="en-US" w:eastAsia="zh-CN"/>
              </w:rPr>
              <w:t>目前为止，</w:t>
            </w:r>
            <w:r>
              <w:rPr>
                <w:rFonts w:hint="eastAsia"/>
              </w:rPr>
              <w:t>顾客财产没有发生损坏、丢失或泄露现象，保管完好。经询问了解，没有顾客个人信息泄露情况发生。</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p>
            <w:pPr>
              <w:pStyle w:val="14"/>
              <w:rPr>
                <w:rFonts w:hint="default"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7" w:type="dxa"/>
            <w:vAlign w:val="top"/>
          </w:tcPr>
          <w:p>
            <w:pPr>
              <w:rPr>
                <w:rFonts w:hint="eastAsia" w:ascii="宋体" w:hAnsi="宋体" w:eastAsia="宋体" w:cs="Times New Roman"/>
                <w:kern w:val="2"/>
                <w:sz w:val="21"/>
                <w:szCs w:val="21"/>
                <w:lang w:val="en-US" w:eastAsia="zh-CN" w:bidi="ar-SA"/>
              </w:rPr>
            </w:pPr>
            <w:r>
              <w:rPr>
                <w:rFonts w:hint="eastAsia"/>
                <w:szCs w:val="21"/>
              </w:rPr>
              <w:t>产品防护</w:t>
            </w:r>
          </w:p>
        </w:tc>
        <w:tc>
          <w:tcPr>
            <w:tcW w:w="2220" w:type="dxa"/>
            <w:vAlign w:val="top"/>
          </w:tcPr>
          <w:p>
            <w:pPr>
              <w:rPr>
                <w:szCs w:val="21"/>
              </w:rPr>
            </w:pPr>
            <w:r>
              <w:rPr>
                <w:rFonts w:hint="eastAsia" w:ascii="宋体" w:hAnsi="宋体"/>
                <w:szCs w:val="21"/>
              </w:rPr>
              <w:t>Q8.5.4</w:t>
            </w:r>
            <w:r>
              <w:rPr>
                <w:szCs w:val="21"/>
              </w:rPr>
              <w:t xml:space="preserve"> </w:t>
            </w:r>
          </w:p>
          <w:p>
            <w:pPr>
              <w:tabs>
                <w:tab w:val="left" w:pos="7380"/>
              </w:tabs>
              <w:jc w:val="left"/>
              <w:rPr>
                <w:rFonts w:hint="eastAsia" w:ascii="宋体" w:hAnsi="宋体" w:eastAsia="宋体" w:cs="Times New Roman"/>
                <w:kern w:val="2"/>
                <w:sz w:val="21"/>
                <w:lang w:val="en-US" w:eastAsia="zh-CN" w:bidi="ar-SA"/>
              </w:rPr>
            </w:pPr>
          </w:p>
        </w:tc>
        <w:tc>
          <w:tcPr>
            <w:tcW w:w="9855" w:type="dxa"/>
            <w:vAlign w:val="top"/>
          </w:tcPr>
          <w:p>
            <w:r>
              <w:rPr>
                <w:rFonts w:hint="eastAsia"/>
              </w:rPr>
              <w:t>提供的《</w:t>
            </w:r>
            <w:r>
              <w:rPr>
                <w:rFonts w:hint="eastAsia"/>
                <w:lang w:val="en-US" w:eastAsia="zh-CN"/>
              </w:rPr>
              <w:t>管理</w:t>
            </w:r>
            <w:r>
              <w:rPr>
                <w:rFonts w:hint="eastAsia"/>
              </w:rPr>
              <w:t>手册》中明确标识了搬运，贮存，包装，防护等方面的控制要求。</w:t>
            </w:r>
          </w:p>
          <w:p>
            <w:r>
              <w:rPr>
                <w:rFonts w:hint="eastAsia"/>
              </w:rPr>
              <w:t>1．标识：标识采用标签，标牌，区域，检验状态等形式控制。</w:t>
            </w:r>
          </w:p>
          <w:p>
            <w:r>
              <w:rPr>
                <w:rFonts w:hint="eastAsia"/>
              </w:rPr>
              <w:t>车间现场标识基本齐全，采用生产通知单，可追溯，操作工，检验员，控制基本有效。</w:t>
            </w:r>
          </w:p>
          <w:p>
            <w:r>
              <w:rPr>
                <w:rFonts w:hint="eastAsia"/>
              </w:rPr>
              <w:t>2．搬运：使用人工搬运等。</w:t>
            </w:r>
          </w:p>
          <w:p>
            <w:r>
              <w:rPr>
                <w:rFonts w:hint="eastAsia"/>
              </w:rPr>
              <w:t xml:space="preserve">3．包装：纸箱包装。                             </w:t>
            </w:r>
          </w:p>
          <w:p>
            <w:r>
              <w:rPr>
                <w:rFonts w:hint="eastAsia"/>
              </w:rPr>
              <w:t>4．贮存：仓库通风、采光、照明设施良好，防潮，车间正在使用的原料及半成品按区域堆放、分区、分类存放，基本适宜。</w:t>
            </w:r>
          </w:p>
          <w:p>
            <w:r>
              <w:rPr>
                <w:rFonts w:hint="eastAsia"/>
              </w:rPr>
              <w:t>5．防护：在运输过程中用帆布篷进行覆盖，防止雨淋。</w:t>
            </w:r>
          </w:p>
          <w:p>
            <w:pPr>
              <w:tabs>
                <w:tab w:val="left" w:pos="7380"/>
              </w:tabs>
              <w:jc w:val="left"/>
              <w:rPr>
                <w:rFonts w:hint="eastAsia" w:ascii="Times New Roman" w:hAnsi="Times New Roman" w:eastAsia="宋体" w:cs="Times New Roman"/>
                <w:kern w:val="2"/>
                <w:sz w:val="21"/>
                <w:szCs w:val="21"/>
                <w:lang w:val="en-US" w:eastAsia="zh-CN" w:bidi="ar-SA"/>
              </w:rPr>
            </w:pPr>
            <w:r>
              <w:rPr>
                <w:rFonts w:hint="eastAsia"/>
                <w:lang w:val="en-US" w:eastAsia="zh-CN"/>
              </w:rPr>
              <w:t>库房面积约80平米</w:t>
            </w:r>
            <w:r>
              <w:rPr>
                <w:rFonts w:hint="eastAsia"/>
              </w:rPr>
              <w:t>，</w:t>
            </w:r>
            <w:r>
              <w:rPr>
                <w:rFonts w:hint="eastAsia"/>
                <w:lang w:val="en-US" w:eastAsia="zh-CN"/>
              </w:rPr>
              <w:t>提价有</w:t>
            </w:r>
            <w:r>
              <w:rPr>
                <w:rFonts w:hint="eastAsia"/>
              </w:rPr>
              <w:t>入库单</w:t>
            </w:r>
            <w:r>
              <w:rPr>
                <w:rFonts w:hint="eastAsia"/>
                <w:lang w:eastAsia="zh-CN"/>
              </w:rPr>
              <w:t>、</w:t>
            </w:r>
            <w:r>
              <w:rPr>
                <w:rFonts w:hint="eastAsia"/>
                <w:lang w:val="en-US" w:eastAsia="zh-CN"/>
              </w:rPr>
              <w:t>出库单</w:t>
            </w:r>
            <w:r>
              <w:rPr>
                <w:rFonts w:hint="eastAsia"/>
              </w:rPr>
              <w:t>，做好相应状态标识。</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p>
            <w:pPr>
              <w:pStyle w:val="14"/>
              <w:rPr>
                <w:rFonts w:hint="default"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7"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交付后的活动</w:t>
            </w:r>
          </w:p>
        </w:tc>
        <w:tc>
          <w:tcPr>
            <w:tcW w:w="2220" w:type="dxa"/>
            <w:vAlign w:val="top"/>
          </w:tcPr>
          <w:p>
            <w:pPr>
              <w:tabs>
                <w:tab w:val="left" w:pos="7380"/>
              </w:tabs>
              <w:jc w:val="left"/>
              <w:rPr>
                <w:rFonts w:hint="eastAsia" w:ascii="宋体" w:hAnsi="宋体" w:eastAsia="宋体" w:cs="Times New Roman"/>
                <w:kern w:val="2"/>
                <w:sz w:val="21"/>
                <w:lang w:val="en-US" w:eastAsia="zh-CN" w:bidi="ar-SA"/>
              </w:rPr>
            </w:pPr>
            <w:r>
              <w:rPr>
                <w:rFonts w:hint="eastAsia" w:ascii="宋体" w:hAnsi="宋体"/>
                <w:szCs w:val="21"/>
              </w:rPr>
              <w:t>Q8.5.5</w:t>
            </w:r>
            <w:r>
              <w:rPr>
                <w:rFonts w:hint="eastAsia" w:ascii="宋体" w:hAnsi="宋体"/>
              </w:rPr>
              <w:t xml:space="preserve"> </w:t>
            </w:r>
          </w:p>
        </w:tc>
        <w:tc>
          <w:tcPr>
            <w:tcW w:w="9855" w:type="dxa"/>
            <w:vAlign w:val="top"/>
          </w:tcPr>
          <w:p>
            <w:r>
              <w:t xml:space="preserve"> 在确定所需的交付后活动的程度时，公司应考虑： a) 法律法规要求。 b) 与</w:t>
            </w:r>
            <w:r>
              <w:rPr>
                <w:rFonts w:hint="eastAsia"/>
              </w:rPr>
              <w:t>服务</w:t>
            </w:r>
            <w:r>
              <w:t>有关的潜在不期望的后果。 c)</w:t>
            </w:r>
            <w:r>
              <w:rPr>
                <w:rFonts w:hint="eastAsia"/>
              </w:rPr>
              <w:t xml:space="preserve"> 服务</w:t>
            </w:r>
            <w:r>
              <w:t xml:space="preserve">的性质、用途和预期寿命。 d) 顾客要求。 e) 顾客反馈。 </w:t>
            </w:r>
          </w:p>
          <w:p>
            <w:pPr>
              <w:tabs>
                <w:tab w:val="left" w:pos="7380"/>
              </w:tabs>
              <w:rPr>
                <w:rFonts w:hint="eastAsia" w:ascii="Times New Roman" w:hAnsi="Times New Roman" w:eastAsia="宋体" w:cs="Times New Roman"/>
                <w:kern w:val="2"/>
                <w:sz w:val="21"/>
                <w:lang w:val="en-US" w:eastAsia="zh-CN" w:bidi="ar-SA"/>
              </w:rPr>
            </w:pPr>
            <w:r>
              <w:rPr>
                <w:rFonts w:hint="eastAsia"/>
              </w:rPr>
              <w:t>公司的</w:t>
            </w:r>
            <w:r>
              <w:t>交付后活动</w:t>
            </w:r>
            <w:r>
              <w:rPr>
                <w:rFonts w:hint="eastAsia"/>
              </w:rPr>
              <w:t>包括向顾客承诺提供的：</w:t>
            </w:r>
            <w:r>
              <w:t>诸如担保条件下的措施</w:t>
            </w:r>
            <w:r>
              <w:rPr>
                <w:rFonts w:hint="eastAsia"/>
              </w:rPr>
              <w:t>，</w:t>
            </w:r>
            <w:r>
              <w:t>合同规定的</w:t>
            </w:r>
            <w:r>
              <w:rPr>
                <w:rFonts w:hint="eastAsia"/>
              </w:rPr>
              <w:t>系统</w:t>
            </w:r>
            <w:r>
              <w:t>维护</w:t>
            </w:r>
            <w:r>
              <w:rPr>
                <w:rFonts w:hint="eastAsia"/>
              </w:rPr>
              <w:t>、售后</w:t>
            </w:r>
            <w:r>
              <w:t>服务、</w:t>
            </w:r>
            <w:r>
              <w:rPr>
                <w:rFonts w:hint="eastAsia"/>
              </w:rPr>
              <w:t>技术支持、培训等。也可以是顾客向公司提出的要求。</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p>
            <w:pPr>
              <w:pStyle w:val="14"/>
              <w:rPr>
                <w:rFonts w:hint="default"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447"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变更控制</w:t>
            </w:r>
          </w:p>
        </w:tc>
        <w:tc>
          <w:tcPr>
            <w:tcW w:w="222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8.5.6</w:t>
            </w:r>
          </w:p>
        </w:tc>
        <w:tc>
          <w:tcPr>
            <w:tcW w:w="9855" w:type="dxa"/>
            <w:vAlign w:val="center"/>
          </w:tcPr>
          <w:p>
            <w:pPr>
              <w:rPr>
                <w:rFonts w:hint="eastAsia" w:ascii="宋体" w:hAnsi="宋体" w:cs="宋体"/>
                <w:szCs w:val="21"/>
                <w:lang w:val="en-US" w:eastAsia="zh-CN"/>
              </w:rPr>
            </w:pPr>
            <w:r>
              <w:rPr>
                <w:rFonts w:hint="eastAsia" w:ascii="宋体" w:hAnsi="宋体" w:cs="宋体"/>
                <w:szCs w:val="21"/>
                <w:lang w:val="en-US" w:eastAsia="zh-CN"/>
              </w:rPr>
              <w:t>查变更的控制：</w:t>
            </w:r>
          </w:p>
          <w:p>
            <w:pPr>
              <w:rPr>
                <w:rFonts w:hint="eastAsia" w:ascii="Times New Roman" w:hAnsi="Times New Roman" w:eastAsia="宋体" w:cs="Times New Roman"/>
                <w:kern w:val="2"/>
                <w:sz w:val="21"/>
                <w:szCs w:val="21"/>
                <w:lang w:val="en-US" w:eastAsia="zh-CN" w:bidi="ar-SA"/>
              </w:rPr>
            </w:pPr>
            <w:r>
              <w:rPr>
                <w:rFonts w:hint="eastAsia" w:ascii="宋体" w:hAnsi="宋体" w:cs="宋体"/>
                <w:szCs w:val="21"/>
                <w:lang w:val="en-US" w:eastAsia="zh-CN"/>
              </w:rPr>
              <w:t>经与生产部门沟通，合同评审后，按合同要求进行组织开展相关生产，如发现提供的产品与顾客要求不一致的，与客户商量，重新签订合同，得到顾客确认后，再重新组织开展生产服务，并对不一致的原因进行分析，避免下次再发生，经了解，目前没有发生更改的情况。</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环境因素/危险源识别评价</w:t>
            </w:r>
          </w:p>
        </w:tc>
        <w:tc>
          <w:tcPr>
            <w:tcW w:w="2220" w:type="dxa"/>
          </w:tcPr>
          <w:p>
            <w:pPr>
              <w:pStyle w:val="1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EO/6.1.2</w:t>
            </w:r>
          </w:p>
        </w:tc>
        <w:tc>
          <w:tcPr>
            <w:tcW w:w="9855" w:type="dxa"/>
          </w:tcPr>
          <w:p>
            <w:pPr>
              <w:rPr>
                <w:rFonts w:hint="eastAsia" w:ascii="宋体" w:hAnsi="宋体" w:eastAsia="宋体"/>
                <w:szCs w:val="21"/>
                <w:lang w:val="en-US" w:eastAsia="zh-CN"/>
              </w:rPr>
            </w:pPr>
            <w:r>
              <w:rPr>
                <w:rFonts w:hint="eastAsia" w:ascii="宋体" w:hAnsi="宋体" w:eastAsia="宋体"/>
                <w:szCs w:val="21"/>
                <w:lang w:val="en-US" w:eastAsia="zh-CN"/>
              </w:rPr>
              <w:t>---编制了《</w:t>
            </w:r>
            <w:r>
              <w:rPr>
                <w:rFonts w:hint="eastAsia" w:ascii="宋体" w:hAnsi="宋体" w:cs="Times New Roman"/>
                <w:color w:val="000000"/>
                <w:szCs w:val="21"/>
                <w:lang w:bidi="ar-SA"/>
              </w:rPr>
              <w:t>环境因素识别与评价控制程序</w:t>
            </w:r>
            <w:r>
              <w:rPr>
                <w:rFonts w:hint="eastAsia" w:ascii="宋体" w:hAnsi="宋体" w:eastAsia="宋体"/>
                <w:szCs w:val="21"/>
                <w:lang w:val="en-US" w:eastAsia="zh-CN"/>
              </w:rPr>
              <w:t>》，</w:t>
            </w:r>
          </w:p>
          <w:p>
            <w:pPr>
              <w:jc w:val="both"/>
              <w:rPr>
                <w:rFonts w:hint="eastAsia" w:ascii="宋体" w:hAnsi="宋体" w:eastAsia="宋体" w:cs="Times New Roman"/>
                <w:color w:val="000000"/>
                <w:szCs w:val="21"/>
                <w:lang w:val="en-US" w:eastAsia="zh-CN" w:bidi="ar-SA"/>
              </w:rPr>
            </w:pPr>
            <w:r>
              <w:rPr>
                <w:rFonts w:hint="eastAsia"/>
                <w:lang w:eastAsia="zh-CN"/>
              </w:rPr>
              <w:t>提供《</w:t>
            </w:r>
            <w:r>
              <w:rPr>
                <w:rFonts w:hint="eastAsia"/>
              </w:rPr>
              <w:t>环境因素</w:t>
            </w:r>
            <w:r>
              <w:rPr>
                <w:rFonts w:hint="eastAsia"/>
                <w:lang w:val="en-US" w:eastAsia="zh-CN"/>
              </w:rPr>
              <w:t>评价表</w:t>
            </w:r>
            <w:r>
              <w:rPr>
                <w:rFonts w:hint="eastAsia"/>
                <w:lang w:eastAsia="zh-CN"/>
              </w:rPr>
              <w:t>》</w:t>
            </w:r>
            <w:r>
              <w:rPr>
                <w:rFonts w:hint="eastAsia"/>
                <w:color w:val="auto"/>
              </w:rPr>
              <w:t>，其中包</w:t>
            </w:r>
            <w:r>
              <w:rPr>
                <w:rFonts w:hint="eastAsia" w:ascii="宋体" w:hAnsi="宋体" w:eastAsia="宋体" w:cs="Times New Roman"/>
                <w:color w:val="000000"/>
                <w:szCs w:val="21"/>
                <w:lang w:bidi="ar-SA"/>
              </w:rPr>
              <w:t>括：生活垃圾、生产过程中废液、废耗材</w:t>
            </w:r>
            <w:r>
              <w:rPr>
                <w:rFonts w:hint="eastAsia" w:ascii="宋体" w:hAnsi="宋体" w:eastAsia="宋体" w:cs="Times New Roman"/>
                <w:color w:val="000000"/>
                <w:szCs w:val="21"/>
                <w:lang w:val="en-US" w:eastAsia="zh-CN" w:bidi="ar-SA"/>
              </w:rPr>
              <w:t>；</w:t>
            </w:r>
            <w:r>
              <w:rPr>
                <w:rFonts w:hint="eastAsia" w:ascii="宋体" w:hAnsi="宋体" w:eastAsia="宋体" w:cs="Times New Roman"/>
                <w:color w:val="000000"/>
                <w:szCs w:val="21"/>
                <w:lang w:bidi="ar-SA"/>
              </w:rPr>
              <w:t>离心机、漩涡振荡器等生产设备运转</w:t>
            </w:r>
            <w:r>
              <w:rPr>
                <w:rFonts w:hint="eastAsia" w:ascii="宋体" w:hAnsi="宋体" w:eastAsia="宋体" w:cs="Times New Roman"/>
                <w:color w:val="000000"/>
                <w:szCs w:val="21"/>
                <w:lang w:val="en-US" w:eastAsia="zh-CN" w:bidi="ar-SA"/>
              </w:rPr>
              <w:t>；</w:t>
            </w:r>
            <w:r>
              <w:rPr>
                <w:rFonts w:hint="eastAsia" w:ascii="宋体" w:hAnsi="宋体" w:eastAsia="宋体" w:cs="Times New Roman"/>
                <w:color w:val="000000"/>
                <w:szCs w:val="21"/>
                <w:lang w:bidi="ar-SA"/>
              </w:rPr>
              <w:t>原材料使用；水、电、纸张的使用</w:t>
            </w:r>
            <w:r>
              <w:rPr>
                <w:rFonts w:hint="eastAsia" w:ascii="宋体" w:hAnsi="宋体" w:eastAsia="宋体" w:cs="Times New Roman"/>
                <w:color w:val="000000"/>
                <w:szCs w:val="21"/>
                <w:lang w:val="en-US" w:eastAsia="zh-CN" w:bidi="ar-SA"/>
              </w:rPr>
              <w:t>；</w:t>
            </w:r>
            <w:r>
              <w:rPr>
                <w:rFonts w:hint="eastAsia" w:ascii="宋体" w:hAnsi="宋体" w:eastAsia="宋体" w:cs="Times New Roman"/>
                <w:color w:val="000000"/>
                <w:szCs w:val="21"/>
                <w:lang w:bidi="ar-SA"/>
              </w:rPr>
              <w:t>生产过程中</w:t>
            </w:r>
            <w:r>
              <w:rPr>
                <w:rFonts w:hint="eastAsia" w:ascii="宋体" w:hAnsi="宋体" w:eastAsia="宋体" w:cs="Times New Roman"/>
                <w:color w:val="000000"/>
                <w:szCs w:val="21"/>
                <w:lang w:val="en-US" w:eastAsia="zh-CN" w:bidi="ar-SA"/>
              </w:rPr>
              <w:t>废水</w:t>
            </w:r>
            <w:r>
              <w:rPr>
                <w:rFonts w:hint="eastAsia" w:ascii="宋体" w:hAnsi="宋体" w:eastAsia="宋体" w:cs="Times New Roman"/>
                <w:color w:val="000000"/>
                <w:szCs w:val="21"/>
                <w:lang w:bidi="ar-SA"/>
              </w:rPr>
              <w:t>等</w:t>
            </w:r>
            <w:r>
              <w:rPr>
                <w:rFonts w:hint="eastAsia" w:ascii="宋体" w:hAnsi="宋体" w:eastAsia="宋体" w:cs="Times New Roman"/>
                <w:color w:val="000000"/>
                <w:szCs w:val="21"/>
                <w:lang w:val="en-US" w:eastAsia="zh-CN" w:bidi="ar-SA"/>
              </w:rPr>
              <w:t>。</w:t>
            </w:r>
          </w:p>
          <w:p>
            <w:pPr>
              <w:rPr>
                <w:rFonts w:hint="eastAsia" w:ascii="宋体" w:hAnsi="宋体" w:eastAsia="宋体"/>
                <w:szCs w:val="21"/>
                <w:lang w:val="en-US" w:eastAsia="zh-CN"/>
              </w:rPr>
            </w:pPr>
            <w:r>
              <w:rPr>
                <w:rFonts w:hint="eastAsia" w:ascii="宋体" w:hAnsi="宋体" w:eastAsia="宋体"/>
                <w:szCs w:val="21"/>
                <w:lang w:val="en-US" w:eastAsia="zh-CN"/>
              </w:rPr>
              <w:t>提供《重要环境因素清单》，其中重要环境因素：火灾发生、固废排放。</w:t>
            </w:r>
          </w:p>
          <w:p>
            <w:pPr>
              <w:rPr>
                <w:rFonts w:hint="eastAsia" w:ascii="宋体" w:hAnsi="宋体" w:eastAsia="宋体"/>
                <w:szCs w:val="21"/>
                <w:lang w:val="en-US" w:eastAsia="zh-CN"/>
              </w:rPr>
            </w:pPr>
            <w:r>
              <w:rPr>
                <w:rFonts w:hint="eastAsia" w:ascii="宋体" w:hAnsi="宋体" w:eastAsia="宋体"/>
                <w:szCs w:val="21"/>
                <w:lang w:val="en-US" w:eastAsia="zh-CN"/>
              </w:rPr>
              <w:t>评价基本合理。</w:t>
            </w:r>
          </w:p>
          <w:p>
            <w:pPr>
              <w:rPr>
                <w:rFonts w:hint="eastAsia" w:ascii="宋体" w:hAnsi="宋体" w:eastAsia="宋体"/>
                <w:szCs w:val="21"/>
                <w:lang w:val="en-US" w:eastAsia="zh-CN"/>
              </w:rPr>
            </w:pPr>
            <w:r>
              <w:rPr>
                <w:rFonts w:hint="eastAsia" w:ascii="宋体" w:hAnsi="宋体" w:eastAsia="宋体"/>
                <w:szCs w:val="21"/>
                <w:lang w:val="en-US" w:eastAsia="zh-CN"/>
              </w:rPr>
              <w:t>---编制了《</w:t>
            </w:r>
            <w:r>
              <w:rPr>
                <w:rFonts w:hint="eastAsia" w:ascii="宋体" w:hAnsi="宋体" w:cs="Times New Roman"/>
                <w:color w:val="000000"/>
                <w:szCs w:val="21"/>
                <w:lang w:bidi="ar-SA"/>
              </w:rPr>
              <w:t>危险源识别、风险评价控制程序</w:t>
            </w:r>
            <w:r>
              <w:rPr>
                <w:rFonts w:hint="eastAsia" w:ascii="宋体" w:hAnsi="宋体" w:eastAsia="宋体"/>
                <w:szCs w:val="21"/>
                <w:lang w:val="en-US" w:eastAsia="zh-CN"/>
              </w:rPr>
              <w:t>》，</w:t>
            </w:r>
          </w:p>
          <w:p>
            <w:pPr>
              <w:rPr>
                <w:rFonts w:hint="eastAsia" w:ascii="宋体" w:hAnsi="宋体" w:eastAsia="宋体"/>
                <w:szCs w:val="21"/>
                <w:lang w:val="en-US" w:eastAsia="zh-CN"/>
              </w:rPr>
            </w:pPr>
            <w:r>
              <w:rPr>
                <w:rFonts w:hint="eastAsia" w:ascii="宋体" w:hAnsi="宋体" w:eastAsia="宋体"/>
                <w:szCs w:val="21"/>
                <w:lang w:val="en-US" w:eastAsia="zh-CN"/>
              </w:rPr>
              <w:t>提供了危险源识别、评价、控制表，涉及本部门的危险源包括：线路老化短路引起火灾触电、货架重物倾倒跌落造成物体打击、设备误操作、违规操作造成人身伤害等。</w:t>
            </w:r>
          </w:p>
          <w:p>
            <w:pPr>
              <w:rPr>
                <w:rFonts w:hint="eastAsia" w:ascii="宋体" w:hAnsi="宋体" w:eastAsia="宋体"/>
                <w:szCs w:val="21"/>
                <w:lang w:val="en-US" w:eastAsia="zh-CN"/>
              </w:rPr>
            </w:pPr>
            <w:r>
              <w:rPr>
                <w:rFonts w:hint="eastAsia" w:ascii="宋体" w:hAnsi="宋体" w:eastAsia="宋体"/>
                <w:szCs w:val="21"/>
                <w:lang w:val="en-US" w:eastAsia="zh-CN"/>
              </w:rPr>
              <w:t>用LEC法对识别的危险源进行评价，本部门不可接受风险：潜在火灾、触电、设备运转伤害、物体打击。</w:t>
            </w:r>
          </w:p>
          <w:p>
            <w:pPr>
              <w:rPr>
                <w:rFonts w:hint="eastAsia" w:asciiTheme="minorEastAsia" w:hAnsiTheme="minorEastAsia" w:eastAsiaTheme="minorEastAsia" w:cstheme="minorEastAsia"/>
                <w:color w:val="auto"/>
                <w:sz w:val="21"/>
                <w:szCs w:val="21"/>
                <w:lang w:val="en-US" w:eastAsia="zh-CN"/>
              </w:rPr>
            </w:pPr>
            <w:r>
              <w:rPr>
                <w:rFonts w:hint="eastAsia" w:ascii="宋体" w:hAnsi="宋体" w:eastAsia="宋体"/>
                <w:szCs w:val="21"/>
                <w:lang w:val="en-US" w:eastAsia="zh-CN"/>
              </w:rPr>
              <w:t>评价基本准确。</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p>
            <w:pPr>
              <w:pStyle w:val="14"/>
              <w:ind w:firstLine="230" w:firstLineChars="100"/>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运行的策划和控制</w:t>
            </w:r>
          </w:p>
        </w:tc>
        <w:tc>
          <w:tcPr>
            <w:tcW w:w="2220" w:type="dxa"/>
            <w:vAlign w:val="top"/>
          </w:tcPr>
          <w:p>
            <w:pPr>
              <w:pStyle w:val="1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E8.1</w:t>
            </w:r>
          </w:p>
          <w:p>
            <w:pPr>
              <w:pStyle w:val="14"/>
              <w:rPr>
                <w:rFonts w:hint="eastAsia" w:asciiTheme="minorEastAsia" w:hAnsiTheme="minorEastAsia" w:eastAsiaTheme="minorEastAsia" w:cstheme="minorEastAsia"/>
                <w:bCs/>
                <w:color w:val="auto"/>
                <w:spacing w:val="10"/>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O8.1.1、8.1.2</w:t>
            </w:r>
          </w:p>
        </w:tc>
        <w:tc>
          <w:tcPr>
            <w:tcW w:w="9855" w:type="dxa"/>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r>
              <w:rPr>
                <w:rFonts w:hint="eastAsia" w:ascii="宋体" w:hAnsi="宋体" w:cs="宋体"/>
                <w:color w:val="auto"/>
                <w:szCs w:val="21"/>
                <w:lang w:val="en-US" w:eastAsia="zh-CN"/>
              </w:rPr>
              <w:t>生产部</w:t>
            </w:r>
            <w:r>
              <w:rPr>
                <w:rFonts w:hint="eastAsia" w:ascii="宋体" w:hAnsi="宋体" w:eastAsia="宋体" w:cs="宋体"/>
                <w:color w:val="auto"/>
                <w:szCs w:val="21"/>
                <w:lang w:val="en-US" w:eastAsia="zh-CN"/>
              </w:rPr>
              <w:t>对</w:t>
            </w:r>
            <w:r>
              <w:rPr>
                <w:rFonts w:hint="eastAsia" w:ascii="宋体" w:hAnsi="宋体" w:cs="宋体"/>
                <w:color w:val="auto"/>
                <w:szCs w:val="21"/>
                <w:lang w:val="en-US" w:eastAsia="zh-CN"/>
              </w:rPr>
              <w:t>生产组装</w:t>
            </w:r>
            <w:r>
              <w:rPr>
                <w:rFonts w:hint="eastAsia" w:ascii="宋体" w:hAnsi="宋体" w:eastAsia="宋体" w:cs="宋体"/>
                <w:color w:val="auto"/>
                <w:szCs w:val="21"/>
                <w:lang w:val="en-US" w:eastAsia="zh-CN"/>
              </w:rPr>
              <w:t>服务实现、环境运行控制所需的过程程的顺序和相互关系进行策划，并对</w:t>
            </w:r>
            <w:r>
              <w:rPr>
                <w:rFonts w:hint="eastAsia" w:ascii="宋体" w:hAnsi="宋体" w:cs="宋体"/>
                <w:color w:val="auto"/>
                <w:szCs w:val="21"/>
                <w:lang w:val="en-US" w:eastAsia="zh-CN"/>
              </w:rPr>
              <w:t>生产现场</w:t>
            </w:r>
            <w:r>
              <w:rPr>
                <w:rFonts w:hint="eastAsia" w:ascii="宋体" w:hAnsi="宋体" w:eastAsia="宋体" w:cs="宋体"/>
                <w:color w:val="auto"/>
                <w:szCs w:val="21"/>
                <w:lang w:val="en-US" w:eastAsia="zh-CN"/>
              </w:rPr>
              <w:t>提供的过程、重要环境因素、不可接受风险等有关的运行和活动进行控制，确保管理方针、目标、指标的实现。策划确定下列内容：a）应达到的环境/职业健康安全目标、指标要求；b）针对服务确定过程及重要环境因素/危险源，并建立</w:t>
            </w:r>
            <w:r>
              <w:rPr>
                <w:rFonts w:hint="eastAsia" w:ascii="宋体" w:hAnsi="宋体" w:cs="宋体"/>
                <w:color w:val="auto"/>
                <w:szCs w:val="21"/>
                <w:lang w:val="en-US" w:eastAsia="zh-CN"/>
              </w:rPr>
              <w:t>生产组装</w:t>
            </w:r>
            <w:r>
              <w:rPr>
                <w:rFonts w:hint="eastAsia" w:ascii="宋体" w:hAnsi="宋体" w:eastAsia="宋体" w:cs="宋体"/>
                <w:color w:val="auto"/>
                <w:szCs w:val="21"/>
                <w:lang w:val="en-US" w:eastAsia="zh-CN"/>
              </w:rPr>
              <w:t>所需要的文件，以及所需提供的资源和设施；c）依据</w:t>
            </w:r>
            <w:r>
              <w:rPr>
                <w:rFonts w:hint="eastAsia" w:ascii="宋体" w:hAnsi="宋体" w:cs="宋体"/>
                <w:color w:val="auto"/>
                <w:szCs w:val="21"/>
                <w:lang w:val="en-US" w:eastAsia="zh-CN"/>
              </w:rPr>
              <w:t>生产组装</w:t>
            </w:r>
            <w:r>
              <w:rPr>
                <w:rFonts w:hint="eastAsia" w:ascii="宋体" w:hAnsi="宋体" w:eastAsia="宋体" w:cs="宋体"/>
                <w:color w:val="auto"/>
                <w:szCs w:val="21"/>
                <w:lang w:val="en-US" w:eastAsia="zh-CN"/>
              </w:rPr>
              <w:t>服务实现过程和活动的特点，确定验证、确认、监视、测量和检验需求的活动以及接收准则；d）保存</w:t>
            </w:r>
            <w:r>
              <w:rPr>
                <w:rFonts w:hint="eastAsia" w:ascii="宋体" w:hAnsi="宋体" w:cs="宋体"/>
                <w:color w:val="auto"/>
                <w:szCs w:val="21"/>
                <w:lang w:val="en-US" w:eastAsia="zh-CN"/>
              </w:rPr>
              <w:t>生产组装</w:t>
            </w:r>
            <w:r>
              <w:rPr>
                <w:rFonts w:hint="eastAsia" w:ascii="宋体" w:hAnsi="宋体" w:eastAsia="宋体" w:cs="宋体"/>
                <w:color w:val="auto"/>
                <w:szCs w:val="21"/>
                <w:lang w:val="en-US" w:eastAsia="zh-CN"/>
              </w:rPr>
              <w:t>服务实现过程和活动满足规定要求的记录。</w:t>
            </w:r>
          </w:p>
          <w:p>
            <w:pP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现场查看</w:t>
            </w:r>
            <w:r>
              <w:rPr>
                <w:rFonts w:hint="eastAsia" w:ascii="宋体" w:hAnsi="宋体" w:cs="宋体"/>
                <w:color w:val="auto"/>
                <w:szCs w:val="21"/>
                <w:lang w:val="en-US" w:eastAsia="zh-CN"/>
              </w:rPr>
              <w:t>生产现场和库房</w:t>
            </w:r>
            <w:r>
              <w:rPr>
                <w:rFonts w:hint="eastAsia" w:ascii="宋体" w:hAnsi="宋体" w:eastAsia="宋体" w:cs="宋体"/>
                <w:color w:val="auto"/>
                <w:szCs w:val="21"/>
                <w:lang w:val="en-US" w:eastAsia="zh-CN"/>
              </w:rPr>
              <w:t>环境，环境整洁、物品摆放整齐，设置了分类垃圾筒，无私拉电线情况。</w:t>
            </w:r>
          </w:p>
          <w:p>
            <w:pPr>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查看</w:t>
            </w:r>
            <w:r>
              <w:rPr>
                <w:rFonts w:hint="eastAsia" w:ascii="宋体" w:hAnsi="宋体" w:cs="宋体"/>
                <w:color w:val="auto"/>
                <w:szCs w:val="21"/>
                <w:lang w:val="en-US" w:eastAsia="zh-CN"/>
              </w:rPr>
              <w:t>2022.10.25生产现场环境检查记录，检查内容包括：</w:t>
            </w:r>
            <w:r>
              <w:rPr>
                <w:rFonts w:hint="eastAsia"/>
                <w:sz w:val="24"/>
                <w:szCs w:val="24"/>
              </w:rPr>
              <w:t>设备是否按规划放置</w:t>
            </w:r>
            <w:r>
              <w:rPr>
                <w:rFonts w:hint="eastAsia"/>
                <w:sz w:val="24"/>
                <w:szCs w:val="24"/>
                <w:lang w:val="en-US" w:eastAsia="zh-CN"/>
              </w:rPr>
              <w:t>；</w:t>
            </w:r>
            <w:r>
              <w:rPr>
                <w:rFonts w:hint="eastAsia"/>
                <w:sz w:val="24"/>
                <w:szCs w:val="24"/>
              </w:rPr>
              <w:t>设备是否进行标识、易于辨认</w:t>
            </w:r>
            <w:r>
              <w:rPr>
                <w:rFonts w:hint="eastAsia"/>
                <w:sz w:val="24"/>
                <w:szCs w:val="24"/>
                <w:lang w:val="en-US" w:eastAsia="zh-CN"/>
              </w:rPr>
              <w:t>；</w:t>
            </w:r>
            <w:r>
              <w:rPr>
                <w:rFonts w:hint="eastAsia"/>
                <w:sz w:val="24"/>
                <w:szCs w:val="24"/>
              </w:rPr>
              <w:t>生产现场是否每日清理整顿</w:t>
            </w:r>
            <w:r>
              <w:rPr>
                <w:rFonts w:hint="eastAsia"/>
                <w:sz w:val="24"/>
                <w:szCs w:val="24"/>
                <w:lang w:val="en-US" w:eastAsia="zh-CN"/>
              </w:rPr>
              <w:t>；</w:t>
            </w:r>
            <w:r>
              <w:rPr>
                <w:rFonts w:hint="eastAsia"/>
                <w:sz w:val="24"/>
                <w:szCs w:val="24"/>
              </w:rPr>
              <w:t>生产设备的日常维护</w:t>
            </w:r>
            <w:r>
              <w:rPr>
                <w:rFonts w:hint="eastAsia"/>
                <w:sz w:val="24"/>
                <w:szCs w:val="24"/>
                <w:lang w:val="en-US" w:eastAsia="zh-CN"/>
              </w:rPr>
              <w:t>；</w:t>
            </w:r>
            <w:r>
              <w:rPr>
                <w:rFonts w:hint="eastAsia"/>
                <w:sz w:val="24"/>
                <w:szCs w:val="24"/>
              </w:rPr>
              <w:t>生产过程所产生的固废的处理</w:t>
            </w:r>
            <w:r>
              <w:rPr>
                <w:rFonts w:hint="eastAsia"/>
                <w:sz w:val="24"/>
                <w:szCs w:val="24"/>
                <w:lang w:val="en-US" w:eastAsia="zh-CN"/>
              </w:rPr>
              <w:t>情况等</w:t>
            </w:r>
            <w:r>
              <w:rPr>
                <w:rFonts w:hint="eastAsia" w:ascii="宋体" w:hAnsi="宋体" w:eastAsia="宋体" w:cs="宋体"/>
                <w:color w:val="auto"/>
                <w:szCs w:val="21"/>
                <w:lang w:val="en-US" w:eastAsia="zh-CN"/>
              </w:rPr>
              <w:t>。</w:t>
            </w:r>
            <w:r>
              <w:rPr>
                <w:rFonts w:hint="eastAsia" w:ascii="宋体" w:hAnsi="宋体" w:cs="宋体"/>
                <w:color w:val="auto"/>
                <w:szCs w:val="21"/>
                <w:lang w:val="en-US" w:eastAsia="zh-CN"/>
              </w:rPr>
              <w:t>均符合要求，检查人：</w:t>
            </w:r>
            <w:r>
              <w:rPr>
                <w:rFonts w:hint="eastAsia"/>
                <w:bCs/>
                <w:sz w:val="24"/>
                <w:szCs w:val="24"/>
              </w:rPr>
              <w:t>张艳波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asciiTheme="minorEastAsia" w:hAnsi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w:t>
            </w:r>
            <w:r>
              <w:rPr>
                <w:rFonts w:hint="eastAsia" w:ascii="宋体" w:hAnsi="宋体" w:eastAsia="宋体" w:cs="宋体"/>
                <w:color w:val="auto"/>
                <w:szCs w:val="21"/>
                <w:lang w:val="en-US" w:eastAsia="zh-CN"/>
              </w:rPr>
              <w:t>查看2022.10.25生产现场安全检查记录，检查内容包括：生产现场是否张贴安全警示标识；生产现场是否有设备安全操作规程；生产设备操作是否按设备操作规程进行操作；生产现场劳保用品齐备,穿戴/使用符合规定要求；生产生产现场无违章物品；生产电线无破损，无私拉乱接电线现象；无违章使用明火，在禁烟区吸烟现象；消防器材完好，适用；消防安全标志的设置情况和完好、有效。均符合要求，检查人：张艳波</w:t>
            </w:r>
          </w:p>
        </w:tc>
        <w:tc>
          <w:tcPr>
            <w:tcW w:w="1187" w:type="dxa"/>
          </w:tcPr>
          <w:p>
            <w:pPr>
              <w:pStyle w:val="1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center"/>
          </w:tcPr>
          <w:p>
            <w:pPr>
              <w:rPr>
                <w:rFonts w:hint="eastAsia" w:ascii="Times New Roman" w:hAnsi="Times New Roman" w:eastAsia="宋体" w:cs="Times New Roman"/>
                <w:kern w:val="2"/>
                <w:sz w:val="21"/>
                <w:lang w:val="en-US" w:eastAsia="zh-CN" w:bidi="ar-SA"/>
              </w:rPr>
            </w:pPr>
            <w:r>
              <w:rPr>
                <w:rFonts w:hint="eastAsia" w:cs="宋体"/>
              </w:rPr>
              <w:t>应急准备和响应</w:t>
            </w:r>
          </w:p>
        </w:tc>
        <w:tc>
          <w:tcPr>
            <w:tcW w:w="2220" w:type="dxa"/>
            <w:vAlign w:val="top"/>
          </w:tcPr>
          <w:p>
            <w:pPr>
              <w:jc w:val="both"/>
              <w:rPr>
                <w:rFonts w:hint="eastAsia" w:ascii="Times New Roman" w:hAnsi="Times New Roman" w:eastAsia="宋体" w:cs="Times New Roman"/>
                <w:kern w:val="2"/>
                <w:sz w:val="21"/>
                <w:lang w:val="en-US" w:eastAsia="zh-CN" w:bidi="ar-SA"/>
              </w:rPr>
            </w:pPr>
            <w:r>
              <w:t>E</w:t>
            </w:r>
            <w:r>
              <w:rPr>
                <w:rFonts w:hint="eastAsia"/>
              </w:rPr>
              <w:t>O</w:t>
            </w:r>
            <w:r>
              <w:t>8.2</w:t>
            </w:r>
          </w:p>
        </w:tc>
        <w:tc>
          <w:tcPr>
            <w:tcW w:w="9855" w:type="dxa"/>
            <w:vAlign w:val="top"/>
          </w:tcPr>
          <w:p>
            <w:pPr>
              <w:jc w:val="both"/>
              <w:rPr>
                <w:rFonts w:hint="eastAsia" w:ascii="Times New Roman" w:hAnsi="Times New Roman" w:eastAsia="宋体" w:cs="Times New Roman"/>
                <w:kern w:val="2"/>
                <w:sz w:val="21"/>
                <w:lang w:val="en-US" w:eastAsia="zh-CN" w:bidi="ar-SA"/>
              </w:rPr>
            </w:pPr>
            <w:r>
              <w:rPr>
                <w:rFonts w:hint="eastAsia" w:cs="宋体"/>
              </w:rPr>
              <w:t>执行《</w:t>
            </w:r>
            <w:r>
              <w:rPr>
                <w:rFonts w:hint="eastAsia" w:ascii="宋体" w:hAnsi="宋体" w:cs="Times New Roman"/>
                <w:color w:val="000000"/>
                <w:szCs w:val="21"/>
                <w:lang w:bidi="ar-SA"/>
              </w:rPr>
              <w:t>应急准备和响应控制程序</w:t>
            </w:r>
            <w:r>
              <w:rPr>
                <w:rFonts w:hint="eastAsia" w:cs="宋体"/>
              </w:rPr>
              <w:t>》。参加了</w:t>
            </w:r>
            <w:r>
              <w:rPr>
                <w:rFonts w:hint="eastAsia" w:cs="宋体"/>
                <w:lang w:val="en-US" w:eastAsia="zh-CN"/>
              </w:rPr>
              <w:t>经营部组织的</w:t>
            </w:r>
            <w:r>
              <w:t>20</w:t>
            </w:r>
            <w:r>
              <w:rPr>
                <w:rFonts w:hint="eastAsia"/>
              </w:rPr>
              <w:t>2</w:t>
            </w:r>
            <w:r>
              <w:rPr>
                <w:rFonts w:hint="eastAsia"/>
                <w:lang w:val="en-US" w:eastAsia="zh-CN"/>
              </w:rPr>
              <w:t>2</w:t>
            </w:r>
            <w:r>
              <w:rPr>
                <w:rFonts w:hint="eastAsia"/>
              </w:rPr>
              <w:t>.</w:t>
            </w:r>
            <w:r>
              <w:t>1</w:t>
            </w:r>
            <w:r>
              <w:rPr>
                <w:rFonts w:hint="eastAsia"/>
                <w:lang w:val="en-US" w:eastAsia="zh-CN"/>
              </w:rPr>
              <w:t>0</w:t>
            </w:r>
            <w:r>
              <w:t>.1</w:t>
            </w:r>
            <w:r>
              <w:rPr>
                <w:rFonts w:hint="eastAsia"/>
                <w:lang w:val="en-US" w:eastAsia="zh-CN"/>
              </w:rPr>
              <w:t>2</w:t>
            </w:r>
            <w:r>
              <w:rPr>
                <w:rFonts w:hint="eastAsia" w:cs="宋体"/>
              </w:rPr>
              <w:t>消防演练</w:t>
            </w:r>
            <w:r>
              <w:rPr>
                <w:rFonts w:hint="eastAsia" w:cs="宋体"/>
                <w:lang w:eastAsia="zh-CN"/>
              </w:rPr>
              <w:t>、</w:t>
            </w:r>
            <w:r>
              <w:t>20</w:t>
            </w:r>
            <w:r>
              <w:rPr>
                <w:rFonts w:hint="eastAsia"/>
              </w:rPr>
              <w:t>2</w:t>
            </w:r>
            <w:r>
              <w:rPr>
                <w:rFonts w:hint="eastAsia"/>
                <w:lang w:val="en-US" w:eastAsia="zh-CN"/>
              </w:rPr>
              <w:t>2</w:t>
            </w:r>
            <w:r>
              <w:rPr>
                <w:rFonts w:hint="eastAsia"/>
              </w:rPr>
              <w:t>.</w:t>
            </w:r>
            <w:r>
              <w:t>11.13</w:t>
            </w:r>
            <w:r>
              <w:rPr>
                <w:rFonts w:hint="eastAsia" w:cs="宋体"/>
              </w:rPr>
              <w:t>组织</w:t>
            </w:r>
            <w:r>
              <w:rPr>
                <w:rFonts w:hint="eastAsia" w:cs="宋体"/>
                <w:lang w:val="en-US" w:eastAsia="zh-CN"/>
              </w:rPr>
              <w:t>触电</w:t>
            </w:r>
            <w:r>
              <w:rPr>
                <w:rFonts w:hint="eastAsia" w:cs="宋体"/>
              </w:rPr>
              <w:t>演练。</w:t>
            </w:r>
          </w:p>
        </w:tc>
        <w:tc>
          <w:tcPr>
            <w:tcW w:w="1187" w:type="dxa"/>
            <w:vAlign w:val="top"/>
          </w:tcPr>
          <w:p>
            <w:pPr>
              <w:rPr>
                <w:rFonts w:hint="eastAsia" w:ascii="Times New Roman" w:hAnsi="Times New Roman" w:eastAsia="宋体" w:cs="Times New Roman"/>
                <w:kern w:val="2"/>
                <w:sz w:val="21"/>
                <w:lang w:val="en-US" w:eastAsia="zh-CN" w:bidi="ar-SA"/>
              </w:rPr>
            </w:pPr>
            <w:r>
              <w:rPr>
                <w:rFonts w:hint="eastAsia"/>
              </w:rPr>
              <w:t>Y</w:t>
            </w:r>
          </w:p>
        </w:tc>
      </w:tr>
    </w:tbl>
    <w:p>
      <w:pPr>
        <w:pStyle w:val="9"/>
        <w:rPr>
          <w:rFonts w:hint="eastAsia"/>
        </w:rPr>
      </w:pPr>
      <w:r>
        <w:rPr>
          <w:rFonts w:hint="eastAsia"/>
        </w:rPr>
        <w:t>说明：不符合标注N</w:t>
      </w:r>
    </w:p>
    <w:p>
      <w:pPr>
        <w:pStyle w:val="9"/>
        <w:rPr>
          <w:rFonts w:hint="eastAsia"/>
        </w:rPr>
      </w:pPr>
    </w:p>
    <w:p>
      <w:pPr>
        <w:pStyle w:val="9"/>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北魏楷书简体">
    <w:altName w:val="黑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2"/>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A3MjkyOTIxN2VhMThkMTAxMDIyOTYxMWFmYzMzNTgifQ=="/>
  </w:docVars>
  <w:rsids>
    <w:rsidRoot w:val="00000000"/>
    <w:rsid w:val="007A1026"/>
    <w:rsid w:val="036A47D2"/>
    <w:rsid w:val="039C7714"/>
    <w:rsid w:val="03D96AE0"/>
    <w:rsid w:val="05C452EA"/>
    <w:rsid w:val="060966F4"/>
    <w:rsid w:val="06327188"/>
    <w:rsid w:val="09255DEE"/>
    <w:rsid w:val="09341784"/>
    <w:rsid w:val="0A802ED6"/>
    <w:rsid w:val="0B985710"/>
    <w:rsid w:val="0BC05367"/>
    <w:rsid w:val="0EE87714"/>
    <w:rsid w:val="105F249C"/>
    <w:rsid w:val="10BC52B0"/>
    <w:rsid w:val="11856EAC"/>
    <w:rsid w:val="119328D2"/>
    <w:rsid w:val="123E5E37"/>
    <w:rsid w:val="125D5E2B"/>
    <w:rsid w:val="177F79E2"/>
    <w:rsid w:val="196850DE"/>
    <w:rsid w:val="1AB90925"/>
    <w:rsid w:val="1ADE439B"/>
    <w:rsid w:val="1BA109F6"/>
    <w:rsid w:val="1BE92325"/>
    <w:rsid w:val="1C6A3D69"/>
    <w:rsid w:val="1E9D20CA"/>
    <w:rsid w:val="205829B9"/>
    <w:rsid w:val="21ED251E"/>
    <w:rsid w:val="24380099"/>
    <w:rsid w:val="24E03C38"/>
    <w:rsid w:val="24FF4787"/>
    <w:rsid w:val="255945C1"/>
    <w:rsid w:val="26EE2F53"/>
    <w:rsid w:val="2723667D"/>
    <w:rsid w:val="274C5769"/>
    <w:rsid w:val="28B124C7"/>
    <w:rsid w:val="29780EA2"/>
    <w:rsid w:val="29CE582E"/>
    <w:rsid w:val="2AB64965"/>
    <w:rsid w:val="2AC16BD7"/>
    <w:rsid w:val="2CA938D9"/>
    <w:rsid w:val="2CCD63D4"/>
    <w:rsid w:val="2E440D15"/>
    <w:rsid w:val="308C13E0"/>
    <w:rsid w:val="327C3259"/>
    <w:rsid w:val="32D33460"/>
    <w:rsid w:val="35742A03"/>
    <w:rsid w:val="35BB1B14"/>
    <w:rsid w:val="361E43E3"/>
    <w:rsid w:val="36862DC6"/>
    <w:rsid w:val="37174D70"/>
    <w:rsid w:val="37187BB9"/>
    <w:rsid w:val="38176BAA"/>
    <w:rsid w:val="383739BC"/>
    <w:rsid w:val="394808EB"/>
    <w:rsid w:val="3A570272"/>
    <w:rsid w:val="3FA710E3"/>
    <w:rsid w:val="3FB64681"/>
    <w:rsid w:val="41E768C9"/>
    <w:rsid w:val="44EB5918"/>
    <w:rsid w:val="453167EA"/>
    <w:rsid w:val="47F915A3"/>
    <w:rsid w:val="490852CF"/>
    <w:rsid w:val="49D34275"/>
    <w:rsid w:val="49D80C11"/>
    <w:rsid w:val="4A6D7CE3"/>
    <w:rsid w:val="4A9C4CC6"/>
    <w:rsid w:val="4AF46303"/>
    <w:rsid w:val="4C853291"/>
    <w:rsid w:val="4CCA4313"/>
    <w:rsid w:val="4DD342A5"/>
    <w:rsid w:val="4E4A1BD6"/>
    <w:rsid w:val="4E790D21"/>
    <w:rsid w:val="4EBC667A"/>
    <w:rsid w:val="4F4179B4"/>
    <w:rsid w:val="4F6E0A3B"/>
    <w:rsid w:val="50F238F6"/>
    <w:rsid w:val="518C5430"/>
    <w:rsid w:val="546241A1"/>
    <w:rsid w:val="54AB41D7"/>
    <w:rsid w:val="55B933CF"/>
    <w:rsid w:val="5697245D"/>
    <w:rsid w:val="57210130"/>
    <w:rsid w:val="57453195"/>
    <w:rsid w:val="597E64C2"/>
    <w:rsid w:val="5B540305"/>
    <w:rsid w:val="5BC90981"/>
    <w:rsid w:val="5BD0174E"/>
    <w:rsid w:val="5CD754D7"/>
    <w:rsid w:val="5D292F49"/>
    <w:rsid w:val="5DC92DC9"/>
    <w:rsid w:val="5E110457"/>
    <w:rsid w:val="5F6B7D70"/>
    <w:rsid w:val="605E4CA3"/>
    <w:rsid w:val="60C106B6"/>
    <w:rsid w:val="619E506E"/>
    <w:rsid w:val="61A85EB4"/>
    <w:rsid w:val="62765FD1"/>
    <w:rsid w:val="62E60D4E"/>
    <w:rsid w:val="633D3510"/>
    <w:rsid w:val="63B03C90"/>
    <w:rsid w:val="647E6EBA"/>
    <w:rsid w:val="64BC765C"/>
    <w:rsid w:val="64D309B9"/>
    <w:rsid w:val="66E4533F"/>
    <w:rsid w:val="673F25F6"/>
    <w:rsid w:val="697D6C20"/>
    <w:rsid w:val="6D6C43C4"/>
    <w:rsid w:val="70214F84"/>
    <w:rsid w:val="710475CC"/>
    <w:rsid w:val="73407F09"/>
    <w:rsid w:val="76172095"/>
    <w:rsid w:val="777A62E1"/>
    <w:rsid w:val="78E315A2"/>
    <w:rsid w:val="7A8E55F9"/>
    <w:rsid w:val="7B356E06"/>
    <w:rsid w:val="7B636FE7"/>
    <w:rsid w:val="7BD75DE2"/>
    <w:rsid w:val="7C266648"/>
    <w:rsid w:val="7C977376"/>
    <w:rsid w:val="7CA5314E"/>
    <w:rsid w:val="7D5031CD"/>
    <w:rsid w:val="7D814A4B"/>
    <w:rsid w:val="7F1A50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line="360" w:lineRule="auto"/>
      <w:jc w:val="center"/>
      <w:outlineLvl w:val="0"/>
    </w:pPr>
    <w:rPr>
      <w:rFonts w:ascii="Calibri" w:hAnsi="Calibri"/>
      <w:b/>
      <w:kern w:val="44"/>
      <w:sz w:val="44"/>
      <w:szCs w:val="22"/>
    </w:rPr>
  </w:style>
  <w:style w:type="paragraph" w:styleId="5">
    <w:name w:val="heading 2"/>
    <w:basedOn w:val="1"/>
    <w:next w:val="6"/>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3"/>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qFormat/>
    <w:uiPriority w:val="0"/>
    <w:pPr>
      <w:adjustRightInd w:val="0"/>
      <w:snapToGrid w:val="0"/>
      <w:spacing w:line="440" w:lineRule="atLeast"/>
    </w:pPr>
    <w:rPr>
      <w:snapToGrid w:val="0"/>
      <w:kern w:val="0"/>
      <w:sz w:val="24"/>
    </w:rPr>
  </w:style>
  <w:style w:type="paragraph" w:styleId="6">
    <w:name w:val="Normal Indent"/>
    <w:basedOn w:val="1"/>
    <w:qFormat/>
    <w:uiPriority w:val="0"/>
    <w:pPr>
      <w:adjustRightInd w:val="0"/>
      <w:spacing w:line="360" w:lineRule="atLeast"/>
      <w:ind w:left="480"/>
      <w:textAlignment w:val="baseline"/>
    </w:pPr>
    <w:rPr>
      <w:kern w:val="0"/>
    </w:rPr>
  </w:style>
  <w:style w:type="paragraph" w:styleId="7">
    <w:name w:val="Plain Text"/>
    <w:basedOn w:val="1"/>
    <w:qFormat/>
    <w:uiPriority w:val="0"/>
    <w:rPr>
      <w:rFonts w:ascii="宋体" w:hAnsi="Courier New"/>
      <w:szCs w:val="21"/>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basedOn w:val="12"/>
    <w:qFormat/>
    <w:uiPriority w:val="0"/>
    <w:rPr>
      <w:i/>
      <w:iCs/>
    </w:rPr>
  </w:style>
  <w:style w:type="paragraph" w:customStyle="1" w:styleId="14">
    <w:name w:val="表格文字"/>
    <w:basedOn w:val="1"/>
    <w:qFormat/>
    <w:uiPriority w:val="0"/>
    <w:pPr>
      <w:spacing w:before="25" w:after="25"/>
    </w:pPr>
    <w:rPr>
      <w:bCs/>
      <w:spacing w:val="10"/>
    </w:rPr>
  </w:style>
  <w:style w:type="character" w:customStyle="1" w:styleId="15">
    <w:name w:val="页眉 Char"/>
    <w:basedOn w:val="12"/>
    <w:link w:val="2"/>
    <w:qFormat/>
    <w:uiPriority w:val="99"/>
    <w:rPr>
      <w:rFonts w:ascii="Times New Roman" w:hAnsi="Times New Roman" w:eastAsia="宋体" w:cs="Times New Roman"/>
      <w:sz w:val="18"/>
      <w:szCs w:val="18"/>
    </w:rPr>
  </w:style>
  <w:style w:type="character" w:customStyle="1" w:styleId="16">
    <w:name w:val="页脚 Char"/>
    <w:basedOn w:val="12"/>
    <w:link w:val="9"/>
    <w:qFormat/>
    <w:uiPriority w:val="99"/>
    <w:rPr>
      <w:rFonts w:ascii="Times New Roman" w:hAnsi="Times New Roman" w:eastAsia="宋体" w:cs="Times New Roman"/>
      <w:sz w:val="18"/>
      <w:szCs w:val="18"/>
    </w:rPr>
  </w:style>
  <w:style w:type="character" w:customStyle="1" w:styleId="17">
    <w:name w:val="批注框文本 Char"/>
    <w:basedOn w:val="12"/>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_Style 2"/>
    <w:basedOn w:val="1"/>
    <w:qFormat/>
    <w:uiPriority w:val="34"/>
    <w:pPr>
      <w:adjustRightInd w:val="0"/>
      <w:spacing w:line="312" w:lineRule="atLeast"/>
      <w:ind w:firstLine="420" w:firstLineChars="200"/>
      <w:textAlignment w:val="baseline"/>
    </w:pPr>
    <w:rPr>
      <w:kern w:val="0"/>
      <w:szCs w:val="20"/>
    </w:rPr>
  </w:style>
  <w:style w:type="character" w:customStyle="1" w:styleId="20">
    <w:name w:val="NormalCharacter"/>
    <w:semiHidden/>
    <w:qFormat/>
    <w:uiPriority w:val="0"/>
  </w:style>
  <w:style w:type="paragraph" w:customStyle="1" w:styleId="21">
    <w:name w:val="Body 9pt"/>
    <w:basedOn w:val="1"/>
    <w:qFormat/>
    <w:uiPriority w:val="0"/>
    <w:pPr>
      <w:spacing w:before="40" w:after="40"/>
    </w:pPr>
    <w:rPr>
      <w:rFonts w:eastAsia="Times New Roman"/>
      <w:sz w:val="18"/>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3728</Words>
  <Characters>4052</Characters>
  <Lines>1</Lines>
  <Paragraphs>1</Paragraphs>
  <TotalTime>14</TotalTime>
  <ScaleCrop>false</ScaleCrop>
  <LinksUpToDate>false</LinksUpToDate>
  <CharactersWithSpaces>4438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apple</cp:lastModifiedBy>
  <dcterms:modified xsi:type="dcterms:W3CDTF">2023-01-03T08:16:42Z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F927280213784BA883DF6E1A8EFF9021</vt:lpwstr>
  </property>
</Properties>
</file>