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976"/>
        <w:gridCol w:w="1133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1" w:type="dxa"/>
            <w:vMerge w:val="restart"/>
            <w:vAlign w:val="center"/>
          </w:tcPr>
          <w:p>
            <w:pPr>
              <w:adjustRightInd w:val="0"/>
              <w:snapToGrid w:val="0"/>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adjustRightInd w:val="0"/>
              <w:snapToGrid w:val="0"/>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76" w:type="dxa"/>
            <w:vMerge w:val="restart"/>
            <w:vAlign w:val="center"/>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338" w:type="dxa"/>
            <w:vAlign w:val="center"/>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eastAsia="zh-CN"/>
              </w:rPr>
              <w:t>管理</w:t>
            </w:r>
            <w:r>
              <w:rPr>
                <w:rFonts w:hint="default" w:ascii="Times New Roman" w:hAnsi="Times New Roman" w:eastAsia="宋体" w:cs="Times New Roman"/>
                <w:sz w:val="21"/>
                <w:szCs w:val="21"/>
              </w:rPr>
              <w:t>层         主管领导：</w:t>
            </w:r>
            <w:r>
              <w:rPr>
                <w:rFonts w:hint="default" w:ascii="Times New Roman" w:hAnsi="Times New Roman" w:eastAsia="宋体" w:cs="Times New Roman"/>
                <w:sz w:val="21"/>
                <w:szCs w:val="21"/>
                <w:lang w:val="en-US" w:eastAsia="zh-CN"/>
              </w:rPr>
              <w:t>总经理：郭伟志 管代：</w:t>
            </w:r>
            <w:r>
              <w:rPr>
                <w:rFonts w:hint="default" w:ascii="Times New Roman" w:hAnsi="Times New Roman" w:eastAsia="宋体" w:cs="Times New Roman"/>
                <w:sz w:val="21"/>
                <w:szCs w:val="21"/>
                <w:lang w:eastAsia="zh-CN"/>
              </w:rPr>
              <w:t>侯彩旋</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陪同人员：</w:t>
            </w:r>
            <w:r>
              <w:rPr>
                <w:rFonts w:hint="default" w:ascii="Times New Roman" w:hAnsi="Times New Roman" w:eastAsia="宋体" w:cs="Times New Roman"/>
                <w:sz w:val="21"/>
                <w:szCs w:val="21"/>
                <w:lang w:val="en-US" w:eastAsia="zh-CN"/>
              </w:rPr>
              <w:t>杨昆</w:t>
            </w:r>
          </w:p>
        </w:tc>
        <w:tc>
          <w:tcPr>
            <w:tcW w:w="1014" w:type="dxa"/>
            <w:vMerge w:val="restart"/>
            <w:vAlign w:val="center"/>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1" w:type="dxa"/>
            <w:vMerge w:val="continue"/>
            <w:vAlign w:val="center"/>
          </w:tcPr>
          <w:p>
            <w:pPr>
              <w:adjustRightInd w:val="0"/>
              <w:snapToGrid w:val="0"/>
              <w:spacing w:line="300" w:lineRule="exact"/>
              <w:rPr>
                <w:rFonts w:hint="default" w:ascii="Times New Roman" w:hAnsi="Times New Roman" w:eastAsia="宋体" w:cs="Times New Roman"/>
                <w:sz w:val="21"/>
                <w:szCs w:val="21"/>
              </w:rPr>
            </w:pPr>
          </w:p>
        </w:tc>
        <w:tc>
          <w:tcPr>
            <w:tcW w:w="976" w:type="dxa"/>
            <w:vMerge w:val="continue"/>
            <w:vAlign w:val="center"/>
          </w:tcPr>
          <w:p>
            <w:pPr>
              <w:adjustRightInd w:val="0"/>
              <w:snapToGrid w:val="0"/>
              <w:spacing w:line="300" w:lineRule="exact"/>
              <w:rPr>
                <w:rFonts w:hint="default" w:ascii="Times New Roman" w:hAnsi="Times New Roman" w:eastAsia="宋体" w:cs="Times New Roman"/>
                <w:sz w:val="21"/>
                <w:szCs w:val="21"/>
              </w:rPr>
            </w:pPr>
          </w:p>
        </w:tc>
        <w:tc>
          <w:tcPr>
            <w:tcW w:w="11338" w:type="dxa"/>
            <w:vAlign w:val="center"/>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eastAsia="zh-CN"/>
              </w:rPr>
              <w:t>吉洁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审核时间：</w:t>
            </w:r>
            <w:r>
              <w:rPr>
                <w:rFonts w:hint="default" w:ascii="Times New Roman" w:hAnsi="Times New Roman" w:eastAsia="宋体" w:cs="Times New Roman"/>
                <w:sz w:val="21"/>
                <w:szCs w:val="21"/>
                <w:lang w:val="en-US" w:eastAsia="zh-CN"/>
              </w:rPr>
              <w:t>2022年11月17日</w:t>
            </w:r>
          </w:p>
        </w:tc>
        <w:tc>
          <w:tcPr>
            <w:tcW w:w="1014" w:type="dxa"/>
            <w:vMerge w:val="continue"/>
          </w:tcPr>
          <w:p>
            <w:pPr>
              <w:adjustRightInd w:val="0"/>
              <w:snapToGrid w:val="0"/>
              <w:spacing w:line="30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1" w:type="dxa"/>
            <w:vMerge w:val="continue"/>
            <w:vAlign w:val="center"/>
          </w:tcPr>
          <w:p>
            <w:pPr>
              <w:adjustRightInd w:val="0"/>
              <w:snapToGrid w:val="0"/>
              <w:spacing w:line="300" w:lineRule="exact"/>
              <w:rPr>
                <w:rFonts w:hint="default" w:ascii="Times New Roman" w:hAnsi="Times New Roman" w:eastAsia="宋体" w:cs="Times New Roman"/>
                <w:sz w:val="21"/>
                <w:szCs w:val="21"/>
              </w:rPr>
            </w:pPr>
          </w:p>
        </w:tc>
        <w:tc>
          <w:tcPr>
            <w:tcW w:w="976" w:type="dxa"/>
            <w:vMerge w:val="continue"/>
            <w:vAlign w:val="center"/>
          </w:tcPr>
          <w:p>
            <w:pPr>
              <w:adjustRightInd w:val="0"/>
              <w:snapToGrid w:val="0"/>
              <w:spacing w:line="300" w:lineRule="exact"/>
              <w:rPr>
                <w:rFonts w:hint="default" w:ascii="Times New Roman" w:hAnsi="Times New Roman" w:eastAsia="宋体" w:cs="Times New Roman"/>
                <w:sz w:val="21"/>
                <w:szCs w:val="21"/>
              </w:rPr>
            </w:pPr>
          </w:p>
        </w:tc>
        <w:tc>
          <w:tcPr>
            <w:tcW w:w="11338" w:type="dxa"/>
            <w:vAlign w:val="center"/>
          </w:tcPr>
          <w:p>
            <w:pPr>
              <w:spacing w:line="300" w:lineRule="exact"/>
              <w:jc w:val="left"/>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4.4</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2/5.3/6.1/6.2/7.1/9.3/10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1/10.3   Q 6.3</w:t>
            </w:r>
          </w:p>
        </w:tc>
        <w:tc>
          <w:tcPr>
            <w:tcW w:w="1014" w:type="dxa"/>
            <w:vMerge w:val="continue"/>
          </w:tcPr>
          <w:p>
            <w:pPr>
              <w:adjustRightInd w:val="0"/>
              <w:snapToGrid w:val="0"/>
              <w:spacing w:line="30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976"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11338"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●企业基本情况：</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现场查看并收集了企业的</w:t>
            </w:r>
            <w:r>
              <w:rPr>
                <w:rFonts w:hint="default" w:ascii="Times New Roman" w:hAnsi="Times New Roman" w:eastAsia="宋体" w:cs="Times New Roman"/>
                <w:sz w:val="21"/>
                <w:szCs w:val="21"/>
              </w:rPr>
              <w:t>营业执照</w:t>
            </w:r>
            <w:r>
              <w:rPr>
                <w:rFonts w:hint="default" w:ascii="Times New Roman" w:hAnsi="Times New Roman" w:eastAsia="宋体" w:cs="Times New Roman"/>
                <w:sz w:val="21"/>
                <w:szCs w:val="21"/>
                <w:lang w:val="en-US" w:eastAsia="zh-CN"/>
              </w:rPr>
              <w:t>,注册地址进行了变更；</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注册地址：中国（河北）自由贸易试验区正定片区正定高新技术产业开发区南区园博园大街2号联东U谷产业园Z1-22#A3</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生产地址：正定县正定镇北贾村正灵路与绕城高速交叉口南行100米路东；</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办公地址：正定县金河国际商务A座2101。</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认证范围无变更。</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内部因素和外部因素：</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仍执行公司《组织环境分析程序》，管理层定期召开内外部环境评审会议，将内部、外部问题或因素的分析结果，作为建立管理体系考虑的因素。评审内容包含内外部因素，因素影响或要求的满足情况，评审结果及是否需要采取措施。</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识别的外部环境主要有：政治环境、法律、经济环境、社会文化环境、技术环境、自然环境、竞争力等方面；</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识别的内部环境主要有：企业文化、公司价值观、知识积累、绩效、财务因素、资源因素、人力因素等方面；</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郭总介绍，近两年新冠肺炎疫情不断反复，钢材价格上涨，市场压力较大。公司产品工艺较简单，无技术优势。</w:t>
            </w:r>
          </w:p>
          <w:p>
            <w:pPr>
              <w:adjustRightInd w:val="0"/>
              <w:snapToGrid w:val="0"/>
              <w:spacing w:line="3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公司每年定期对这些内外部因素进行监视和评审，方式主要有：网站获取、顾客沟通（总结、会议、培训等形式）及内部沟通总结等方式。</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理解相关方的需求和期望</w:t>
            </w:r>
          </w:p>
        </w:tc>
        <w:tc>
          <w:tcPr>
            <w:tcW w:w="976"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4.2 </w:t>
            </w:r>
          </w:p>
          <w:p>
            <w:pPr>
              <w:adjustRightInd w:val="0"/>
              <w:snapToGrid w:val="0"/>
              <w:spacing w:line="300" w:lineRule="exact"/>
              <w:rPr>
                <w:rFonts w:hint="default" w:ascii="Times New Roman" w:hAnsi="Times New Roman" w:eastAsia="宋体" w:cs="Times New Roman"/>
                <w:sz w:val="21"/>
                <w:szCs w:val="21"/>
              </w:rPr>
            </w:pPr>
          </w:p>
        </w:tc>
        <w:tc>
          <w:tcPr>
            <w:tcW w:w="11338"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仍执行公司《相关方管理控制程序》，</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lang w:val="en-US" w:eastAsia="zh-CN"/>
              </w:rPr>
              <w:t>2022年初</w:t>
            </w:r>
            <w:r>
              <w:rPr>
                <w:rFonts w:hint="default" w:ascii="Times New Roman" w:hAnsi="Times New Roman" w:eastAsia="宋体" w:cs="Times New Roman"/>
                <w:sz w:val="21"/>
                <w:szCs w:val="21"/>
                <w:lang w:eastAsia="zh-CN"/>
              </w:rPr>
              <w:t>评审了相关方的需求及监视指标，识别了相关方：顾客、员工、供应商、社会、政府管理机构、所有者和投资者、审核机构。</w:t>
            </w:r>
          </w:p>
          <w:p>
            <w:pPr>
              <w:adjustRightInd w:val="0"/>
              <w:snapToGrid w:val="0"/>
              <w:spacing w:line="3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——抽顾客期望：产品质量，产品合规性；合法性；包括采购参数的符合性、可靠性、可用性、价格和寿命周期、安全性、产品责任、环境影响等；监视指标：顾客满意度</w:t>
            </w:r>
            <w:r>
              <w:rPr>
                <w:rFonts w:hint="default" w:ascii="Times New Roman" w:hAnsi="Times New Roman" w:eastAsia="宋体" w:cs="Times New Roman"/>
                <w:sz w:val="21"/>
                <w:szCs w:val="21"/>
              </w:rPr>
              <w:t>；</w:t>
            </w:r>
          </w:p>
          <w:p>
            <w:pPr>
              <w:adjustRightInd w:val="0"/>
              <w:snapToGrid w:val="0"/>
              <w:spacing w:line="300" w:lineRule="exact"/>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——供应商：继续经营的机会，包括制定共同的战略，共享知识和利润，共同承担损失，合作共赢等；监视指标：供方评价；</w:t>
            </w:r>
          </w:p>
          <w:p>
            <w:pPr>
              <w:adjustRightInd w:val="0"/>
              <w:snapToGrid w:val="0"/>
              <w:spacing w:line="3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另</w:t>
            </w: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rPr>
              <w:t>其他相关方</w:t>
            </w:r>
            <w:r>
              <w:rPr>
                <w:rFonts w:hint="default" w:ascii="Times New Roman" w:hAnsi="Times New Roman" w:eastAsia="宋体" w:cs="Times New Roman"/>
                <w:sz w:val="21"/>
                <w:szCs w:val="21"/>
                <w:lang w:eastAsia="zh-CN"/>
              </w:rPr>
              <w:t>评审了其</w:t>
            </w:r>
            <w:r>
              <w:rPr>
                <w:rFonts w:hint="default" w:ascii="Times New Roman" w:hAnsi="Times New Roman" w:eastAsia="宋体" w:cs="Times New Roman"/>
                <w:sz w:val="21"/>
                <w:szCs w:val="21"/>
              </w:rPr>
              <w:t>需求，</w:t>
            </w:r>
            <w:r>
              <w:rPr>
                <w:rFonts w:hint="default" w:ascii="Times New Roman" w:hAnsi="Times New Roman" w:eastAsia="宋体" w:cs="Times New Roman"/>
                <w:sz w:val="21"/>
                <w:szCs w:val="21"/>
                <w:lang w:eastAsia="zh-CN"/>
              </w:rPr>
              <w:t>建立了检测指标，</w:t>
            </w:r>
            <w:r>
              <w:rPr>
                <w:rFonts w:hint="default" w:ascii="Times New Roman" w:hAnsi="Times New Roman" w:eastAsia="宋体" w:cs="Times New Roman"/>
                <w:sz w:val="21"/>
                <w:szCs w:val="21"/>
              </w:rPr>
              <w:t>符合要求。</w:t>
            </w:r>
          </w:p>
          <w:p>
            <w:pPr>
              <w:adjustRightInd w:val="0"/>
              <w:snapToGrid w:val="0"/>
              <w:spacing w:line="300" w:lineRule="exact"/>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目前企业未发生处罚、相关方投诉事件</w:t>
            </w:r>
            <w:r>
              <w:rPr>
                <w:rFonts w:hint="default" w:ascii="Times New Roman" w:hAnsi="Times New Roman" w:eastAsia="宋体" w:cs="Times New Roman"/>
                <w:sz w:val="21"/>
                <w:szCs w:val="21"/>
                <w:lang w:eastAsia="zh-CN"/>
              </w:rPr>
              <w:t>。</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确定管理体系的范围</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p>
            <w:pPr>
              <w:adjustRightInd w:val="0"/>
              <w:snapToGrid w:val="0"/>
              <w:spacing w:line="300" w:lineRule="exact"/>
              <w:rPr>
                <w:rFonts w:hint="default" w:ascii="Times New Roman" w:hAnsi="Times New Roman" w:eastAsia="宋体" w:cs="Times New Roman"/>
                <w:sz w:val="21"/>
                <w:szCs w:val="21"/>
              </w:rPr>
            </w:pPr>
          </w:p>
        </w:tc>
        <w:tc>
          <w:tcPr>
            <w:tcW w:w="11338" w:type="dxa"/>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查见公司《管理手册》SJ／SC-2022，版本B/0,发布实施时间：2022年4月1日。</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bookmarkStart w:id="0" w:name="审核范围"/>
            <w:r>
              <w:rPr>
                <w:rFonts w:hint="default" w:ascii="Times New Roman" w:hAnsi="Times New Roman" w:eastAsia="宋体" w:cs="Times New Roman"/>
                <w:sz w:val="21"/>
                <w:szCs w:val="21"/>
                <w:lang w:val="en-US" w:eastAsia="zh-CN"/>
              </w:rPr>
              <w:t>管理体系范围：</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Q：金属制品（锚杆、锚具）的生产，金属制品（锚杆、锚具、钢筋套筒、钢模板、螺旋管、过轨管、声测管），建筑材料（花岗岩），挤塑板的销售</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E：金属制品（锚杆、锚具）的生产，金属制品（锚杆、锚具、钢筋套筒、钢模板、螺旋管、过轨管、声测管），建筑材料（花岗岩），挤塑板的销售所涉及场所的相关环境管理活动</w:t>
            </w:r>
          </w:p>
          <w:bookmarkEnd w:id="0"/>
          <w:p>
            <w:pPr>
              <w:adjustRightInd w:val="0"/>
              <w:snapToGrid w:val="0"/>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O：金属制品（锚杆、锚具）的生产，金属制品（锚杆、锚具、钢筋套筒、钢模板、螺旋管、过轨管、声测管），建筑材料（花岗岩），挤塑板的销售所涉及场所的相关职业健康安全管理活动；</w:t>
            </w:r>
          </w:p>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确定了管理体系的范围及边界</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涉及场所：生产地址：正定县正定镇北贾村正灵路与绕城高速交叉口南行100米路东；</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办公地址：正定县金河国际商务A座2101；</w:t>
            </w:r>
          </w:p>
          <w:p>
            <w:pPr>
              <w:pStyle w:val="2"/>
              <w:adjustRightInd w:val="0"/>
              <w:snapToGrid w:val="0"/>
              <w:spacing w:before="0" w:after="0" w:line="300" w:lineRule="exact"/>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在确定职业健康安全管理体系的范围时考虑了公司的内外部因素和相关方的需求和期望，考虑了公司的产品和服务，考率了与公司的宗旨和战略方向一致。</w:t>
            </w:r>
          </w:p>
          <w:p>
            <w:pPr>
              <w:pStyle w:val="2"/>
              <w:adjustRightInd w:val="0"/>
              <w:snapToGrid w:val="0"/>
              <w:spacing w:before="0" w:after="0" w:line="300" w:lineRule="exact"/>
              <w:rPr>
                <w:rFonts w:hint="default" w:ascii="Times New Roman" w:hAnsi="Times New Roman" w:eastAsia="宋体" w:cs="Times New Roman"/>
                <w:bCs w:val="0"/>
                <w:sz w:val="21"/>
                <w:szCs w:val="21"/>
              </w:rPr>
            </w:pPr>
            <w:r>
              <w:rPr>
                <w:rFonts w:hint="default" w:ascii="Times New Roman" w:hAnsi="Times New Roman" w:eastAsia="宋体" w:cs="Times New Roman"/>
                <w:bCs w:val="0"/>
                <w:spacing w:val="0"/>
                <w:kern w:val="2"/>
                <w:sz w:val="21"/>
                <w:szCs w:val="21"/>
                <w:lang w:val="en-US" w:eastAsia="zh-CN" w:bidi="ar-SA"/>
              </w:rPr>
              <w:t>管理体系范围自上次外审以后没有变更。</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4.4 </w:t>
            </w:r>
          </w:p>
          <w:p>
            <w:pPr>
              <w:adjustRightInd w:val="0"/>
              <w:snapToGrid w:val="0"/>
              <w:spacing w:line="300" w:lineRule="exact"/>
              <w:rPr>
                <w:rFonts w:hint="default" w:ascii="Times New Roman" w:hAnsi="Times New Roman" w:eastAsia="宋体" w:cs="Times New Roman"/>
                <w:sz w:val="21"/>
                <w:szCs w:val="21"/>
              </w:rPr>
            </w:pPr>
          </w:p>
        </w:tc>
        <w:tc>
          <w:tcPr>
            <w:tcW w:w="11338" w:type="dxa"/>
          </w:tcPr>
          <w:p>
            <w:pPr>
              <w:adjustRightInd w:val="0"/>
              <w:snapToGrid w:val="0"/>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zh-CN" w:eastAsia="zh-CN"/>
              </w:rPr>
              <w:t xml:space="preserve">本公司按照 </w:t>
            </w:r>
            <w:r>
              <w:rPr>
                <w:rFonts w:hint="default" w:ascii="Times New Roman" w:hAnsi="Times New Roman" w:eastAsia="宋体" w:cs="Times New Roman"/>
                <w:sz w:val="21"/>
                <w:szCs w:val="21"/>
                <w:lang w:val="en-US" w:eastAsia="zh-CN"/>
              </w:rPr>
              <w:t>GB/T19001-2016</w:t>
            </w:r>
            <w:r>
              <w:rPr>
                <w:rFonts w:hint="default" w:ascii="Times New Roman" w:hAnsi="Times New Roman" w:eastAsia="宋体" w:cs="Times New Roman"/>
                <w:sz w:val="21"/>
                <w:szCs w:val="21"/>
                <w:lang w:val="zh-CN" w:eastAsia="zh-CN"/>
              </w:rPr>
              <w:t xml:space="preserve">、 </w:t>
            </w:r>
            <w:r>
              <w:rPr>
                <w:rFonts w:hint="default" w:ascii="Times New Roman" w:hAnsi="Times New Roman" w:eastAsia="宋体" w:cs="Times New Roman"/>
                <w:sz w:val="21"/>
                <w:szCs w:val="21"/>
                <w:lang w:val="en-US" w:eastAsia="zh-CN"/>
              </w:rPr>
              <w:t>GB/T2</w:t>
            </w:r>
            <w:r>
              <w:rPr>
                <w:rFonts w:hint="default" w:ascii="Times New Roman" w:hAnsi="Times New Roman" w:eastAsia="宋体" w:cs="Times New Roman"/>
                <w:sz w:val="21"/>
                <w:szCs w:val="21"/>
                <w:lang w:val="zh-CN" w:eastAsia="zh-CN"/>
              </w:rPr>
              <w:t>4001</w:t>
            </w:r>
            <w:r>
              <w:rPr>
                <w:rFonts w:hint="default" w:ascii="Times New Roman" w:hAnsi="Times New Roman" w:eastAsia="宋体" w:cs="Times New Roman"/>
                <w:sz w:val="21"/>
                <w:szCs w:val="21"/>
                <w:lang w:val="en-US" w:eastAsia="zh-CN"/>
              </w:rPr>
              <w:t>-2016</w:t>
            </w:r>
            <w:r>
              <w:rPr>
                <w:rFonts w:hint="default" w:ascii="Times New Roman" w:hAnsi="Times New Roman" w:eastAsia="宋体" w:cs="Times New Roman"/>
                <w:sz w:val="21"/>
                <w:szCs w:val="21"/>
                <w:lang w:val="zh-CN" w:eastAsia="zh-CN"/>
              </w:rPr>
              <w:t>和GB/T45001-2020</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lang w:val="zh-CN" w:eastAsia="zh-CN"/>
              </w:rPr>
              <w:t>标准的要求，</w:t>
            </w:r>
            <w:r>
              <w:rPr>
                <w:rFonts w:hint="default" w:ascii="Times New Roman" w:hAnsi="Times New Roman" w:eastAsia="宋体" w:cs="Times New Roman"/>
                <w:sz w:val="21"/>
                <w:szCs w:val="21"/>
                <w:lang w:val="en-US" w:eastAsia="zh-CN"/>
              </w:rPr>
              <w:t>识别了经营各环节的过程及其相互作用，建立了</w:t>
            </w:r>
            <w:r>
              <w:rPr>
                <w:rFonts w:hint="default" w:ascii="Times New Roman" w:hAnsi="Times New Roman" w:eastAsia="宋体" w:cs="Times New Roman"/>
                <w:sz w:val="21"/>
                <w:szCs w:val="21"/>
                <w:lang w:val="zh-CN" w:eastAsia="zh-CN"/>
              </w:rPr>
              <w:t>质量/环境/职业健康安全管理体系,</w:t>
            </w:r>
            <w:r>
              <w:rPr>
                <w:rFonts w:hint="default" w:ascii="Times New Roman" w:hAnsi="Times New Roman" w:eastAsia="宋体" w:cs="Times New Roman"/>
                <w:sz w:val="21"/>
                <w:szCs w:val="21"/>
                <w:lang w:val="en-US" w:eastAsia="zh-CN"/>
              </w:rPr>
              <w:t>并形成文件，本公司全体员工将有效地贯彻执行并持续改进其有效性。</w:t>
            </w:r>
          </w:p>
          <w:p>
            <w:pPr>
              <w:adjustRightInd w:val="0"/>
              <w:snapToGrid w:val="0"/>
              <w:spacing w:line="300" w:lineRule="exact"/>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管理体系及其过程：公司于2022年初对质量/环境/职业健康安全管理体系进行了变更策划，识别了各个过程、环境因素、危险源等，编制了管理手册、程序文件、管理制度文件及各种作业记录，于2022年4月1日</w:t>
            </w:r>
            <w:r>
              <w:rPr>
                <w:rFonts w:hint="default" w:ascii="Times New Roman" w:hAnsi="Times New Roman" w:eastAsia="宋体" w:cs="Times New Roman"/>
                <w:sz w:val="21"/>
                <w:szCs w:val="21"/>
                <w:lang w:val="zh-CN" w:eastAsia="zh-CN"/>
              </w:rPr>
              <w:t>发布</w:t>
            </w:r>
            <w:r>
              <w:rPr>
                <w:rFonts w:hint="default" w:ascii="Times New Roman" w:hAnsi="Times New Roman" w:eastAsia="宋体" w:cs="Times New Roman"/>
                <w:sz w:val="21"/>
                <w:szCs w:val="21"/>
                <w:lang w:val="en-US" w:eastAsia="zh-CN"/>
              </w:rPr>
              <w:t>并</w:t>
            </w:r>
            <w:r>
              <w:rPr>
                <w:rFonts w:hint="default" w:ascii="Times New Roman" w:hAnsi="Times New Roman" w:eastAsia="宋体" w:cs="Times New Roman"/>
                <w:sz w:val="21"/>
                <w:szCs w:val="21"/>
                <w:lang w:val="zh-CN" w:eastAsia="zh-CN"/>
              </w:rPr>
              <w:t>实施。</w:t>
            </w:r>
          </w:p>
          <w:p>
            <w:pPr>
              <w:adjustRightInd w:val="0"/>
              <w:snapToGrid w:val="0"/>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经过近两年的运行，管理体系运行正常。</w:t>
            </w:r>
          </w:p>
          <w:p>
            <w:pPr>
              <w:adjustRightInd w:val="0"/>
              <w:snapToGrid w:val="0"/>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识别了外包过程：运输</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领导作用和承诺</w:t>
            </w:r>
          </w:p>
        </w:tc>
        <w:tc>
          <w:tcPr>
            <w:tcW w:w="976"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QEO5.1</w:t>
            </w:r>
          </w:p>
        </w:tc>
        <w:tc>
          <w:tcPr>
            <w:tcW w:w="113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●现场与管</w:t>
            </w:r>
            <w:r>
              <w:rPr>
                <w:rFonts w:hint="eastAsia" w:ascii="Times New Roman" w:hAnsi="Times New Roman" w:eastAsia="宋体" w:cs="Times New Roman"/>
                <w:sz w:val="21"/>
                <w:szCs w:val="21"/>
                <w:lang w:val="en-US" w:eastAsia="zh-CN"/>
              </w:rPr>
              <w:t>代</w:t>
            </w:r>
            <w:r>
              <w:rPr>
                <w:rFonts w:hint="default" w:ascii="Times New Roman" w:hAnsi="Times New Roman" w:eastAsia="宋体" w:cs="Times New Roman"/>
                <w:sz w:val="21"/>
                <w:szCs w:val="21"/>
                <w:lang w:val="en-US" w:eastAsia="zh-CN"/>
              </w:rPr>
              <w:t>进行沟通发现，最高管理层都具有较强的管理意识，明确管理承诺。</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沟通及查看文件，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●目前各项工作基本得到实施，并取得了一定的效果。</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管理方针</w:t>
            </w:r>
          </w:p>
        </w:tc>
        <w:tc>
          <w:tcPr>
            <w:tcW w:w="97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p>
            <w:pPr>
              <w:rPr>
                <w:rFonts w:hint="default" w:ascii="Times New Roman" w:hAnsi="Times New Roman" w:eastAsia="宋体" w:cs="Times New Roman"/>
                <w:sz w:val="21"/>
                <w:szCs w:val="21"/>
              </w:rPr>
            </w:pPr>
          </w:p>
        </w:tc>
        <w:tc>
          <w:tcPr>
            <w:tcW w:w="11338" w:type="dxa"/>
          </w:tcPr>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查见《</w:t>
            </w:r>
            <w:r>
              <w:rPr>
                <w:rFonts w:hint="default" w:ascii="Times New Roman" w:hAnsi="Times New Roman" w:eastAsia="宋体" w:cs="Times New Roman"/>
                <w:sz w:val="21"/>
                <w:szCs w:val="21"/>
              </w:rPr>
              <w:t>管</w:t>
            </w:r>
            <w:r>
              <w:rPr>
                <w:rFonts w:hint="default" w:ascii="Times New Roman" w:hAnsi="Times New Roman" w:eastAsia="宋体" w:cs="Times New Roman"/>
                <w:sz w:val="21"/>
                <w:szCs w:val="21"/>
                <w:lang w:eastAsia="zh-CN"/>
              </w:rPr>
              <w:t>理手册》</w:t>
            </w:r>
            <w:r>
              <w:rPr>
                <w:rFonts w:hint="default" w:ascii="Times New Roman" w:hAnsi="Times New Roman" w:eastAsia="宋体" w:cs="Times New Roman"/>
                <w:sz w:val="21"/>
                <w:szCs w:val="21"/>
                <w:lang w:val="en-US" w:eastAsia="zh-CN"/>
              </w:rPr>
              <w:t>SJ／SC-2022，版本B/0，</w:t>
            </w:r>
            <w:r>
              <w:rPr>
                <w:rFonts w:hint="default" w:ascii="Times New Roman" w:hAnsi="Times New Roman" w:eastAsia="宋体" w:cs="Times New Roman"/>
                <w:sz w:val="21"/>
                <w:szCs w:val="21"/>
              </w:rPr>
              <w:t>制定了</w:t>
            </w:r>
            <w:r>
              <w:rPr>
                <w:rFonts w:hint="default" w:ascii="Times New Roman" w:hAnsi="Times New Roman" w:eastAsia="宋体" w:cs="Times New Roman"/>
                <w:sz w:val="21"/>
                <w:szCs w:val="21"/>
                <w:lang w:eastAsia="zh-CN"/>
              </w:rPr>
              <w:t>企业的</w:t>
            </w:r>
            <w:r>
              <w:rPr>
                <w:rFonts w:hint="default" w:ascii="Times New Roman" w:hAnsi="Times New Roman" w:eastAsia="宋体" w:cs="Times New Roman"/>
                <w:sz w:val="21"/>
                <w:szCs w:val="21"/>
              </w:rPr>
              <w:t>管理方针：</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质量为先、信誉为重、管理为本、服务为诚、持续学习、厉行节约、</w:t>
            </w:r>
            <w:r>
              <w:rPr>
                <w:rFonts w:hint="default" w:ascii="Times New Roman" w:hAnsi="Times New Roman" w:eastAsia="宋体" w:cs="Times New Roman"/>
                <w:sz w:val="21"/>
                <w:szCs w:val="21"/>
                <w:lang w:val="en-US" w:eastAsia="zh-CN"/>
              </w:rPr>
              <w:t>保护环境、</w:t>
            </w:r>
            <w:r>
              <w:rPr>
                <w:rFonts w:hint="default" w:ascii="Times New Roman" w:hAnsi="Times New Roman" w:eastAsia="宋体" w:cs="Times New Roman"/>
                <w:sz w:val="21"/>
                <w:szCs w:val="21"/>
                <w:lang w:eastAsia="zh-CN"/>
              </w:rPr>
              <w:t>安全第一</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公司的管理方针记录在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管理手册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SJ／SC-2022</w:t>
            </w:r>
            <w:r>
              <w:rPr>
                <w:rFonts w:hint="default" w:ascii="Times New Roman" w:hAnsi="Times New Roman" w:eastAsia="宋体" w:cs="Times New Roman"/>
                <w:sz w:val="21"/>
                <w:szCs w:val="21"/>
              </w:rPr>
              <w:t>中，并在组织内部得到广泛的宣传、沟通。方针是管理层共同研究决定的，结合了公司</w:t>
            </w:r>
            <w:r>
              <w:rPr>
                <w:rFonts w:hint="default" w:ascii="Times New Roman" w:hAnsi="Times New Roman" w:eastAsia="宋体" w:cs="Times New Roman"/>
                <w:sz w:val="21"/>
                <w:szCs w:val="21"/>
                <w:lang w:eastAsia="zh-CN"/>
              </w:rPr>
              <w:t>服务</w:t>
            </w:r>
            <w:r>
              <w:rPr>
                <w:rFonts w:hint="default" w:ascii="Times New Roman" w:hAnsi="Times New Roman" w:eastAsia="宋体" w:cs="Times New Roman"/>
                <w:sz w:val="21"/>
                <w:szCs w:val="21"/>
              </w:rPr>
              <w:t>特点和</w:t>
            </w:r>
            <w:r>
              <w:rPr>
                <w:rFonts w:hint="default" w:ascii="Times New Roman" w:hAnsi="Times New Roman" w:eastAsia="宋体" w:cs="Times New Roman"/>
                <w:sz w:val="21"/>
                <w:szCs w:val="21"/>
                <w:lang w:eastAsia="zh-CN"/>
              </w:rPr>
              <w:t>体系变更后</w:t>
            </w:r>
            <w:r>
              <w:rPr>
                <w:rFonts w:hint="default" w:ascii="Times New Roman" w:hAnsi="Times New Roman" w:eastAsia="宋体" w:cs="Times New Roman"/>
                <w:sz w:val="21"/>
                <w:szCs w:val="21"/>
              </w:rPr>
              <w:t>的实际状况。</w:t>
            </w:r>
            <w:r>
              <w:rPr>
                <w:rFonts w:hint="default" w:ascii="Times New Roman" w:hAnsi="Times New Roman" w:eastAsia="宋体" w:cs="Times New Roman"/>
                <w:sz w:val="21"/>
                <w:szCs w:val="21"/>
                <w:lang w:eastAsia="zh-CN"/>
              </w:rPr>
              <w:t>管理方针</w:t>
            </w:r>
            <w:r>
              <w:rPr>
                <w:rFonts w:hint="default" w:ascii="Times New Roman" w:hAnsi="Times New Roman" w:eastAsia="宋体" w:cs="Times New Roman"/>
                <w:sz w:val="21"/>
                <w:szCs w:val="21"/>
              </w:rPr>
              <w:t>通过</w:t>
            </w:r>
            <w:r>
              <w:rPr>
                <w:rFonts w:hint="default" w:ascii="Times New Roman" w:hAnsi="Times New Roman" w:eastAsia="宋体" w:cs="Times New Roman"/>
                <w:sz w:val="21"/>
                <w:szCs w:val="21"/>
                <w:lang w:eastAsia="zh-CN"/>
              </w:rPr>
              <w:t>签订安全协议</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相关方</w:t>
            </w:r>
            <w:r>
              <w:rPr>
                <w:rFonts w:hint="default" w:ascii="Times New Roman" w:hAnsi="Times New Roman" w:eastAsia="宋体" w:cs="Times New Roman"/>
                <w:sz w:val="21"/>
                <w:szCs w:val="21"/>
              </w:rPr>
              <w:t>告知、合同等方式向相关方提供。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w:t>
            </w:r>
            <w:r>
              <w:rPr>
                <w:rFonts w:hint="default" w:ascii="Times New Roman" w:hAnsi="Times New Roman" w:eastAsia="宋体" w:cs="Times New Roman"/>
                <w:sz w:val="21"/>
                <w:szCs w:val="21"/>
                <w:lang w:val="en-US" w:eastAsia="zh-CN"/>
              </w:rPr>
              <w:t>2022年10月28日</w:t>
            </w:r>
            <w:r>
              <w:rPr>
                <w:rFonts w:hint="default" w:ascii="Times New Roman" w:hAnsi="Times New Roman" w:eastAsia="宋体" w:cs="Times New Roman"/>
                <w:sz w:val="21"/>
                <w:szCs w:val="21"/>
              </w:rPr>
              <w:t>的管理评审</w:t>
            </w:r>
            <w:r>
              <w:rPr>
                <w:rFonts w:hint="default" w:ascii="Times New Roman" w:hAnsi="Times New Roman" w:eastAsia="宋体" w:cs="Times New Roman"/>
                <w:sz w:val="21"/>
                <w:szCs w:val="21"/>
                <w:lang w:eastAsia="zh-CN"/>
              </w:rPr>
              <w:t>会议评价</w:t>
            </w:r>
            <w:r>
              <w:rPr>
                <w:rFonts w:hint="default" w:ascii="Times New Roman" w:hAnsi="Times New Roman" w:eastAsia="宋体" w:cs="Times New Roman"/>
                <w:sz w:val="21"/>
                <w:szCs w:val="21"/>
              </w:rPr>
              <w:t>，管理方针适应其宗旨和环境并支持其长远战略方向；为制定管理目标提供框架；包括满足适用要求的承诺和持续改进质量管理体系的承诺。方针基本能够满足标准的要求。</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组织的岗位、职责和权限</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p>
            <w:pPr>
              <w:adjustRightInd w:val="0"/>
              <w:snapToGrid w:val="0"/>
              <w:spacing w:line="300" w:lineRule="exact"/>
              <w:rPr>
                <w:rFonts w:hint="default" w:ascii="Times New Roman" w:hAnsi="Times New Roman" w:eastAsia="宋体" w:cs="Times New Roman"/>
                <w:sz w:val="21"/>
                <w:szCs w:val="21"/>
              </w:rPr>
            </w:pPr>
          </w:p>
        </w:tc>
        <w:tc>
          <w:tcPr>
            <w:tcW w:w="11338"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rPr>
              <w:t>为了有效的实施质量、环境、职业健康安全管理，本公司确定了公司结构：</w:t>
            </w:r>
          </w:p>
          <w:p>
            <w:pPr>
              <w:adjustRightInd w:val="0"/>
              <w:snapToGrid w:val="0"/>
              <w:spacing w:line="30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——公司总经理、体系负责人为公司的管理层。</w:t>
            </w:r>
          </w:p>
          <w:p>
            <w:pPr>
              <w:adjustRightInd w:val="0"/>
              <w:snapToGrid w:val="0"/>
              <w:spacing w:line="300" w:lineRule="exact"/>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——公司设置管理部门如下：</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生产部、销售部</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组织架构无变化。</w:t>
            </w:r>
          </w:p>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eastAsia="zh-CN"/>
              </w:rPr>
              <w:t>《管理手册》</w:t>
            </w:r>
            <w:r>
              <w:rPr>
                <w:rFonts w:hint="default" w:ascii="Times New Roman" w:hAnsi="Times New Roman" w:eastAsia="宋体" w:cs="Times New Roman"/>
                <w:sz w:val="21"/>
                <w:szCs w:val="21"/>
              </w:rPr>
              <w:t>规定了各级各岗位人员职责、权限和相互关系，并在公司内对各级员工进行了必要的传达；</w:t>
            </w:r>
            <w:r>
              <w:rPr>
                <w:rFonts w:hint="default" w:ascii="Times New Roman" w:hAnsi="Times New Roman" w:eastAsia="宋体" w:cs="Times New Roman"/>
                <w:sz w:val="21"/>
                <w:szCs w:val="21"/>
                <w:lang w:eastAsia="zh-CN"/>
              </w:rPr>
              <w:t>制定了《岗位任职要求》，</w:t>
            </w:r>
            <w:r>
              <w:rPr>
                <w:rFonts w:hint="default" w:ascii="Times New Roman" w:hAnsi="Times New Roman" w:eastAsia="宋体" w:cs="Times New Roman"/>
                <w:sz w:val="21"/>
                <w:szCs w:val="21"/>
              </w:rPr>
              <w:t>规定了各岗位职责及权限，对本公司各主要岗位职责权限进行了确定</w:t>
            </w:r>
            <w:r>
              <w:rPr>
                <w:rFonts w:hint="default" w:ascii="Times New Roman" w:hAnsi="Times New Roman" w:eastAsia="宋体" w:cs="Times New Roman"/>
                <w:sz w:val="21"/>
                <w:szCs w:val="21"/>
                <w:lang w:eastAsia="zh-CN"/>
              </w:rPr>
              <w:t>。每年对主要岗位工人的岗位任职情况进行评价。</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eastAsia="zh-CN"/>
              </w:rPr>
              <w:t>具体</w:t>
            </w:r>
            <w:r>
              <w:rPr>
                <w:rFonts w:hint="default" w:ascii="Times New Roman" w:hAnsi="Times New Roman" w:eastAsia="宋体" w:cs="Times New Roman"/>
                <w:sz w:val="21"/>
                <w:szCs w:val="21"/>
              </w:rPr>
              <w:t>岗位职责及权限见</w:t>
            </w:r>
            <w:r>
              <w:rPr>
                <w:rFonts w:hint="default" w:ascii="Times New Roman" w:hAnsi="Times New Roman" w:eastAsia="宋体" w:cs="Times New Roman"/>
                <w:sz w:val="21"/>
                <w:szCs w:val="21"/>
                <w:lang w:eastAsia="zh-CN"/>
              </w:rPr>
              <w:t>各部门审核记录</w:t>
            </w:r>
            <w:r>
              <w:rPr>
                <w:rFonts w:hint="default" w:ascii="Times New Roman" w:hAnsi="Times New Roman" w:eastAsia="宋体" w:cs="Times New Roman"/>
                <w:sz w:val="21"/>
                <w:szCs w:val="21"/>
              </w:rPr>
              <w:t>。</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top"/>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应对风险和机遇的措施</w:t>
            </w:r>
          </w:p>
          <w:p>
            <w:pPr>
              <w:adjustRightInd w:val="0"/>
              <w:snapToGrid w:val="0"/>
              <w:spacing w:line="300" w:lineRule="exact"/>
              <w:ind w:firstLine="210" w:firstLineChars="100"/>
              <w:rPr>
                <w:rFonts w:hint="default" w:ascii="Times New Roman" w:hAnsi="Times New Roman" w:eastAsia="宋体" w:cs="Times New Roman"/>
                <w:sz w:val="21"/>
                <w:szCs w:val="21"/>
              </w:rPr>
            </w:pP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p>
        </w:tc>
        <w:tc>
          <w:tcPr>
            <w:tcW w:w="976" w:type="dxa"/>
            <w:vAlign w:val="top"/>
          </w:tcPr>
          <w:p>
            <w:pPr>
              <w:adjustRightInd w:val="0"/>
              <w:snapToGrid w:val="0"/>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6.1.1</w:t>
            </w:r>
          </w:p>
        </w:tc>
        <w:tc>
          <w:tcPr>
            <w:tcW w:w="11338" w:type="dxa"/>
            <w:vAlign w:val="top"/>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●仍执行公司《风险和机遇应对控制程序》，提供了《公司风险和机遇分析》，针对公司现状，企业对各部门不同过程的风险及公共风险进行了识别并制定了对应的管理措施，规定了执行部门和实施时间。</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体系变更后主要是增加了生产过程中识别出的风险，如技术人员流失，设备故障、工艺落后，生产安全事故，环境污染、产品质量问题，新冠肺炎感染等风险，制定了应对措施如：制定人员招聘计划，定期招聘和培训人员；定期维护设备；严格按照法律法规要求合规生产，制定安全生产管理办法，杜绝生产事故等，</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另抽其他如主管部门监督检查风险，社会关系，基础设施，人员流动，财务风险，法律法规遵守方面等，均对风险进行了评价，制定了对应的控制措施，与执行部门和考核时限。</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郭总介绍，对机遇也进行了识别，如：近期石家庄疫情政策放开，正常开工，保证了交货期。</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良好的采购控制可以帮助节省成本、提高采购效率；有效的控制合同和监管，建立更为牢固的客户忠诚度，提升客户满意度，加强商务合作。提高客户转介绍机会。</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提供了《公司风险措施评审记录》，相关措施由责任部门负责人进行跟踪实施和验证，措施有效、分析准确，措施执行到位、合理。查验均按要求执行。风险和机遇已提交至管理评审。</w:t>
            </w:r>
          </w:p>
          <w:p>
            <w:pPr>
              <w:adjustRightInd w:val="0"/>
              <w:snapToGrid w:val="0"/>
              <w:spacing w:line="300" w:lineRule="exact"/>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基本符合要求。</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381" w:type="dxa"/>
            <w:vAlign w:val="center"/>
          </w:tcPr>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环境因素、危险源</w:t>
            </w:r>
          </w:p>
        </w:tc>
        <w:tc>
          <w:tcPr>
            <w:tcW w:w="976" w:type="dxa"/>
            <w:vAlign w:val="center"/>
          </w:tcPr>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EO</w:t>
            </w:r>
          </w:p>
          <w:p>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6.1.2</w:t>
            </w:r>
          </w:p>
          <w:p>
            <w:pPr>
              <w:bidi w:val="0"/>
              <w:rPr>
                <w:rFonts w:hint="default" w:ascii="Times New Roman" w:hAnsi="Times New Roman" w:eastAsia="宋体" w:cs="Times New Roman"/>
                <w:kern w:val="2"/>
                <w:sz w:val="21"/>
                <w:szCs w:val="21"/>
                <w:lang w:val="en-US" w:eastAsia="zh-CN" w:bidi="ar-SA"/>
              </w:rPr>
            </w:pPr>
          </w:p>
        </w:tc>
        <w:tc>
          <w:tcPr>
            <w:tcW w:w="11338"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●仍执行《</w:t>
            </w:r>
            <w:r>
              <w:rPr>
                <w:rFonts w:hint="default" w:ascii="Times New Roman" w:hAnsi="Times New Roman" w:eastAsia="宋体" w:cs="Times New Roman"/>
                <w:b w:val="0"/>
                <w:bCs w:val="0"/>
                <w:kern w:val="2"/>
                <w:sz w:val="21"/>
                <w:szCs w:val="21"/>
                <w:lang w:val="en-US" w:eastAsia="zh-CN" w:bidi="ar-SA"/>
              </w:rPr>
              <w:fldChar w:fldCharType="begin"/>
            </w:r>
            <w:r>
              <w:rPr>
                <w:rFonts w:hint="default" w:ascii="Times New Roman" w:hAnsi="Times New Roman" w:eastAsia="宋体" w:cs="Times New Roman"/>
                <w:b w:val="0"/>
                <w:bCs w:val="0"/>
                <w:kern w:val="2"/>
                <w:sz w:val="21"/>
                <w:szCs w:val="21"/>
                <w:lang w:val="en-US" w:eastAsia="zh-CN" w:bidi="ar-SA"/>
              </w:rPr>
              <w:instrText xml:space="preserve"> HYPERLINK \l "_Toc152476257" </w:instrText>
            </w:r>
            <w:r>
              <w:rPr>
                <w:rFonts w:hint="default" w:ascii="Times New Roman" w:hAnsi="Times New Roman" w:eastAsia="宋体" w:cs="Times New Roman"/>
                <w:b w:val="0"/>
                <w:bCs w:val="0"/>
                <w:kern w:val="2"/>
                <w:sz w:val="21"/>
                <w:szCs w:val="21"/>
                <w:lang w:val="en-US" w:eastAsia="zh-CN" w:bidi="ar-SA"/>
              </w:rPr>
              <w:fldChar w:fldCharType="separate"/>
            </w:r>
            <w:r>
              <w:rPr>
                <w:rFonts w:hint="default" w:ascii="Times New Roman" w:hAnsi="Times New Roman" w:eastAsia="宋体" w:cs="Times New Roman"/>
                <w:b w:val="0"/>
                <w:bCs w:val="0"/>
                <w:kern w:val="2"/>
                <w:sz w:val="21"/>
                <w:szCs w:val="21"/>
                <w:lang w:val="en-US" w:eastAsia="zh-CN" w:bidi="ar-SA"/>
              </w:rPr>
              <w:t>环境因素识别与评价控制程序</w:t>
            </w:r>
            <w:r>
              <w:rPr>
                <w:rFonts w:hint="default" w:ascii="Times New Roman" w:hAnsi="Times New Roman" w:eastAsia="宋体" w:cs="Times New Roman"/>
                <w:b w:val="0"/>
                <w:bCs w:val="0"/>
                <w:kern w:val="2"/>
                <w:sz w:val="21"/>
                <w:szCs w:val="21"/>
                <w:lang w:val="en-US" w:eastAsia="zh-CN" w:bidi="ar-SA"/>
              </w:rPr>
              <w:fldChar w:fldCharType="end"/>
            </w:r>
            <w:r>
              <w:rPr>
                <w:rFonts w:hint="default" w:ascii="Times New Roman" w:hAnsi="Times New Roman" w:eastAsia="宋体" w:cs="Times New Roman"/>
                <w:b w:val="0"/>
                <w:bCs w:val="0"/>
                <w:kern w:val="2"/>
                <w:sz w:val="21"/>
                <w:szCs w:val="21"/>
                <w:lang w:val="en-US" w:eastAsia="zh-CN" w:bidi="ar-SA"/>
              </w:rPr>
              <w:t>》及</w:t>
            </w:r>
            <w:r>
              <w:rPr>
                <w:rFonts w:hint="default" w:ascii="Times New Roman" w:hAnsi="Times New Roman" w:eastAsia="宋体" w:cs="Times New Roman"/>
                <w:sz w:val="21"/>
                <w:szCs w:val="21"/>
                <w:lang w:val="en-US" w:eastAsia="zh-CN"/>
              </w:rPr>
              <w:t>《危险源识别及风险评价控制程序》</w:t>
            </w:r>
            <w:r>
              <w:rPr>
                <w:rFonts w:hint="default" w:ascii="Times New Roman" w:hAnsi="Times New Roman" w:eastAsia="宋体" w:cs="Times New Roman"/>
                <w:b w:val="0"/>
                <w:bCs w:val="0"/>
                <w:kern w:val="2"/>
                <w:sz w:val="21"/>
                <w:szCs w:val="21"/>
                <w:lang w:val="en-US" w:eastAsia="zh-CN" w:bidi="ar-SA"/>
              </w:rPr>
              <w:t>。</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提供了《环境因素辨识评价一览表》及《危险源辨识和风险评价登记表》，分别对办公区和生产所涉及的环境因素和危险源进行了辨识和登记，重点增加了生产车间所涉及的环境因素和危险源的识别，编制了《重要环境因素清单》及《不可接受风险清单》，并评价出的重要环境因素为固体废弃物排放、火灾的发生。不可接受风险为火灾、机械伤害。</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评价基本准确，详见各部门相关条款审核记录。</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合规性义务、法律法规要求</w:t>
            </w:r>
          </w:p>
        </w:tc>
        <w:tc>
          <w:tcPr>
            <w:tcW w:w="976" w:type="dxa"/>
            <w:vAlign w:val="center"/>
          </w:tcPr>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EO</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6.1.3</w:t>
            </w:r>
          </w:p>
        </w:tc>
        <w:tc>
          <w:tcPr>
            <w:tcW w:w="11338"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●编制并执行《法律法规与其他要求控制程序》，规定法律、法规及其他要求的范围、获取方法、确认及分发、合规性评价的要求和频率。</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办公室负责适用的产品和质量/环境/安全方面的法律法规的识别、获取和更新，并评价其适用性；提供了公司适用的环境/职业健康安全法律法规及其他要求清单：</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中华人民共和国节约能源法、中华人民共和国消防法、石家庄市生活垃圾分类管理条例、机关、团体、企业、事业单位消防安全管理规定、中华人民共和国安全生产法、中华人民共和国传染病防治法、中华人民共和国特种设备安全法、中华人民共和国噪声污染防治法。。。。。。</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法律法规及其他要求在办公室存档一份，并以电子版的形式发到各部门电脑上。</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定期在网上查看法规的更新情况，目前均为最新版本。</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策划措施</w:t>
            </w:r>
          </w:p>
        </w:tc>
        <w:tc>
          <w:tcPr>
            <w:tcW w:w="976" w:type="dxa"/>
            <w:vAlign w:val="center"/>
          </w:tcPr>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EO</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6.1.4</w:t>
            </w:r>
          </w:p>
        </w:tc>
        <w:tc>
          <w:tcPr>
            <w:tcW w:w="11338"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组织管理层策划关于开展管理体系中所采取措施，以便管理环境/安全目标、环境因素、危险源、合规性义务、法律法规组织识别的风险等等。通过合规性评价、目标考核、运行方案、管理评审、内外部沟通等方式以保证管理体系达到预期结果。</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具体见各部门审核记录。</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center"/>
          </w:tcPr>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目标</w:t>
            </w:r>
          </w:p>
        </w:tc>
        <w:tc>
          <w:tcPr>
            <w:tcW w:w="976" w:type="dxa"/>
            <w:vAlign w:val="center"/>
          </w:tcPr>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QEO</w:t>
            </w:r>
          </w:p>
          <w:p>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6.2</w:t>
            </w:r>
          </w:p>
        </w:tc>
        <w:tc>
          <w:tcPr>
            <w:tcW w:w="11338" w:type="dxa"/>
            <w:vAlign w:val="center"/>
          </w:tcPr>
          <w:p>
            <w:pPr>
              <w:pStyle w:val="3"/>
              <w:keepNext w:val="0"/>
              <w:keepLines w:val="0"/>
              <w:pageBreakBefore w:val="0"/>
              <w:widowControl w:val="0"/>
              <w:tabs>
                <w:tab w:val="left" w:pos="3446"/>
              </w:tabs>
              <w:kinsoku/>
              <w:wordWrap/>
              <w:overflowPunct/>
              <w:topLinePunct w:val="0"/>
              <w:autoSpaceDE/>
              <w:autoSpaceDN/>
              <w:bidi w:val="0"/>
              <w:adjustRightInd/>
              <w:snapToGrid/>
              <w:spacing w:after="0" w:line="357" w:lineRule="exact"/>
              <w:ind w:right="105"/>
              <w:jc w:val="left"/>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●查《管理手册》明确了公司的管理目标：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1.质量目标：产品一次交付合格率100%；</w:t>
            </w:r>
          </w:p>
          <w:p>
            <w:pPr>
              <w:keepNext w:val="0"/>
              <w:keepLines w:val="0"/>
              <w:pageBreakBefore w:val="0"/>
              <w:widowControl w:val="0"/>
              <w:kinsoku/>
              <w:wordWrap/>
              <w:overflowPunct/>
              <w:topLinePunct w:val="0"/>
              <w:autoSpaceDE/>
              <w:autoSpaceDN/>
              <w:bidi w:val="0"/>
              <w:adjustRightInd/>
              <w:snapToGrid/>
              <w:spacing w:after="0"/>
              <w:ind w:firstLine="1260" w:firstLineChars="6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顾客满意度≥9</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2.环境目标：固废分类处置率100%</w:t>
            </w:r>
          </w:p>
          <w:p>
            <w:pPr>
              <w:keepNext w:val="0"/>
              <w:keepLines w:val="0"/>
              <w:pageBreakBefore w:val="0"/>
              <w:widowControl w:val="0"/>
              <w:kinsoku/>
              <w:wordWrap/>
              <w:overflowPunct/>
              <w:topLinePunct w:val="0"/>
              <w:autoSpaceDE/>
              <w:autoSpaceDN/>
              <w:bidi w:val="0"/>
              <w:adjustRightInd/>
              <w:snapToGrid/>
              <w:spacing w:after="0"/>
              <w:ind w:firstLine="1260" w:firstLineChars="6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控制火灾发生率0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3.职业健康安全目标：重大安全事故发生率为零</w:t>
            </w:r>
          </w:p>
          <w:p>
            <w:pPr>
              <w:keepNext w:val="0"/>
              <w:keepLines w:val="0"/>
              <w:pageBreakBefore w:val="0"/>
              <w:widowControl w:val="0"/>
              <w:kinsoku/>
              <w:wordWrap/>
              <w:overflowPunct/>
              <w:topLinePunct w:val="0"/>
              <w:autoSpaceDE/>
              <w:autoSpaceDN/>
              <w:bidi w:val="0"/>
              <w:adjustRightInd/>
              <w:snapToGrid/>
              <w:spacing w:after="0"/>
              <w:ind w:firstLine="2100" w:firstLineChars="10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火灾事故零发生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为确保以上目标的实现，制定了《体系目标分解考核办法》，</w:t>
            </w:r>
            <w:r>
              <w:rPr>
                <w:rFonts w:hint="default" w:ascii="Times New Roman" w:hAnsi="Times New Roman" w:eastAsia="宋体" w:cs="Times New Roman"/>
                <w:sz w:val="21"/>
                <w:szCs w:val="21"/>
              </w:rPr>
              <w:t>对目标进行了分解，建立了各部门的分目标</w:t>
            </w:r>
            <w:r>
              <w:rPr>
                <w:rFonts w:hint="default" w:ascii="Times New Roman" w:hAnsi="Times New Roman" w:eastAsia="宋体" w:cs="Times New Roman"/>
                <w:sz w:val="21"/>
                <w:szCs w:val="21"/>
                <w:lang w:eastAsia="zh-CN"/>
              </w:rPr>
              <w:t>及考核办法和考核周期</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提供了《</w:t>
            </w:r>
            <w:r>
              <w:rPr>
                <w:rFonts w:hint="default" w:ascii="Times New Roman" w:hAnsi="Times New Roman" w:eastAsia="宋体" w:cs="Times New Roman"/>
                <w:sz w:val="21"/>
                <w:szCs w:val="21"/>
                <w:lang w:val="en-US" w:eastAsia="zh-CN"/>
              </w:rPr>
              <w:t>质量/环境/安全/目标分解表</w:t>
            </w:r>
            <w:r>
              <w:rPr>
                <w:rFonts w:hint="default" w:ascii="Times New Roman" w:hAnsi="Times New Roman" w:eastAsia="宋体" w:cs="Times New Roman"/>
                <w:sz w:val="21"/>
                <w:szCs w:val="21"/>
                <w:lang w:eastAsia="zh-CN"/>
              </w:rPr>
              <w:t>》及考核记录，定期</w:t>
            </w:r>
            <w:r>
              <w:rPr>
                <w:rFonts w:hint="default" w:ascii="Times New Roman" w:hAnsi="Times New Roman" w:eastAsia="宋体" w:cs="Times New Roman"/>
                <w:sz w:val="21"/>
                <w:szCs w:val="21"/>
              </w:rPr>
              <w:t>对目标进行考核</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针对重要环境因素和不可接受风险，制定了目标指标管理方案并定期考核，提供了《环境</w:t>
            </w:r>
            <w:r>
              <w:rPr>
                <w:rFonts w:hint="default" w:ascii="Times New Roman" w:hAnsi="Times New Roman" w:eastAsia="宋体" w:cs="Times New Roman"/>
                <w:sz w:val="21"/>
                <w:szCs w:val="21"/>
                <w:lang w:val="en-US" w:eastAsia="zh-CN"/>
              </w:rPr>
              <w:t>/职业健康安全目标指标管理方案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截至审核，各部门均完成了设定的目标及管理方案的考核。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详细情况</w:t>
            </w:r>
            <w:r>
              <w:rPr>
                <w:rFonts w:hint="default" w:ascii="Times New Roman" w:hAnsi="Times New Roman" w:eastAsia="宋体" w:cs="Times New Roman"/>
                <w:sz w:val="21"/>
                <w:szCs w:val="21"/>
              </w:rPr>
              <w:t>见各部门</w:t>
            </w:r>
            <w:r>
              <w:rPr>
                <w:rFonts w:hint="default" w:ascii="Times New Roman" w:hAnsi="Times New Roman" w:eastAsia="宋体" w:cs="Times New Roman"/>
                <w:sz w:val="21"/>
                <w:szCs w:val="21"/>
                <w:lang w:eastAsia="zh-CN"/>
              </w:rPr>
              <w:t>审核记录</w:t>
            </w:r>
            <w:r>
              <w:rPr>
                <w:rFonts w:hint="default" w:ascii="Times New Roman" w:hAnsi="Times New Roman" w:eastAsia="宋体" w:cs="Times New Roman"/>
                <w:sz w:val="21"/>
                <w:szCs w:val="21"/>
              </w:rPr>
              <w:t>。</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变更的策划</w:t>
            </w:r>
          </w:p>
        </w:tc>
        <w:tc>
          <w:tcPr>
            <w:tcW w:w="97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Q</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6.3</w:t>
            </w:r>
          </w:p>
          <w:p>
            <w:pPr>
              <w:rPr>
                <w:rFonts w:hint="default" w:ascii="Times New Roman" w:hAnsi="Times New Roman" w:eastAsia="宋体" w:cs="Times New Roman"/>
                <w:kern w:val="2"/>
                <w:sz w:val="21"/>
                <w:szCs w:val="21"/>
                <w:lang w:val="en-US" w:eastAsia="zh-CN" w:bidi="ar-SA"/>
              </w:rPr>
            </w:pPr>
          </w:p>
        </w:tc>
        <w:tc>
          <w:tcPr>
            <w:tcW w:w="11338"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2"/>
                <w:sz w:val="21"/>
                <w:szCs w:val="21"/>
                <w:lang w:val="en-US" w:eastAsia="zh-CN" w:bidi="ar-SA"/>
              </w:rPr>
              <w:t>公司2022年年初，</w:t>
            </w:r>
            <w:r>
              <w:rPr>
                <w:rFonts w:hint="default" w:ascii="Times New Roman" w:hAnsi="Times New Roman" w:eastAsia="宋体" w:cs="Times New Roman"/>
                <w:sz w:val="21"/>
                <w:szCs w:val="21"/>
                <w:lang w:val="en-US" w:eastAsia="zh-CN"/>
              </w:rPr>
              <w:t>因公司扩大经营范围，增加了锚杆、锚具的生产，重新发布了B版</w:t>
            </w:r>
            <w:r>
              <w:rPr>
                <w:rFonts w:hint="default" w:ascii="Times New Roman" w:hAnsi="Times New Roman" w:eastAsia="宋体" w:cs="Times New Roman"/>
                <w:sz w:val="21"/>
                <w:szCs w:val="21"/>
                <w:lang w:eastAsia="zh-CN"/>
              </w:rPr>
              <w:t>《管理体系手册》，新版手册经总经理批准发布，自20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年</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月</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日起实施。</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变更进行了策划，考虑了变更后的风险和机遇，资源、职责权限，具体见相关条款审核记录。</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自上次外审以来，无变更。</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w:t>
            </w:r>
          </w:p>
        </w:tc>
        <w:tc>
          <w:tcPr>
            <w:tcW w:w="11338"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公司确定并提供为建立、实施、保持和持续改进职业健康安全管理体系所需的资源。</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人力资源：目前职工人数15人。人员稳定。</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基础设施：现场巡视，企业有机加工车间1件，位于：正定县正定镇北贾村正灵路与绕城高速交叉口南行100米路东；面积约1000平；</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办公地址位</w:t>
            </w:r>
            <w:r>
              <w:rPr>
                <w:rFonts w:hint="default" w:ascii="Times New Roman" w:hAnsi="Times New Roman" w:eastAsia="宋体" w:cs="Times New Roman"/>
                <w:bCs/>
                <w:spacing w:val="10"/>
                <w:kern w:val="2"/>
                <w:sz w:val="21"/>
                <w:szCs w:val="21"/>
                <w:lang w:val="en-US" w:eastAsia="zh-CN" w:bidi="ar-SA"/>
              </w:rPr>
              <w:t>于正定县金河国际商务A座2101室，面积约150平；</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现场查看办公设施主要是电脑、打印机、开票机、电话等，满足工作需要。办公区楼道内配有灭火器和消防栓，现场查看均在有效期内。</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车间配置了所需的生产设备设施和环保设施并定期维护，提供了设备清单和维护保养记录，主要生产设备：锯床、滚丝机、天车（2.8吨）；</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提供了《劳保用品发放记录》，每月定期为员工发放工作服，口罩，消毒液等。</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水电供应由办公室负责。</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各部门负责保持各自部门的环境卫生和安全控制。各种废弃物的分类处置，办公室和生产部负责监督检查。</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每个员工都有责任创造和谐、舒适的工作环境。</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1"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管理评审</w:t>
            </w:r>
          </w:p>
        </w:tc>
        <w:tc>
          <w:tcPr>
            <w:tcW w:w="976" w:type="dxa"/>
          </w:tcPr>
          <w:p>
            <w:pPr>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QEO</w:t>
            </w:r>
          </w:p>
          <w:p>
            <w:pPr>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9.3</w:t>
            </w:r>
          </w:p>
        </w:tc>
        <w:tc>
          <w:tcPr>
            <w:tcW w:w="11338" w:type="dxa"/>
          </w:tcPr>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●仍执行《管理评审控制程序》。查企业2022年5月由于管理体系变更，策划并增加了管理评审。</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2022年10月进行了年度管理评审。</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查管理评审，提供了管理评审计划、会议签到表、各部门的汇报材料、管理评审报告、改进计划</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于2022年10月28日在公司会议室由总经理郭伟志和管代召开主持了管理评审。提供了管理评审会议签到表、管理评审会议记录、管理者代表做的管理体系运行情况报告及各部门领导所做的本部门体系运行工作汇报。</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管理评审输入材料包括：以往管理评审的结果，内部审核及合规性评价、法律法规遵守情况；顾客反馈，相关方交流，包括抱怨；服务的符合性，过程、环境和职业健康安全绩效；目标指标的实现程度；纠正和预防措施的情况等方面，管理评审输入较全面。</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查《管理评审报告》，评审结论：总的来说，自2022年初体系改版以来，我公司质量、环境、职业健康安全管理体系运行是适宜的、充分的和有效的。</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管理评审提出改进建议：</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1.增加疫情防控措施；</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2.加强文件和记录管理；</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3.控制生产工序检验，降低不合格产生率。</w:t>
            </w:r>
          </w:p>
          <w:p>
            <w:pPr>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针对管理评审提出的改进意见，制定了改进检查记录，由办公室负责人实施培训，对文件进行严格管控改，培训已实施。措施实施中。</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p>
            <w:pPr>
              <w:adjustRightInd w:val="0"/>
              <w:snapToGrid w:val="0"/>
              <w:spacing w:line="300" w:lineRule="exact"/>
              <w:rPr>
                <w:rFonts w:hint="default" w:ascii="Times New Roman" w:hAnsi="Times New Roman" w:eastAsia="宋体" w:cs="Times New Roman"/>
                <w:sz w:val="21"/>
                <w:szCs w:val="21"/>
              </w:rPr>
            </w:pPr>
          </w:p>
        </w:tc>
        <w:tc>
          <w:tcPr>
            <w:tcW w:w="11338" w:type="dxa"/>
            <w:vAlign w:val="center"/>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1）引导创新、修改和改进现有过程或实施新过程的突破项目；</w:t>
            </w:r>
          </w:p>
          <w:p>
            <w:pPr>
              <w:adjustRightInd w:val="0"/>
              <w:snapToGrid w:val="0"/>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2）在现有过程中开展渐进、持续的改进活动；</w:t>
            </w:r>
          </w:p>
          <w:p>
            <w:pPr>
              <w:adjustRightInd w:val="0"/>
              <w:snapToGrid w:val="0"/>
              <w:spacing w:line="3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3）纠正所存在不符合的原因等。</w:t>
            </w:r>
          </w:p>
        </w:tc>
        <w:tc>
          <w:tcPr>
            <w:tcW w:w="1014" w:type="dxa"/>
          </w:tcPr>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预防和纠正措施</w:t>
            </w:r>
          </w:p>
        </w:tc>
        <w:tc>
          <w:tcPr>
            <w:tcW w:w="976" w:type="dxa"/>
          </w:tcPr>
          <w:p>
            <w:pPr>
              <w:adjustRightInd w:val="0"/>
              <w:snapToGrid w:val="0"/>
              <w:spacing w:line="3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QE</w:t>
            </w:r>
            <w:r>
              <w:rPr>
                <w:rFonts w:hint="default" w:ascii="Times New Roman" w:hAnsi="Times New Roman" w:eastAsia="宋体" w:cs="Times New Roman"/>
                <w:sz w:val="21"/>
                <w:szCs w:val="21"/>
                <w:lang w:eastAsia="zh-CN"/>
              </w:rPr>
              <w:t>O</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w:t>
            </w:r>
          </w:p>
        </w:tc>
        <w:tc>
          <w:tcPr>
            <w:tcW w:w="11338" w:type="dxa"/>
            <w:vAlign w:val="center"/>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日常监视和测量过程中发现的不合格、不符合要求相关责任部门及时制定相应的改进、纠正和纠正措施，以实现管理体系的持续改进。</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tcPr>
          <w:p>
            <w:pPr>
              <w:adjustRightInd w:val="0"/>
              <w:snapToGrid w:val="0"/>
              <w:spacing w:line="300" w:lineRule="exact"/>
              <w:rPr>
                <w:rFonts w:hint="default" w:ascii="Times New Roman" w:hAnsi="Times New Roman" w:eastAsia="宋体" w:cs="Times New Roman"/>
                <w:sz w:val="21"/>
                <w:szCs w:val="21"/>
                <w:lang w:eastAsia="zh-CN"/>
              </w:rPr>
            </w:pPr>
          </w:p>
        </w:tc>
        <w:tc>
          <w:tcPr>
            <w:tcW w:w="976" w:type="dxa"/>
          </w:tcPr>
          <w:p>
            <w:pPr>
              <w:adjustRightInd w:val="0"/>
              <w:snapToGrid w:val="0"/>
              <w:spacing w:line="300" w:lineRule="exact"/>
              <w:rPr>
                <w:rFonts w:hint="default" w:ascii="Times New Roman" w:hAnsi="Times New Roman" w:eastAsia="宋体" w:cs="Times New Roman"/>
                <w:sz w:val="21"/>
                <w:szCs w:val="21"/>
              </w:rPr>
            </w:pPr>
          </w:p>
        </w:tc>
        <w:tc>
          <w:tcPr>
            <w:tcW w:w="11338" w:type="dxa"/>
            <w:vAlign w:val="center"/>
          </w:tcPr>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上次审核问题验证/投诉或事故/ 政府主管部门抽查情况 </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被投诉情况/事故：无</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证书使用情况：目前主要</w:t>
            </w:r>
            <w:r>
              <w:rPr>
                <w:rFonts w:hint="eastAsia" w:ascii="Times New Roman" w:hAnsi="Times New Roman" w:eastAsia="宋体" w:cs="Times New Roman"/>
                <w:sz w:val="21"/>
                <w:szCs w:val="21"/>
                <w:lang w:val="en-US" w:eastAsia="zh-CN"/>
              </w:rPr>
              <w:t>用于</w:t>
            </w:r>
            <w:r>
              <w:rPr>
                <w:rFonts w:hint="default" w:ascii="Times New Roman" w:hAnsi="Times New Roman" w:eastAsia="宋体" w:cs="Times New Roman"/>
                <w:sz w:val="21"/>
                <w:szCs w:val="21"/>
                <w:lang w:val="en-US" w:eastAsia="zh-CN"/>
              </w:rPr>
              <w:t>对客户展示</w:t>
            </w:r>
            <w:r>
              <w:rPr>
                <w:rFonts w:hint="eastAsia" w:ascii="Times New Roman" w:hAnsi="Times New Roman" w:eastAsia="宋体" w:cs="Times New Roman"/>
                <w:sz w:val="21"/>
                <w:szCs w:val="21"/>
                <w:lang w:val="en-US" w:eastAsia="zh-CN"/>
              </w:rPr>
              <w:t>、投标</w:t>
            </w:r>
            <w:r>
              <w:rPr>
                <w:rFonts w:hint="default" w:ascii="Times New Roman" w:hAnsi="Times New Roman" w:eastAsia="宋体" w:cs="Times New Roman"/>
                <w:sz w:val="21"/>
                <w:szCs w:val="21"/>
                <w:lang w:val="en-US" w:eastAsia="zh-CN"/>
              </w:rPr>
              <w:t>，未违规使用。</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政府主管部门抽查情况：无</w:t>
            </w:r>
          </w:p>
          <w:p>
            <w:pPr>
              <w:adjustRightInd w:val="0"/>
              <w:snapToGrid w:val="0"/>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上次审核发现的不符合项发生在生产部，GB/T19001-2016 7.1.5条款，相关责任部门对其进行了原因分析，制定并采取了纠正及纠正措施，本次审核未发生类似问题，采取的纠正措施有效。</w:t>
            </w:r>
          </w:p>
        </w:tc>
        <w:tc>
          <w:tcPr>
            <w:tcW w:w="1014" w:type="dxa"/>
          </w:tcPr>
          <w:p>
            <w:pPr>
              <w:adjustRightInd w:val="0"/>
              <w:snapToGrid w:val="0"/>
              <w:spacing w:line="300" w:lineRule="exact"/>
              <w:rPr>
                <w:rFonts w:hint="default" w:ascii="Times New Roman" w:hAnsi="Times New Roman" w:eastAsia="宋体" w:cs="Times New Roman"/>
                <w:sz w:val="21"/>
                <w:szCs w:val="21"/>
                <w:lang w:val="en-US" w:eastAsia="zh-CN"/>
              </w:rPr>
            </w:pPr>
          </w:p>
        </w:tc>
      </w:tr>
    </w:tbl>
    <w:p>
      <w:pPr>
        <w:rPr>
          <w:rFonts w:hint="eastAsia" w:ascii="Times New Roman" w:hAnsi="Times New Roman" w:eastAsia="宋体" w:cs="Times New Roman"/>
          <w:bCs w:val="0"/>
          <w:spacing w:val="0"/>
          <w:kern w:val="2"/>
          <w:sz w:val="24"/>
          <w:szCs w:val="24"/>
          <w:lang w:val="en-US" w:eastAsia="zh-CN" w:bidi="ar-SA"/>
        </w:rPr>
      </w:pPr>
    </w:p>
    <w:p>
      <w:pPr>
        <w:pStyle w:val="11"/>
        <w:rPr>
          <w:rFonts w:hint="eastAsia"/>
          <w:lang w:eastAsia="zh-CN"/>
        </w:rPr>
      </w:pPr>
      <w:r>
        <w:rPr>
          <w:rFonts w:hint="eastAsia"/>
          <w:lang w:eastAsia="zh-CN"/>
        </w:rPr>
        <w:t>注：不符合标注“</w:t>
      </w:r>
      <w:r>
        <w:rPr>
          <w:rFonts w:hint="eastAsia"/>
          <w:lang w:val="en-US" w:eastAsia="zh-CN"/>
        </w:rPr>
        <w:t>N</w:t>
      </w:r>
      <w:r>
        <w:rPr>
          <w:rFonts w:hint="eastAsia"/>
          <w:lang w:eastAsia="zh-CN"/>
        </w:rPr>
        <w:t>”</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过程与活动、</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抽样计划</w:t>
            </w:r>
          </w:p>
        </w:tc>
        <w:tc>
          <w:tcPr>
            <w:tcW w:w="1225" w:type="dxa"/>
            <w:vMerge w:val="restart"/>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涉及</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条款</w:t>
            </w:r>
          </w:p>
        </w:tc>
        <w:tc>
          <w:tcPr>
            <w:tcW w:w="10512"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受审核部门：办公室      主管领导：侯彩旋     陪同人员：</w:t>
            </w:r>
            <w:r>
              <w:rPr>
                <w:rFonts w:hint="eastAsia" w:cs="Times New Roman"/>
                <w:szCs w:val="21"/>
                <w:lang w:val="en-US" w:eastAsia="zh-CN"/>
              </w:rPr>
              <w:t>杨昆</w:t>
            </w:r>
          </w:p>
        </w:tc>
        <w:tc>
          <w:tcPr>
            <w:tcW w:w="1077" w:type="dxa"/>
            <w:vMerge w:val="restart"/>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p>
        </w:tc>
        <w:tc>
          <w:tcPr>
            <w:tcW w:w="1225" w:type="dxa"/>
            <w:vMerge w:val="continue"/>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p>
        </w:tc>
        <w:tc>
          <w:tcPr>
            <w:tcW w:w="10512"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审核员：</w:t>
            </w:r>
            <w:r>
              <w:rPr>
                <w:rFonts w:hint="eastAsia" w:cs="Times New Roman"/>
                <w:szCs w:val="21"/>
                <w:lang w:val="en-US" w:eastAsia="zh-CN"/>
              </w:rPr>
              <w:t>吉洁</w:t>
            </w:r>
            <w:r>
              <w:rPr>
                <w:rFonts w:hint="default" w:ascii="Times New Roman" w:hAnsi="Times New Roman" w:cs="Times New Roman"/>
                <w:szCs w:val="21"/>
                <w:lang w:val="en-US" w:eastAsia="zh-CN"/>
              </w:rPr>
              <w:t xml:space="preserve">            审核时间：2022年05月31日 </w:t>
            </w:r>
          </w:p>
        </w:tc>
        <w:tc>
          <w:tcPr>
            <w:tcW w:w="1077" w:type="dxa"/>
            <w:vMerge w:val="continue"/>
          </w:tcPr>
          <w:p>
            <w:pPr>
              <w:autoSpaceDE w:val="0"/>
              <w:autoSpaceDN w:val="0"/>
              <w:adjustRightInd w:val="0"/>
              <w:snapToGrid w:val="0"/>
              <w:spacing w:line="320" w:lineRule="exact"/>
              <w:rPr>
                <w:rFonts w:hint="default"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p>
        </w:tc>
        <w:tc>
          <w:tcPr>
            <w:tcW w:w="1225" w:type="dxa"/>
            <w:vMerge w:val="continue"/>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p>
        </w:tc>
        <w:tc>
          <w:tcPr>
            <w:tcW w:w="1051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cs="Times New Roman"/>
                <w:szCs w:val="21"/>
                <w:lang w:val="en-US" w:eastAsia="zh-CN"/>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eastAsia" w:cs="Times New Roman"/>
                <w:sz w:val="21"/>
                <w:szCs w:val="21"/>
                <w:lang w:val="en-US" w:eastAsia="zh-CN"/>
              </w:rPr>
              <w:t>9.1/</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r>
              <w:rPr>
                <w:rFonts w:hint="eastAsia" w:cs="Times New Roman"/>
                <w:sz w:val="21"/>
                <w:szCs w:val="21"/>
                <w:lang w:eastAsia="zh-CN"/>
              </w:rPr>
              <w:t>；</w:t>
            </w:r>
            <w:r>
              <w:rPr>
                <w:rFonts w:hint="eastAsia" w:cs="Times New Roman"/>
                <w:sz w:val="21"/>
                <w:szCs w:val="21"/>
                <w:lang w:val="en-US" w:eastAsia="zh-CN"/>
              </w:rPr>
              <w:t>O5.4</w:t>
            </w:r>
          </w:p>
        </w:tc>
        <w:tc>
          <w:tcPr>
            <w:tcW w:w="1077" w:type="dxa"/>
            <w:vMerge w:val="continue"/>
          </w:tcPr>
          <w:p>
            <w:pPr>
              <w:autoSpaceDE w:val="0"/>
              <w:autoSpaceDN w:val="0"/>
              <w:adjustRightInd w:val="0"/>
              <w:snapToGrid w:val="0"/>
              <w:spacing w:line="320" w:lineRule="exact"/>
              <w:rPr>
                <w:rFonts w:hint="default"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岗位职责、权限</w:t>
            </w:r>
          </w:p>
        </w:tc>
        <w:tc>
          <w:tcPr>
            <w:tcW w:w="122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QEO5.3</w:t>
            </w:r>
          </w:p>
        </w:tc>
        <w:tc>
          <w:tcPr>
            <w:tcW w:w="10512"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办公室部门负责人：侯彩旋</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本部门主要负责：</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文件、记录等信息管理，人力资源管、法律法规其他要求及合规性评价、风险管理、危险源辨识与评价、环境因素识别与评价、参与职位管理、组织机构设置,组织编写、审核各部门职能说明书与职位说明书。</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本部门的日常事务管理工作，负责部门内员工的聘用、转正、报酬、待遇、离职等事务，完成本部门员工工作考核、激励及部门资金的预算和控制等工作。</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定期组织相关人员进行体检和劳保用品的发放；</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资源提供、应急准备与响应、监视与测量、体系管理等。</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部门职责清晰、明确。办公室负责人基本清楚本部门的主要职责。。</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目标</w:t>
            </w:r>
          </w:p>
        </w:tc>
        <w:tc>
          <w:tcPr>
            <w:tcW w:w="1225"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QEO6.2</w:t>
            </w:r>
          </w:p>
        </w:tc>
        <w:tc>
          <w:tcPr>
            <w:tcW w:w="10512"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执行《体系目标分解考核办法》，提供了《质量/环境/安全目标分解表》及考核记录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办公室部门目标：                  </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质量       培训按计划执行率100%</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体系文件100%受控。</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风险分析措施执行率100%</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各项管理财务费用投入及时率100%</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环境       办公固废物分类处置率100%</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水、电最大限度节约</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火灾发生为零</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安全        火灾发生为零</w:t>
            </w:r>
          </w:p>
          <w:p>
            <w:pPr>
              <w:autoSpaceDE w:val="0"/>
              <w:autoSpaceDN w:val="0"/>
              <w:adjustRightInd w:val="0"/>
              <w:snapToGrid w:val="0"/>
              <w:spacing w:line="320" w:lineRule="exact"/>
              <w:ind w:firstLine="1050" w:firstLineChars="5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触电事故为零</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查2022年</w:t>
            </w:r>
            <w:r>
              <w:rPr>
                <w:rFonts w:hint="eastAsia" w:cs="Times New Roman"/>
                <w:szCs w:val="21"/>
                <w:lang w:val="en-US" w:eastAsia="zh-CN"/>
              </w:rPr>
              <w:t>3</w:t>
            </w:r>
            <w:r>
              <w:rPr>
                <w:rFonts w:hint="default" w:ascii="Times New Roman" w:hAnsi="Times New Roman" w:cs="Times New Roman"/>
                <w:szCs w:val="21"/>
                <w:lang w:val="en-US" w:eastAsia="zh-CN"/>
              </w:rPr>
              <w:t>季度的考核情况，目标均已完成，考核人：侯彩旋   2022.</w:t>
            </w:r>
            <w:r>
              <w:rPr>
                <w:rFonts w:hint="eastAsia" w:cs="Times New Roman"/>
                <w:szCs w:val="21"/>
                <w:lang w:val="en-US" w:eastAsia="zh-CN"/>
              </w:rPr>
              <w:t>10.8</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抽查管理方案情况，编制了《环境/职业健康目标指标管理方案》：</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——环境目标指标：固废分类回收率100% </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管理方案：固废定点暂存，集中清运，固体废弃物分类放置区，可回收和不可回收的固体废弃物分类堆放，按分类标准加以划分。废弃防疫物资统一存放丢弃；</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进行培训，加强使用和操作管理，减少固废产生。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费用：1000元，起止时间：长期   责任部门：各部门</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——安全目标、指标：火灾事故为0</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管理方案：1.加强日常巡视；2.加强设备设施检查管理；3.现场如有动火必须严格按动火手续办理证件，并采取有效防范措施；4进行消防知识培训，并组织消防演练。费用：4000元 起止时间：长期  责任部门：各部门</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每季度组织一次对目标、指标管理方案进行程度、完成情况的考核，2022年第</w:t>
            </w:r>
            <w:r>
              <w:rPr>
                <w:rFonts w:hint="eastAsia" w:cs="Times New Roman"/>
                <w:szCs w:val="21"/>
                <w:lang w:val="en-US" w:eastAsia="zh-CN"/>
              </w:rPr>
              <w:t>3</w:t>
            </w:r>
            <w:r>
              <w:rPr>
                <w:rFonts w:hint="default" w:ascii="Times New Roman" w:hAnsi="Times New Roman" w:cs="Times New Roman"/>
                <w:szCs w:val="21"/>
                <w:lang w:val="en-US" w:eastAsia="zh-CN"/>
              </w:rPr>
              <w:t>季度的目标、指标管理方案完成情况考核，达到了阶段性的目标要求。制定的指标和管理方案基本可行</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p>
            <w:pPr>
              <w:autoSpaceDE w:val="0"/>
              <w:autoSpaceDN w:val="0"/>
              <w:adjustRightInd w:val="0"/>
              <w:snapToGrid w:val="0"/>
              <w:spacing w:line="320" w:lineRule="exact"/>
              <w:rPr>
                <w:rFonts w:hint="default"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环境因素、危险源识别</w:t>
            </w:r>
          </w:p>
        </w:tc>
        <w:tc>
          <w:tcPr>
            <w:tcW w:w="1225"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EO</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6.1.2</w:t>
            </w:r>
          </w:p>
        </w:tc>
        <w:tc>
          <w:tcPr>
            <w:tcW w:w="10512"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执行《环境因素识别与评价控制程序》《危险源识别及风险评价控制程序》，规定了环境因素识别/危险源辨识识别、评价的方法、频次、范围等要求。</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环境因素识别评价表》，涉及的活动包括：办公用水、用电、办公用品的废弃、清洁卫生、日常办公、外出、相关方等，办公室涉及的环境因素包括：污水、固废、生活垃圾/废弃防疫物资排放，火灾等。识别基本齐全。评价：考虑了影响程度和范围、可改进情况等，评价方法适宜，编制了《重要环境因素清单》，经评价涉及办公区域重要环境因素：固废排放，火灾；</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危险源辨识评价表》：也按照办公等活动的内容分别进行识别，办公室涉及的活动包括：办公用水、用电、办公用品的废弃、清洁卫生、日常办公等，涉及的危险源包括：触电、摔伤、交通事故、火灾等上下班路上和出差引起的车辆伤害，新冠病毒感染，识别基本齐全。提供《不可接受风险清单》，涉及办公室的有：火灾。</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根据识别出的重要环境因素和不可接受风险，制定了控制措施，如管理方案，运行控制，应急预案和演练等。</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评价基本准确。</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法律法规及其他要求，合规性评价</w:t>
            </w:r>
          </w:p>
        </w:tc>
        <w:tc>
          <w:tcPr>
            <w:tcW w:w="122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EO</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6.1.3</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EO</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9.1.2</w:t>
            </w:r>
          </w:p>
        </w:tc>
        <w:tc>
          <w:tcPr>
            <w:tcW w:w="10512"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sym w:font="Wingdings 2" w:char="F098"/>
            </w:r>
            <w:r>
              <w:rPr>
                <w:rFonts w:hint="default" w:ascii="Times New Roman" w:hAnsi="Times New Roman" w:cs="Times New Roman"/>
                <w:szCs w:val="21"/>
                <w:lang w:val="en-US" w:eastAsia="zh-CN"/>
              </w:rPr>
              <w:t>公司建立《法律法规及其他要求控制程序》，规定法律、法规及其他要求的范围、获取方法、确认及分发。</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办公室负责适用的产品和质量/环境/安全方面的法律法规的识别、获取和更新，并评价其适用性；提供了公司适用的环境/职业健康安全法律法规及其他要求清单：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中华人民共和国固体废物污染环境防治法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中华人民共和国水污染防治法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中华人民共和国节约能源法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中华人民共和国消防法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石家庄市生活垃圾分类管理条例</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建设项目环境保护管理条例</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河北省大气污染防治条例</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中华人民共和国职业病防治法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机关、团体、企业、事业单位消防安全管理规定</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中华人民共和国消防法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中华人民共和国安全生产法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安全生产违法行为行政处罚办法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中华人民共和国特种设备安全法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法律法规及其他要求在办公室存档一份，并已电子版的形式发到各部门电脑上。定期在网上查看法规的更新情况。</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●编制并执行《合规性评价控制程序》，提供了评价报告，均合规。</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查《合规性评价计划》，评价明确了合规性评价的目的、范围、输入内容等。编制：侯彩旋，审批：郭伟志，2022.</w:t>
            </w:r>
            <w:r>
              <w:rPr>
                <w:rFonts w:hint="eastAsia" w:cs="Times New Roman"/>
                <w:szCs w:val="21"/>
                <w:lang w:val="en-US" w:eastAsia="zh-CN"/>
              </w:rPr>
              <w:t>9</w:t>
            </w:r>
            <w:r>
              <w:rPr>
                <w:rFonts w:hint="default" w:ascii="Times New Roman" w:hAnsi="Times New Roman" w:cs="Times New Roman"/>
                <w:szCs w:val="21"/>
                <w:lang w:val="en-US" w:eastAsia="zh-CN"/>
              </w:rPr>
              <w:t>.</w:t>
            </w:r>
            <w:r>
              <w:rPr>
                <w:rFonts w:hint="eastAsia" w:cs="Times New Roman"/>
                <w:szCs w:val="21"/>
                <w:lang w:val="en-US" w:eastAsia="zh-CN"/>
              </w:rPr>
              <w:t>1</w:t>
            </w:r>
            <w:r>
              <w:rPr>
                <w:rFonts w:hint="default" w:ascii="Times New Roman" w:hAnsi="Times New Roman" w:cs="Times New Roman"/>
                <w:szCs w:val="21"/>
                <w:lang w:val="en-US" w:eastAsia="zh-CN"/>
              </w:rPr>
              <w:t>5。</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环境因素法律法规合规性评价表》《职业健康安全合规性评价记录表》，从固废排放、节水节电、火灾消防、交通安全、新冠肺炎传染病、机械伤害等环境因素和安全方面使用的法律法规的适用情况及实际执行情况以及符合性进行了评价。</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提供了《合规性评价报告》，从评价结果来看，在环境、安全方面是合规的。评价人：侯彩旋  崔文娇，审批：郭伟志，2022.</w:t>
            </w:r>
            <w:r>
              <w:rPr>
                <w:rFonts w:hint="eastAsia" w:cs="Times New Roman"/>
                <w:szCs w:val="21"/>
                <w:lang w:val="en-US" w:eastAsia="zh-CN"/>
              </w:rPr>
              <w:t>9.20</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top"/>
          </w:tcPr>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运行策划和控制</w:t>
            </w:r>
          </w:p>
        </w:tc>
        <w:tc>
          <w:tcPr>
            <w:tcW w:w="122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EO</w:t>
            </w:r>
          </w:p>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8.1</w:t>
            </w:r>
          </w:p>
        </w:tc>
        <w:tc>
          <w:tcPr>
            <w:tcW w:w="10512"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本部门需执行的文件有：《安全生产教育培训考核管理制度》，《安全检查管理制度》《劳动防护用品配备使用制度》《安全用电管理制度》《应急准备和响应控制程序》节水、节电管理办法》《废弃物管理办法》《安全管理制度》《消防管理制度》等安全生产管理文件。 </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查运行控制情况：</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1.办公过程注意节约用电，做到人走灯灭，电脑长时间不用时关机，下班前要关闭电源；</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2.办公过程产生的固废按要求放到指定地点，查看无混放现象；办公用品按要求由办公室负责发放，作好记录； </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3.工作时间平均每天不超过8小时，为员工缴纳了社保</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4.查看办公室设备、电器状态良好，废弃物无混放现象，无火灾、触电隐患，配置了灭火器，并每月检查一次。</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5.公司为员工提供口罩、洗手液等劳动防护用品及卫生防疫物品，提供发放记录。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6.办公楼内疏散通道有应急灯、疏散指示标志等设施；消防设施由大楼物业进行维护。</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7.环境方面：污水：日常清洁、卫生产生，统一处理，排入城市管网，污水无外排情况。</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气体排放：主要是日常打印和复印产生，量较小，直接排空处理。</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噪声：办公活动无重大噪声。</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固废：一般办公固废主要是纸张等，按照公司垃圾分类箱分别放置，硒鼓、墨盒、灯管等由办公室统一更换，旧物收集，定期交供应商回收处理，公司未发生乱扔现象。</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8.安全方面：火灾：定期检测用电办公设备和线路，发现故障及时修复，正确使用设备，防止火灾发生，制定了消防预案并组织进行了演练。</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触电：定期检测用电办公设备和线路，发现故障及时修复，正确使用设备，防止触电事故发生。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交通事故：对员工进行交通安全的培训，上下班途中遵守交通规则，不违章，防止交通事故的发生。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职业病伤害：公司员工定期体检，了解身体健康状况。</w:t>
            </w:r>
          </w:p>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办公区域的环境、职业健康安全的控制基本满足要求。</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center"/>
          </w:tcPr>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应急准备及响应</w:t>
            </w:r>
          </w:p>
        </w:tc>
        <w:tc>
          <w:tcPr>
            <w:tcW w:w="1225" w:type="dxa"/>
            <w:vAlign w:val="center"/>
          </w:tcPr>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EO8.2</w:t>
            </w:r>
          </w:p>
        </w:tc>
        <w:tc>
          <w:tcPr>
            <w:tcW w:w="10512"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编制了《应急准备与响应控制程序》，确定可能对环境、职业健康安全造成影响的潜在的紧急情况或事故、事件，规定响应措施，以便防止和减少可能随之引发的有害的环境影响和相关的职业健康安全不良后果。</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公司在策划应急响应时，应考虑有关相关方的需求，如应急服务机构、相邻组织或居民等。</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查现场配备了有效的灭火器，急救包等物品。</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公司定期评审其应急准备和响应程序，必要时对其进行修订。特别是在事故、事件、紧急情况发生后进行。</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针对识别出的紧急情况编制了应急预案包括：火灾应急预案、触电伤亡事故应急预案、工伤事故应急预案、突发传染性疾病应急预案；</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w:t>
            </w:r>
            <w:r>
              <w:rPr>
                <w:rFonts w:hint="eastAsia" w:cs="Times New Roman"/>
                <w:szCs w:val="21"/>
                <w:lang w:val="en-US" w:eastAsia="zh-CN"/>
              </w:rPr>
              <w:t>2</w:t>
            </w:r>
            <w:r>
              <w:rPr>
                <w:rFonts w:hint="default" w:ascii="Times New Roman" w:hAnsi="Times New Roman" w:cs="Times New Roman"/>
                <w:szCs w:val="21"/>
                <w:lang w:val="en-US" w:eastAsia="zh-CN"/>
              </w:rPr>
              <w:t>年</w:t>
            </w:r>
            <w:r>
              <w:rPr>
                <w:rFonts w:hint="eastAsia" w:cs="Times New Roman"/>
                <w:szCs w:val="21"/>
                <w:lang w:val="en-US" w:eastAsia="zh-CN"/>
              </w:rPr>
              <w:t>8</w:t>
            </w:r>
            <w:r>
              <w:rPr>
                <w:rFonts w:hint="default" w:ascii="Times New Roman" w:hAnsi="Times New Roman" w:cs="Times New Roman"/>
                <w:szCs w:val="21"/>
                <w:lang w:val="en-US" w:eastAsia="zh-CN"/>
              </w:rPr>
              <w:t>月</w:t>
            </w:r>
            <w:r>
              <w:rPr>
                <w:rFonts w:hint="eastAsia" w:cs="Times New Roman"/>
                <w:szCs w:val="21"/>
                <w:lang w:val="en-US" w:eastAsia="zh-CN"/>
              </w:rPr>
              <w:t>20</w:t>
            </w:r>
            <w:r>
              <w:rPr>
                <w:rFonts w:hint="default" w:ascii="Times New Roman" w:hAnsi="Times New Roman" w:cs="Times New Roman"/>
                <w:szCs w:val="21"/>
                <w:lang w:val="en-US" w:eastAsia="zh-CN"/>
              </w:rPr>
              <w:t>日组织了火灾应急预案演练；</w:t>
            </w:r>
            <w:r>
              <w:rPr>
                <w:rFonts w:hint="default" w:ascii="Times New Roman" w:hAnsi="Times New Roman" w:cs="Times New Roman"/>
                <w:szCs w:val="21"/>
                <w:lang w:val="en-US" w:eastAsia="zh-CN"/>
              </w:rPr>
              <w:tab/>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——2022年</w:t>
            </w:r>
            <w:r>
              <w:rPr>
                <w:rFonts w:hint="eastAsia" w:cs="Times New Roman"/>
                <w:szCs w:val="21"/>
                <w:lang w:val="en-US" w:eastAsia="zh-CN"/>
              </w:rPr>
              <w:t>3</w:t>
            </w:r>
            <w:r>
              <w:rPr>
                <w:rFonts w:hint="default" w:ascii="Times New Roman" w:hAnsi="Times New Roman" w:cs="Times New Roman"/>
                <w:szCs w:val="21"/>
                <w:lang w:val="en-US" w:eastAsia="zh-CN"/>
              </w:rPr>
              <w:t>月16日组织了触电伤害应急预案演练；</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——2022年4月12日在车间组织生产部进行了机械伤害应急预案演练；</w:t>
            </w:r>
          </w:p>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提供的演练记录，有演练的时间、地点、参加单位、演练程序、分工、应急处理过程等内容，演练后有对演练应急情况及预案适宜性的评价，评价结果：公司的应急预案满足要求，不需要修改。</w:t>
            </w:r>
          </w:p>
        </w:tc>
        <w:tc>
          <w:tcPr>
            <w:tcW w:w="1077" w:type="dxa"/>
            <w:vAlign w:val="top"/>
          </w:tcPr>
          <w:p>
            <w:pPr>
              <w:autoSpaceDE w:val="0"/>
              <w:autoSpaceDN w:val="0"/>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center"/>
          </w:tcPr>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绩效的监视和测量</w:t>
            </w:r>
          </w:p>
        </w:tc>
        <w:tc>
          <w:tcPr>
            <w:tcW w:w="1225"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eastAsia" w:cs="Times New Roman"/>
                <w:szCs w:val="21"/>
                <w:lang w:val="en-US" w:eastAsia="zh-CN"/>
              </w:rPr>
              <w:t>Q</w:t>
            </w:r>
            <w:r>
              <w:rPr>
                <w:rFonts w:hint="default" w:ascii="Times New Roman" w:hAnsi="Times New Roman" w:cs="Times New Roman"/>
                <w:szCs w:val="21"/>
                <w:lang w:val="en-US" w:eastAsia="zh-CN"/>
              </w:rPr>
              <w:t>EO</w:t>
            </w:r>
          </w:p>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9.1.1</w:t>
            </w:r>
          </w:p>
        </w:tc>
        <w:tc>
          <w:tcPr>
            <w:tcW w:w="10512" w:type="dxa"/>
            <w:vAlign w:val="center"/>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编制了《监视与测量控制程序》，通过以下几种方式对运行过程绩效进行监视和测量：</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●该公司对管理体系过程进行监视和测量的方法包括：内审、管理评审、目标考核、过程的监视和测量检查等。</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内审、管理评审、目标考核详见9.2/9.3/6.2的审核记录.</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每月进行一次过程的监视和测量的检查，发现问题立即整改。</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查见2022年1-</w:t>
            </w:r>
            <w:r>
              <w:rPr>
                <w:rFonts w:hint="eastAsia" w:cs="Times New Roman"/>
                <w:szCs w:val="21"/>
                <w:lang w:val="en-US" w:eastAsia="zh-CN"/>
              </w:rPr>
              <w:t>10</w:t>
            </w:r>
            <w:r>
              <w:rPr>
                <w:rFonts w:hint="default" w:ascii="Times New Roman" w:hAnsi="Times New Roman" w:cs="Times New Roman"/>
                <w:szCs w:val="21"/>
                <w:lang w:val="en-US" w:eastAsia="zh-CN"/>
              </w:rPr>
              <w:t>月份环境安全运行检查记录，内容包括：部门、检查内容、检查结果、检查人、检查日期。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日常监督检查：管代负责对各部门的行为进行不定期的巡检。巡检内容包括：生产区域和办公销售现场管理情况、防护用品的使用情况、消防设施状况等。对发现的问题提出整改要求，责任部门整改，办公室验证整改效果。</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●环境绩效监测：办公区卫生间废水排入城市管网。</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一般固废（废纸张等），按规定收集，卖给废品收购站。</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车间固废：主要是废弃钢管料头，按规定存放并定期收集变卖，提供了《固定污染源排污登记回执》，登记编号：91130123MA09X6J61U001X，有效期至：2027年5月29日。</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被动监测：自体系建立以来没有发生过环境污染事故</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●职业健康安全监测：</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主动监测：职业健康安全目标指标：已完成</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为员工安全了体检，查郭宝成、郭伟志等人的体检报告，体检单位：陆军军医大学士官学校附属医院健康维护管理中心，体检日期：2022年5月6日。</w:t>
            </w:r>
          </w:p>
          <w:p>
            <w:pPr>
              <w:autoSpaceDE w:val="0"/>
              <w:autoSpaceDN w:val="0"/>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●监测设备：公司暂无环境、职业健康安全监测设备。</w:t>
            </w:r>
          </w:p>
        </w:tc>
        <w:tc>
          <w:tcPr>
            <w:tcW w:w="1077"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eastAsia"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内部审核</w:t>
            </w:r>
          </w:p>
        </w:tc>
        <w:tc>
          <w:tcPr>
            <w:tcW w:w="122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QEO9.2</w:t>
            </w:r>
          </w:p>
        </w:tc>
        <w:tc>
          <w:tcPr>
            <w:tcW w:w="10512"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●仍执行《内部审核控制程序》，对内部审核方案策划规定：内审每年进行一次，按部门/过程审核。管代介绍内审的安排和做法，与程序文件“内部审核程序”相符。为本次范围变更后的质量</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环境、职业健康与安全管理体系运行的符合性及有效性是否符合策划的安排，确定体系是否得到有效的实施。</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●查内审：</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eastAsia" w:ascii="宋体" w:hAnsi="宋体" w:eastAsia="宋体" w:cs="Times New Roman"/>
                <w:lang w:val="en-US" w:eastAsia="zh-CN"/>
              </w:rPr>
              <w:t>2022年10月8-9日</w:t>
            </w:r>
            <w:r>
              <w:rPr>
                <w:rFonts w:hint="default" w:ascii="Times New Roman" w:hAnsi="Times New Roman" w:cs="Times New Roman"/>
                <w:szCs w:val="21"/>
                <w:lang w:val="en-US" w:eastAsia="zh-CN"/>
              </w:rPr>
              <w:t>进行，组长：侯彩旋，内审员:崔文娇，查培训记录，内审员经过培训，并经总经理任命。</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提供了《内部审核实施计划》，计划含盖本次审核的目的、范围、依据，日常安排，涉及了所有部门及相关过程。计划编制合理，无漏条款现象。查审核记录审核内容基本符合规定。</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审核活动共提出1个不符合项，</w:t>
            </w:r>
            <w:r>
              <w:rPr>
                <w:rFonts w:hint="eastAsia" w:cs="Times New Roman"/>
                <w:szCs w:val="21"/>
                <w:lang w:val="en-US" w:eastAsia="zh-CN"/>
              </w:rPr>
              <w:t>为生产部EO8.1</w:t>
            </w:r>
            <w:r>
              <w:rPr>
                <w:rFonts w:hint="default" w:ascii="Times New Roman" w:hAnsi="Times New Roman" w:cs="Times New Roman"/>
                <w:szCs w:val="21"/>
                <w:lang w:val="en-US" w:eastAsia="zh-CN"/>
              </w:rPr>
              <w:t>条款；查不符合项报告，不符合项报告事实描述清楚，原因分析准确，纠正措施已实施，验证培训完成，验证人：崔文娇，2022.</w:t>
            </w:r>
            <w:r>
              <w:rPr>
                <w:rFonts w:hint="eastAsia" w:cs="Times New Roman"/>
                <w:szCs w:val="21"/>
                <w:lang w:val="en-US" w:eastAsia="zh-CN"/>
              </w:rPr>
              <w:t>10.12</w:t>
            </w:r>
            <w:bookmarkStart w:id="1" w:name="_GoBack"/>
            <w:bookmarkEnd w:id="1"/>
            <w:r>
              <w:rPr>
                <w:rFonts w:hint="default" w:ascii="Times New Roman" w:hAnsi="Times New Roman" w:cs="Times New Roman"/>
                <w:szCs w:val="21"/>
                <w:lang w:val="en-US" w:eastAsia="zh-CN"/>
              </w:rPr>
              <w:t>。</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内部审核报告》：对体系文件和对体系的运作的符合性和有效性进行了评价，结论为：在不符合项采取了纠正措施并验证其有效性后，本公司质量、环境和职业健康安全管理体系的有效性、适宜性和符合性将有所提高，质量、环境和职业健康安全管理体系文件得到了有效的实施和保持。</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提供了内审员培训记录，审核员没有审核自己部门工作，具有独立性。</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不符合和纠正措施</w:t>
            </w:r>
          </w:p>
          <w:p>
            <w:pPr>
              <w:autoSpaceDE w:val="0"/>
              <w:autoSpaceDN w:val="0"/>
              <w:adjustRightInd w:val="0"/>
              <w:snapToGrid w:val="0"/>
              <w:spacing w:line="320" w:lineRule="exact"/>
              <w:rPr>
                <w:rFonts w:hint="default" w:ascii="Times New Roman" w:hAnsi="Times New Roman" w:cs="Times New Roman"/>
                <w:szCs w:val="21"/>
                <w:lang w:val="en-US" w:eastAsia="zh-CN"/>
              </w:rPr>
            </w:pPr>
          </w:p>
        </w:tc>
        <w:tc>
          <w:tcPr>
            <w:tcW w:w="1225"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QEO10.2</w:t>
            </w:r>
          </w:p>
        </w:tc>
        <w:tc>
          <w:tcPr>
            <w:tcW w:w="10512" w:type="dxa"/>
            <w:vAlign w:val="top"/>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●公司执行《不合格输出控制程序》《不合格和纠正措施控制程序》，对事故事件报告、调查、处理等以及纠正措施制定、实施、验证作了规定，其内容符合标准及组织实际要求。 </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查纠正措施实施情况：</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对内审中提出不合格项进行了原因分析,并制定、实施了纠正措施，并由内审员对所采取的纠正措施进行了验证，纠正措施有效；</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管理评审中发现的薄弱环节，分析了原因，采取了纠正措施。</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对管理体系日常检查和监督工作，业绩考评，客户满意度调查发现的不符合及时采取纠正，防止事态发展，进行原因分析，采取必要的纠正预防措施，防止事件的发生、再发生。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生产中产生的不合格品由生产部登记并分析原因，制定措施避免再发生。</w:t>
            </w:r>
          </w:p>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077" w:type="dxa"/>
          </w:tcPr>
          <w:p>
            <w:pPr>
              <w:autoSpaceDE w:val="0"/>
              <w:autoSpaceDN w:val="0"/>
              <w:adjustRightInd w:val="0"/>
              <w:snapToGrid w:val="0"/>
              <w:spacing w:line="32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Y</w:t>
            </w:r>
          </w:p>
        </w:tc>
      </w:tr>
    </w:tbl>
    <w:p>
      <w:pPr>
        <w:pStyle w:val="11"/>
        <w:rPr>
          <w:rFonts w:hint="eastAsia"/>
          <w:lang w:eastAsia="zh-CN"/>
        </w:rPr>
      </w:pPr>
    </w:p>
    <w:p>
      <w:pPr>
        <w:pStyle w:val="11"/>
        <w:rPr>
          <w:rFonts w:hint="eastAsia"/>
          <w:lang w:eastAsia="zh-CN"/>
        </w:rPr>
      </w:pPr>
      <w:r>
        <w:rPr>
          <w:rFonts w:hint="eastAsia"/>
          <w:lang w:eastAsia="zh-CN"/>
        </w:rPr>
        <w:t>注：不符合标注“</w:t>
      </w:r>
      <w:r>
        <w:rPr>
          <w:rFonts w:hint="eastAsia"/>
          <w:lang w:val="en-US" w:eastAsia="zh-CN"/>
        </w:rPr>
        <w:t>N</w:t>
      </w:r>
      <w:r>
        <w:rPr>
          <w:rFonts w:hint="eastAsia"/>
          <w:lang w:eastAsia="zh-CN"/>
        </w:rPr>
        <w:t>”</w:t>
      </w:r>
    </w:p>
    <w:p>
      <w:pPr>
        <w:pStyle w:val="2"/>
      </w:pPr>
    </w:p>
    <w:p>
      <w:pPr>
        <w:jc w:val="both"/>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pStyle w:val="11"/>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2"/>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0273CC"/>
    <w:rsid w:val="000A3364"/>
    <w:rsid w:val="003E3700"/>
    <w:rsid w:val="01001B5E"/>
    <w:rsid w:val="01113D6B"/>
    <w:rsid w:val="012D0479"/>
    <w:rsid w:val="01D11448"/>
    <w:rsid w:val="01D9415D"/>
    <w:rsid w:val="02315D47"/>
    <w:rsid w:val="023A582E"/>
    <w:rsid w:val="027F2F56"/>
    <w:rsid w:val="02CE3596"/>
    <w:rsid w:val="03433F84"/>
    <w:rsid w:val="038B0F03"/>
    <w:rsid w:val="039106AD"/>
    <w:rsid w:val="03BD5AE4"/>
    <w:rsid w:val="03E65F01"/>
    <w:rsid w:val="04207EEE"/>
    <w:rsid w:val="05710988"/>
    <w:rsid w:val="05A84572"/>
    <w:rsid w:val="05DD06BF"/>
    <w:rsid w:val="05E337FC"/>
    <w:rsid w:val="05F94DCD"/>
    <w:rsid w:val="0607573C"/>
    <w:rsid w:val="06BE352D"/>
    <w:rsid w:val="0717375D"/>
    <w:rsid w:val="0733430F"/>
    <w:rsid w:val="074D3623"/>
    <w:rsid w:val="07C66F31"/>
    <w:rsid w:val="07DD7744"/>
    <w:rsid w:val="08513A4A"/>
    <w:rsid w:val="08713341"/>
    <w:rsid w:val="08836BD0"/>
    <w:rsid w:val="08AF5C17"/>
    <w:rsid w:val="0919161C"/>
    <w:rsid w:val="09321F8B"/>
    <w:rsid w:val="093525C0"/>
    <w:rsid w:val="096802A0"/>
    <w:rsid w:val="09772BD9"/>
    <w:rsid w:val="09CF6571"/>
    <w:rsid w:val="0A3960E0"/>
    <w:rsid w:val="0A3E7253"/>
    <w:rsid w:val="0A5E78F5"/>
    <w:rsid w:val="0ABA2D7D"/>
    <w:rsid w:val="0B235474"/>
    <w:rsid w:val="0B446AEB"/>
    <w:rsid w:val="0BEC286B"/>
    <w:rsid w:val="0BF00A21"/>
    <w:rsid w:val="0C5965C6"/>
    <w:rsid w:val="0C7156BE"/>
    <w:rsid w:val="0C9B4413"/>
    <w:rsid w:val="0CAA5073"/>
    <w:rsid w:val="0CD00E99"/>
    <w:rsid w:val="0CD10852"/>
    <w:rsid w:val="0D2C5A88"/>
    <w:rsid w:val="0D894C89"/>
    <w:rsid w:val="0DC3019B"/>
    <w:rsid w:val="0E342E47"/>
    <w:rsid w:val="0EB126E9"/>
    <w:rsid w:val="0F336312"/>
    <w:rsid w:val="0F364782"/>
    <w:rsid w:val="0FBA3760"/>
    <w:rsid w:val="0FFD54BA"/>
    <w:rsid w:val="10635C65"/>
    <w:rsid w:val="115D4462"/>
    <w:rsid w:val="117614BA"/>
    <w:rsid w:val="12647A72"/>
    <w:rsid w:val="12E76701"/>
    <w:rsid w:val="132C0590"/>
    <w:rsid w:val="1403360A"/>
    <w:rsid w:val="1424261C"/>
    <w:rsid w:val="1441006B"/>
    <w:rsid w:val="14CF5677"/>
    <w:rsid w:val="14D507B4"/>
    <w:rsid w:val="15433117"/>
    <w:rsid w:val="156166A0"/>
    <w:rsid w:val="15E6585F"/>
    <w:rsid w:val="15EC04AB"/>
    <w:rsid w:val="168801D3"/>
    <w:rsid w:val="16BE59A3"/>
    <w:rsid w:val="16C4566D"/>
    <w:rsid w:val="1715758D"/>
    <w:rsid w:val="1726179A"/>
    <w:rsid w:val="17CE7E68"/>
    <w:rsid w:val="17E630B3"/>
    <w:rsid w:val="1917300C"/>
    <w:rsid w:val="192B12EA"/>
    <w:rsid w:val="19805192"/>
    <w:rsid w:val="19C72DC1"/>
    <w:rsid w:val="19E27EA0"/>
    <w:rsid w:val="19FD1CEF"/>
    <w:rsid w:val="1A0F6516"/>
    <w:rsid w:val="1A165AF6"/>
    <w:rsid w:val="1A183D13"/>
    <w:rsid w:val="1A22449B"/>
    <w:rsid w:val="1AB8095B"/>
    <w:rsid w:val="1AD31C39"/>
    <w:rsid w:val="1BA0121F"/>
    <w:rsid w:val="1C5E5533"/>
    <w:rsid w:val="1CEB14BC"/>
    <w:rsid w:val="1CEC2B3E"/>
    <w:rsid w:val="1D43518E"/>
    <w:rsid w:val="1D484219"/>
    <w:rsid w:val="1D557E55"/>
    <w:rsid w:val="1E65704C"/>
    <w:rsid w:val="1EAF2075"/>
    <w:rsid w:val="1EC43D73"/>
    <w:rsid w:val="1F046865"/>
    <w:rsid w:val="20531852"/>
    <w:rsid w:val="20BD1DAC"/>
    <w:rsid w:val="20E24984"/>
    <w:rsid w:val="20F46465"/>
    <w:rsid w:val="20FB5A46"/>
    <w:rsid w:val="21657C15"/>
    <w:rsid w:val="223C43F3"/>
    <w:rsid w:val="22737F8A"/>
    <w:rsid w:val="22BF6717"/>
    <w:rsid w:val="22C76DD2"/>
    <w:rsid w:val="22D84291"/>
    <w:rsid w:val="22E569AE"/>
    <w:rsid w:val="230C6E13"/>
    <w:rsid w:val="235E5C65"/>
    <w:rsid w:val="236553F8"/>
    <w:rsid w:val="23DF164F"/>
    <w:rsid w:val="244061E6"/>
    <w:rsid w:val="24656C1B"/>
    <w:rsid w:val="24A73F1B"/>
    <w:rsid w:val="24B108F5"/>
    <w:rsid w:val="24C26FA6"/>
    <w:rsid w:val="24F9229C"/>
    <w:rsid w:val="2519649B"/>
    <w:rsid w:val="251C7F7B"/>
    <w:rsid w:val="256F255E"/>
    <w:rsid w:val="25A71CF8"/>
    <w:rsid w:val="25DD571A"/>
    <w:rsid w:val="26663961"/>
    <w:rsid w:val="26792A64"/>
    <w:rsid w:val="268E4D4B"/>
    <w:rsid w:val="26DD57A0"/>
    <w:rsid w:val="27165388"/>
    <w:rsid w:val="27277595"/>
    <w:rsid w:val="2736379E"/>
    <w:rsid w:val="27C923FA"/>
    <w:rsid w:val="27D05536"/>
    <w:rsid w:val="28186EDD"/>
    <w:rsid w:val="28665E9B"/>
    <w:rsid w:val="28B704A4"/>
    <w:rsid w:val="28F65471"/>
    <w:rsid w:val="2907142C"/>
    <w:rsid w:val="293554AA"/>
    <w:rsid w:val="293F6AC5"/>
    <w:rsid w:val="29833800"/>
    <w:rsid w:val="299D5C2A"/>
    <w:rsid w:val="2A1F09F7"/>
    <w:rsid w:val="2A2953D2"/>
    <w:rsid w:val="2A491627"/>
    <w:rsid w:val="2A581813"/>
    <w:rsid w:val="2A693A20"/>
    <w:rsid w:val="2A9156A2"/>
    <w:rsid w:val="2B54022C"/>
    <w:rsid w:val="2CF021D7"/>
    <w:rsid w:val="2D7D2598"/>
    <w:rsid w:val="2D962D7E"/>
    <w:rsid w:val="2DD92C6B"/>
    <w:rsid w:val="2DDB11B5"/>
    <w:rsid w:val="2EF82EA4"/>
    <w:rsid w:val="2FAD0853"/>
    <w:rsid w:val="2FCA7487"/>
    <w:rsid w:val="301F34FF"/>
    <w:rsid w:val="310944F3"/>
    <w:rsid w:val="31336B36"/>
    <w:rsid w:val="31353B3B"/>
    <w:rsid w:val="317433D6"/>
    <w:rsid w:val="32244DFC"/>
    <w:rsid w:val="323D71D6"/>
    <w:rsid w:val="32D103B5"/>
    <w:rsid w:val="33492641"/>
    <w:rsid w:val="3355548A"/>
    <w:rsid w:val="33E16D1D"/>
    <w:rsid w:val="34B9286C"/>
    <w:rsid w:val="358E358F"/>
    <w:rsid w:val="36107446"/>
    <w:rsid w:val="367D0F7F"/>
    <w:rsid w:val="36AB40E2"/>
    <w:rsid w:val="36FB00F6"/>
    <w:rsid w:val="370A20E7"/>
    <w:rsid w:val="37290411"/>
    <w:rsid w:val="37353608"/>
    <w:rsid w:val="37411FAD"/>
    <w:rsid w:val="379C3687"/>
    <w:rsid w:val="37AF6474"/>
    <w:rsid w:val="381579AD"/>
    <w:rsid w:val="387D4261"/>
    <w:rsid w:val="388A177A"/>
    <w:rsid w:val="38910D12"/>
    <w:rsid w:val="38F92413"/>
    <w:rsid w:val="39390772"/>
    <w:rsid w:val="39A6259B"/>
    <w:rsid w:val="39C649EB"/>
    <w:rsid w:val="3A395142"/>
    <w:rsid w:val="3ABD5F67"/>
    <w:rsid w:val="3ACF167E"/>
    <w:rsid w:val="3B1E3282"/>
    <w:rsid w:val="3B334302"/>
    <w:rsid w:val="3CB40EF3"/>
    <w:rsid w:val="3D3B124C"/>
    <w:rsid w:val="3D7B789B"/>
    <w:rsid w:val="3E946E66"/>
    <w:rsid w:val="3EE6343A"/>
    <w:rsid w:val="3F0D6C18"/>
    <w:rsid w:val="3F56236D"/>
    <w:rsid w:val="3F60143E"/>
    <w:rsid w:val="3F6C393F"/>
    <w:rsid w:val="3FC03C8B"/>
    <w:rsid w:val="400B542E"/>
    <w:rsid w:val="400E2C48"/>
    <w:rsid w:val="407056B1"/>
    <w:rsid w:val="408B4299"/>
    <w:rsid w:val="40C357E1"/>
    <w:rsid w:val="41250259"/>
    <w:rsid w:val="418A27A2"/>
    <w:rsid w:val="41C51A2C"/>
    <w:rsid w:val="425E5173"/>
    <w:rsid w:val="445552E9"/>
    <w:rsid w:val="4461660D"/>
    <w:rsid w:val="44BD4C3D"/>
    <w:rsid w:val="44C91833"/>
    <w:rsid w:val="45012D7B"/>
    <w:rsid w:val="453E552E"/>
    <w:rsid w:val="458D0AB3"/>
    <w:rsid w:val="45CC3389"/>
    <w:rsid w:val="46102337"/>
    <w:rsid w:val="46170428"/>
    <w:rsid w:val="46560EA5"/>
    <w:rsid w:val="468C48C7"/>
    <w:rsid w:val="46D36999"/>
    <w:rsid w:val="47061B43"/>
    <w:rsid w:val="472D60AA"/>
    <w:rsid w:val="47BC11DC"/>
    <w:rsid w:val="48486B1C"/>
    <w:rsid w:val="491750B6"/>
    <w:rsid w:val="49BC1967"/>
    <w:rsid w:val="49D75781"/>
    <w:rsid w:val="49F42EAF"/>
    <w:rsid w:val="4A1470AD"/>
    <w:rsid w:val="4A1A3609"/>
    <w:rsid w:val="4A4D25BF"/>
    <w:rsid w:val="4A547DF1"/>
    <w:rsid w:val="4ABD7744"/>
    <w:rsid w:val="4ACC7988"/>
    <w:rsid w:val="4B197B96"/>
    <w:rsid w:val="4B9C55AC"/>
    <w:rsid w:val="4C0F3FD0"/>
    <w:rsid w:val="4CBD3A2C"/>
    <w:rsid w:val="4D0553D3"/>
    <w:rsid w:val="4D183358"/>
    <w:rsid w:val="4DB56DF9"/>
    <w:rsid w:val="4E0F1D97"/>
    <w:rsid w:val="4F7F2836"/>
    <w:rsid w:val="5099030C"/>
    <w:rsid w:val="51087240"/>
    <w:rsid w:val="51497F84"/>
    <w:rsid w:val="515643D1"/>
    <w:rsid w:val="518E3BE9"/>
    <w:rsid w:val="519A6FAF"/>
    <w:rsid w:val="51AF7DB0"/>
    <w:rsid w:val="51E97071"/>
    <w:rsid w:val="52151C14"/>
    <w:rsid w:val="528D20F2"/>
    <w:rsid w:val="52B24B47"/>
    <w:rsid w:val="54436F0C"/>
    <w:rsid w:val="54A159E1"/>
    <w:rsid w:val="54F2189F"/>
    <w:rsid w:val="56175E17"/>
    <w:rsid w:val="56F05104"/>
    <w:rsid w:val="56F97D56"/>
    <w:rsid w:val="571E5A0F"/>
    <w:rsid w:val="572528F9"/>
    <w:rsid w:val="57263754"/>
    <w:rsid w:val="57C2283E"/>
    <w:rsid w:val="58D2260D"/>
    <w:rsid w:val="59084281"/>
    <w:rsid w:val="590B3D71"/>
    <w:rsid w:val="590B5B1F"/>
    <w:rsid w:val="598D4786"/>
    <w:rsid w:val="59A71CEC"/>
    <w:rsid w:val="59D6612D"/>
    <w:rsid w:val="5A074538"/>
    <w:rsid w:val="5A845B89"/>
    <w:rsid w:val="5AA20705"/>
    <w:rsid w:val="5B3254D2"/>
    <w:rsid w:val="5B4D68C3"/>
    <w:rsid w:val="5BB97AB4"/>
    <w:rsid w:val="5BE56AFB"/>
    <w:rsid w:val="5BF07D28"/>
    <w:rsid w:val="5C2313D1"/>
    <w:rsid w:val="5C44135B"/>
    <w:rsid w:val="5D4B5084"/>
    <w:rsid w:val="5D83499F"/>
    <w:rsid w:val="5DB744C7"/>
    <w:rsid w:val="5E365F95"/>
    <w:rsid w:val="5F50072F"/>
    <w:rsid w:val="61730705"/>
    <w:rsid w:val="61E810F3"/>
    <w:rsid w:val="62287742"/>
    <w:rsid w:val="6256605D"/>
    <w:rsid w:val="625B18C5"/>
    <w:rsid w:val="627C5292"/>
    <w:rsid w:val="633769A9"/>
    <w:rsid w:val="63750765"/>
    <w:rsid w:val="637C5F97"/>
    <w:rsid w:val="63B35731"/>
    <w:rsid w:val="64393E88"/>
    <w:rsid w:val="645A5BAC"/>
    <w:rsid w:val="64BA3F18"/>
    <w:rsid w:val="64FE021F"/>
    <w:rsid w:val="651915C4"/>
    <w:rsid w:val="653D3504"/>
    <w:rsid w:val="657A22EF"/>
    <w:rsid w:val="65856C59"/>
    <w:rsid w:val="65896749"/>
    <w:rsid w:val="65B25CA0"/>
    <w:rsid w:val="65BC08CD"/>
    <w:rsid w:val="65D11E9E"/>
    <w:rsid w:val="65EB7404"/>
    <w:rsid w:val="672C5ED6"/>
    <w:rsid w:val="683F57E5"/>
    <w:rsid w:val="686D4100"/>
    <w:rsid w:val="68896A60"/>
    <w:rsid w:val="68B731E7"/>
    <w:rsid w:val="68FD36D6"/>
    <w:rsid w:val="69790883"/>
    <w:rsid w:val="69FD541B"/>
    <w:rsid w:val="6A49294B"/>
    <w:rsid w:val="6BDF70C3"/>
    <w:rsid w:val="6D2F5E28"/>
    <w:rsid w:val="6DAF6F69"/>
    <w:rsid w:val="6E587601"/>
    <w:rsid w:val="6E660453"/>
    <w:rsid w:val="6E7A040C"/>
    <w:rsid w:val="6E7A7577"/>
    <w:rsid w:val="6EB076C5"/>
    <w:rsid w:val="6F173018"/>
    <w:rsid w:val="6F5979D7"/>
    <w:rsid w:val="6FA84376"/>
    <w:rsid w:val="70087110"/>
    <w:rsid w:val="708579F8"/>
    <w:rsid w:val="70AE6124"/>
    <w:rsid w:val="711F7F62"/>
    <w:rsid w:val="71F15DA2"/>
    <w:rsid w:val="72A9667D"/>
    <w:rsid w:val="73154050"/>
    <w:rsid w:val="735071F1"/>
    <w:rsid w:val="735C724B"/>
    <w:rsid w:val="738B18DE"/>
    <w:rsid w:val="74B03CF2"/>
    <w:rsid w:val="756845CD"/>
    <w:rsid w:val="75812F99"/>
    <w:rsid w:val="75A60C51"/>
    <w:rsid w:val="75B23A9A"/>
    <w:rsid w:val="75BC52D2"/>
    <w:rsid w:val="75FB0F9D"/>
    <w:rsid w:val="76393874"/>
    <w:rsid w:val="765606D8"/>
    <w:rsid w:val="7671125F"/>
    <w:rsid w:val="76FB1E6F"/>
    <w:rsid w:val="77192D11"/>
    <w:rsid w:val="77775308"/>
    <w:rsid w:val="78232A2D"/>
    <w:rsid w:val="786725EB"/>
    <w:rsid w:val="78911745"/>
    <w:rsid w:val="78BC253A"/>
    <w:rsid w:val="78CE2999"/>
    <w:rsid w:val="78DB6E64"/>
    <w:rsid w:val="78DF3E8C"/>
    <w:rsid w:val="78EE303B"/>
    <w:rsid w:val="78FB5758"/>
    <w:rsid w:val="79534C4C"/>
    <w:rsid w:val="79637D04"/>
    <w:rsid w:val="7A472BA5"/>
    <w:rsid w:val="7BDD535C"/>
    <w:rsid w:val="7BE14791"/>
    <w:rsid w:val="7C174657"/>
    <w:rsid w:val="7CA103C5"/>
    <w:rsid w:val="7CB63E70"/>
    <w:rsid w:val="7CC16371"/>
    <w:rsid w:val="7E092A30"/>
    <w:rsid w:val="7E3808B5"/>
    <w:rsid w:val="7E3F39F1"/>
    <w:rsid w:val="7ECE4181"/>
    <w:rsid w:val="7EFC3D40"/>
    <w:rsid w:val="7F050659"/>
    <w:rsid w:val="7F1D01D6"/>
    <w:rsid w:val="7F1F3593"/>
    <w:rsid w:val="7F3B68AE"/>
    <w:rsid w:val="7FD74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4"/>
      <w:outlineLvl w:val="1"/>
    </w:pPr>
    <w:rPr>
      <w:rFonts w:ascii="宋体" w:hAnsi="宋体" w:eastAsia="宋体"/>
      <w:b/>
      <w:bCs/>
      <w:sz w:val="28"/>
      <w:szCs w:val="28"/>
    </w:rPr>
  </w:style>
  <w:style w:type="paragraph" w:styleId="4">
    <w:name w:val="heading 4"/>
    <w:basedOn w:val="1"/>
    <w:next w:val="5"/>
    <w:qFormat/>
    <w:uiPriority w:val="0"/>
    <w:pPr>
      <w:keepNext/>
      <w:widowControl/>
      <w:jc w:val="center"/>
      <w:outlineLvl w:val="3"/>
    </w:pPr>
    <w:rPr>
      <w:rFonts w:ascii="Arial Black" w:hAnsi="Arial Black"/>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next w:val="4"/>
    <w:qFormat/>
    <w:uiPriority w:val="0"/>
    <w:pPr>
      <w:adjustRightInd w:val="0"/>
      <w:spacing w:line="360" w:lineRule="atLeast"/>
      <w:ind w:left="480"/>
      <w:textAlignment w:val="baseline"/>
    </w:pPr>
    <w:rPr>
      <w:kern w:val="0"/>
    </w:rPr>
  </w:style>
  <w:style w:type="paragraph" w:styleId="6">
    <w:name w:val="Body Text"/>
    <w:basedOn w:val="1"/>
    <w:qFormat/>
    <w:uiPriority w:val="0"/>
    <w:rPr>
      <w:sz w:val="28"/>
    </w:rPr>
  </w:style>
  <w:style w:type="paragraph" w:styleId="7">
    <w:name w:val="Body Text Indent"/>
    <w:basedOn w:val="1"/>
    <w:next w:val="8"/>
    <w:qFormat/>
    <w:uiPriority w:val="0"/>
    <w:pPr>
      <w:spacing w:after="120" w:afterLines="0"/>
      <w:ind w:left="420" w:leftChars="200"/>
    </w:pPr>
  </w:style>
  <w:style w:type="paragraph" w:styleId="8">
    <w:name w:val="toc 3"/>
    <w:basedOn w:val="1"/>
    <w:next w:val="1"/>
    <w:unhideWhenUsed/>
    <w:qFormat/>
    <w:uiPriority w:val="39"/>
    <w:pPr>
      <w:spacing w:before="0" w:after="100" w:line="276" w:lineRule="auto"/>
      <w:ind w:left="440" w:firstLine="0" w:firstLineChars="0"/>
    </w:pPr>
    <w:rPr>
      <w:sz w:val="22"/>
      <w:szCs w:val="22"/>
    </w:rPr>
  </w:style>
  <w:style w:type="paragraph" w:styleId="9">
    <w:name w:val="Plain Text"/>
    <w:basedOn w:val="1"/>
    <w:qFormat/>
    <w:uiPriority w:val="0"/>
    <w:pPr>
      <w:widowControl/>
      <w:jc w:val="left"/>
    </w:pPr>
    <w:rPr>
      <w:rFonts w:ascii="宋体" w:hAnsi="Courier New"/>
      <w:kern w:val="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14">
    <w:name w:val="Body Text First Indent 2"/>
    <w:basedOn w:val="7"/>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Char"/>
    <w:basedOn w:val="17"/>
    <w:link w:val="12"/>
    <w:qFormat/>
    <w:uiPriority w:val="99"/>
    <w:rPr>
      <w:rFonts w:ascii="Times New Roman" w:hAnsi="Times New Roman" w:eastAsia="宋体" w:cs="Times New Roman"/>
      <w:sz w:val="18"/>
      <w:szCs w:val="18"/>
    </w:rPr>
  </w:style>
  <w:style w:type="character" w:customStyle="1" w:styleId="19">
    <w:name w:val="页脚 Char"/>
    <w:basedOn w:val="17"/>
    <w:link w:val="11"/>
    <w:qFormat/>
    <w:uiPriority w:val="99"/>
    <w:rPr>
      <w:rFonts w:ascii="Times New Roman" w:hAnsi="Times New Roman" w:eastAsia="宋体" w:cs="Times New Roman"/>
      <w:sz w:val="18"/>
      <w:szCs w:val="18"/>
    </w:rPr>
  </w:style>
  <w:style w:type="character" w:customStyle="1" w:styleId="20">
    <w:name w:val="批注框文本 Char"/>
    <w:basedOn w:val="17"/>
    <w:link w:val="10"/>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5377</Words>
  <Characters>5679</Characters>
  <Lines>1</Lines>
  <Paragraphs>1</Paragraphs>
  <TotalTime>1</TotalTime>
  <ScaleCrop>false</ScaleCrop>
  <LinksUpToDate>false</LinksUpToDate>
  <CharactersWithSpaces>5727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2022-11-18T03:31:59Z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