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0"/>
        <w:gridCol w:w="1303"/>
        <w:gridCol w:w="1170"/>
        <w:gridCol w:w="1624"/>
        <w:gridCol w:w="190"/>
        <w:gridCol w:w="1304"/>
        <w:gridCol w:w="16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四川金海纳洲仪器设备有限公司</w:t>
            </w:r>
            <w:bookmarkEnd w:id="2"/>
          </w:p>
        </w:tc>
        <w:tc>
          <w:tcPr>
            <w:tcW w:w="14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60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Q:29.10.07,29.11.05,33.02.02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E:29.10.07,29.11.05,33.02.02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O:29.10.07,29.11.05A,33.02.02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Q:29.10.07,29.11.05,33.02.02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E:29.10.07,29.11.05,33.02.02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O:29.10.07,29.11.05A,33.02.02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6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实验室设施设备系统集成：</w:t>
            </w:r>
          </w:p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合同签订—采购—安装—调试—验收—交付</w:t>
            </w:r>
          </w:p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产品销售：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客户需求——项目洽谈——合同签订——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物料采购——交付——验收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物料采购、设备安装调试过程，依据标准和合同控制。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shd w:val="clear" w:color="auto" w:fill="FFFFFF"/>
              </w:rPr>
              <w:t>化学品的分类和危险性公示 通则、实验室生物安全通用要求、生物安全实验室建筑技术规范、产品合同法、产品质量法、计量法。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6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主要质量要求：销售产品质量，设备系统调试等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158750</wp:posOffset>
                  </wp:positionV>
                  <wp:extent cx="371475" cy="365760"/>
                  <wp:effectExtent l="0" t="0" r="9525" b="2540"/>
                  <wp:wrapNone/>
                  <wp:docPr id="3" name="图片 3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227965</wp:posOffset>
                  </wp:positionV>
                  <wp:extent cx="906780" cy="307975"/>
                  <wp:effectExtent l="0" t="0" r="7620" b="9525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0"/>
        <w:gridCol w:w="1303"/>
        <w:gridCol w:w="1170"/>
        <w:gridCol w:w="162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四川金海纳洲仪器设备有限公司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Q:29.10.07,29.11.05,33.02.02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E:29.10.07,29.11.05,33.02.02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O:29.10.07,29.11.05A,33.02.02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Q:29.10.07,29.11.05,33.02.02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E:29.10.07,29.11.05,33.02.02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O:29.10.07,29.11.05A,33.02.02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3" w:name="_GoBack"/>
            <w:bookmarkEnd w:id="3"/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实验室设施设备系统集成：</w:t>
            </w:r>
          </w:p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合同签订—采购—安装—调试—验收—交付</w:t>
            </w:r>
          </w:p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产品销售：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客户需求——项目洽谈——合同签订——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物料采购——交付——验收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固废排放、火灾等，通过管理方案和应急预案进行控制</w:t>
            </w:r>
            <w:r>
              <w:rPr>
                <w:rFonts w:hint="eastAsia" w:ascii="宋体" w:hAnsi="宋体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shd w:val="clear" w:color="auto" w:fill="FFFFFF"/>
              </w:rPr>
              <w:t>化学品的分类和危险性公示 通则、实验室生物安全通用要求、生物安全实验室建筑技术规范、产品合同法、产品质量法、计量法。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158750</wp:posOffset>
                  </wp:positionV>
                  <wp:extent cx="371475" cy="365760"/>
                  <wp:effectExtent l="0" t="0" r="9525" b="2540"/>
                  <wp:wrapNone/>
                  <wp:docPr id="7" name="图片 7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227965</wp:posOffset>
                  </wp:positionV>
                  <wp:extent cx="906780" cy="307975"/>
                  <wp:effectExtent l="0" t="0" r="7620" b="9525"/>
                  <wp:wrapNone/>
                  <wp:docPr id="8" name="图片 8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0"/>
        <w:gridCol w:w="1303"/>
        <w:gridCol w:w="1170"/>
        <w:gridCol w:w="162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四川金海纳洲仪器设备有限公司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Q:29.10.07,29.11.05,33.02.02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E:29.10.07,29.11.05,33.02.02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O:29.10.07,29.11.05A,33.02.02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Q:29.10.07,29.11.05,33.02.02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E:29.10.07,29.11.05,33.02.02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O:29.10.07,29.11.05A,33.02.02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实验室设施设备系统集成：</w:t>
            </w:r>
          </w:p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合同签订—采购—安装—调试—验收—交付</w:t>
            </w:r>
          </w:p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产品销售：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客户需求——项目洽谈——合同签订——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物料采购——交付——验收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60" w:lineRule="atLeas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火灾、触电等，通过管理方案和应急预案进行控制。</w:t>
            </w:r>
            <w:r>
              <w:rPr>
                <w:rFonts w:hint="eastAsia" w:ascii="宋体" w:hAnsi="宋体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shd w:val="clear" w:color="auto" w:fill="FFFFFF"/>
              </w:rPr>
              <w:t>化学品的分类和危险性公示 通则、实验室生物安全通用要求、生物安全实验室建筑技术规范、产品合同法、产品质量法、计量法。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158750</wp:posOffset>
                  </wp:positionV>
                  <wp:extent cx="371475" cy="365760"/>
                  <wp:effectExtent l="0" t="0" r="9525" b="2540"/>
                  <wp:wrapNone/>
                  <wp:docPr id="11" name="图片 1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227965</wp:posOffset>
                  </wp:positionV>
                  <wp:extent cx="906780" cy="307975"/>
                  <wp:effectExtent l="0" t="0" r="7620" b="9525"/>
                  <wp:wrapNone/>
                  <wp:docPr id="12" name="图片 12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69042B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1</TotalTime>
  <ScaleCrop>false</ScaleCrop>
  <LinksUpToDate>false</LinksUpToDate>
  <CharactersWithSpaces>744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2022-11-17T18:36:45Z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