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1725" cy="8549640"/>
            <wp:effectExtent l="0" t="0" r="3175" b="10160"/>
            <wp:docPr id="1" name="图片 1" descr="扫描全能王 2022-11-13 10.5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3 10.50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89"/>
        <w:gridCol w:w="412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任丘市神华标牌有限公司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任丘市经济技术开发区北侧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任丘市经济技术开发区北侧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李艳杰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13831791298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471054597@qq.com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李艳杰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Q：金属标识标牌（交通标牌、指路牌、路名牌、水域标牌、公交候车亭牌）的生产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E：金属标识标牌（交通标牌、指路牌、路名牌、水域标牌、公交候车亭牌）的生产所涉及场所的相关环境管理活动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O：金属标识标牌（交通标牌、指路牌、路名牌、水域标牌、公交候车亭牌）的生产所涉及场所的相关职业健康安全管理活动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SHBP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-SC-20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2022年11月13日 上午至2022年11月13日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0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5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02" w:type="dxa"/>
            <w:gridSpan w:val="2"/>
            <w:vAlign w:val="center"/>
          </w:tcPr>
          <w:p/>
        </w:tc>
        <w:tc>
          <w:tcPr>
            <w:tcW w:w="115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范玲玲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70"/>
        <w:gridCol w:w="66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2022.11.13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8:30—9:00</w:t>
            </w:r>
          </w:p>
        </w:tc>
        <w:tc>
          <w:tcPr>
            <w:tcW w:w="6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微信视频会议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  <w:r>
              <w:rPr>
                <w:rFonts w:hint="eastAsia"/>
                <w:b/>
                <w:sz w:val="20"/>
                <w:lang w:val="en-US" w:eastAsia="zh-CN"/>
              </w:rPr>
              <w:t>会议地点：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任丘市经济技术开发区北侧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A现场、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9:00—10:00</w:t>
            </w:r>
          </w:p>
        </w:tc>
        <w:tc>
          <w:tcPr>
            <w:tcW w:w="66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10:00—12:00</w:t>
            </w:r>
          </w:p>
        </w:tc>
        <w:tc>
          <w:tcPr>
            <w:tcW w:w="669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pStyle w:val="2"/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9:00—12:00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12:30—16:00</w:t>
            </w:r>
          </w:p>
        </w:tc>
        <w:tc>
          <w:tcPr>
            <w:tcW w:w="669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16:00—16:30</w:t>
            </w:r>
          </w:p>
        </w:tc>
        <w:tc>
          <w:tcPr>
            <w:tcW w:w="66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A现场、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末次会议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微信视频会议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 w:val="20"/>
                <w:lang w:val="en-US" w:eastAsia="zh-CN"/>
              </w:rPr>
              <w:t>会议地点：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任丘市经济技术开发区北侧</w:t>
            </w:r>
            <w:bookmarkStart w:id="32" w:name="_GoBack"/>
            <w:bookmarkEnd w:id="32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A现场、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9181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注：12:00-12:30午餐休息时间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417279C"/>
    <w:rsid w:val="110F26F8"/>
    <w:rsid w:val="12AB56A1"/>
    <w:rsid w:val="14082A36"/>
    <w:rsid w:val="1BFE71AD"/>
    <w:rsid w:val="1DE24D46"/>
    <w:rsid w:val="35577297"/>
    <w:rsid w:val="39700473"/>
    <w:rsid w:val="3998127E"/>
    <w:rsid w:val="3F5E7474"/>
    <w:rsid w:val="450B7991"/>
    <w:rsid w:val="4FF4026D"/>
    <w:rsid w:val="50607896"/>
    <w:rsid w:val="5882706E"/>
    <w:rsid w:val="5A4317A3"/>
    <w:rsid w:val="65705687"/>
    <w:rsid w:val="6864524C"/>
    <w:rsid w:val="73636725"/>
    <w:rsid w:val="7C8E3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2523</Words>
  <Characters>3175</Characters>
  <Lines>26</Lines>
  <Paragraphs>7</Paragraphs>
  <TotalTime>0</TotalTime>
  <ScaleCrop>false</ScaleCrop>
  <LinksUpToDate>false</LinksUpToDate>
  <CharactersWithSpaces>3237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2022-11-13T02:55:00Z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