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湖州桑基鱼塘食品有限公司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1" w:name="专业代码"/>
            <w:r>
              <w:t>CI-4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CI-4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97790</wp:posOffset>
                  </wp:positionV>
                  <wp:extent cx="539115" cy="293370"/>
                  <wp:effectExtent l="0" t="0" r="3810" b="1905"/>
                  <wp:wrapTight wrapText="bothSides">
                    <wp:wrapPolygon>
                      <wp:start x="0" y="0"/>
                      <wp:lineTo x="0" y="21039"/>
                      <wp:lineTo x="21371" y="21039"/>
                      <wp:lineTo x="21371" y="0"/>
                      <wp:lineTo x="0" y="0"/>
                    </wp:wrapPolygon>
                  </wp:wrapTight>
                  <wp:docPr id="5" name="图片 2" descr="e84961cf91f6ea61fcd6aea7df02f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e84961cf91f6ea61fcd6aea7df02fb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-121920</wp:posOffset>
                  </wp:positionV>
                  <wp:extent cx="722630" cy="412115"/>
                  <wp:effectExtent l="0" t="0" r="1270" b="6985"/>
                  <wp:wrapTight wrapText="bothSides">
                    <wp:wrapPolygon>
                      <wp:start x="0" y="0"/>
                      <wp:lineTo x="0" y="20968"/>
                      <wp:lineTo x="21353" y="20968"/>
                      <wp:lineTo x="21353" y="0"/>
                      <wp:lineTo x="0" y="0"/>
                    </wp:wrapPolygon>
                  </wp:wrapTight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29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鱼片系列：</w:t>
            </w:r>
          </w:p>
          <w:p>
            <w:pPr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水产验收→宰杀放血→去麟→开背→去内脏→切片→浸泡/腌制→滚揉调理→内包装→金属探测→速冻→包装入库→储存→发货运输</w:t>
            </w:r>
          </w:p>
          <w:p>
            <w:pPr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  <w:sz w:val="21"/>
                <w:szCs w:val="21"/>
                <w:u w:val="single"/>
                <w:lang w:val="en-US" w:eastAsia="zh-CN"/>
              </w:rPr>
              <w:t>备注：开背鱼系列不涉及滚揉调理过程。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原料鱼验收：——主要的食品安全危害为重金属或兽药残留超标，——控制措施，合格供方采购、每年索取第三方检测报告；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内包装材料验收——主要的食品安全危害为易溶出的化学危害、重金属超标，——控制措施：合格供方采购、每年索取第三方检测报告；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滚揉工序——主要的食品安全危害为食品添加剂超限量使用，——控制措施，严格按照配方执行，双人复合食品添加剂添加量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金属探测——主要是金属异物，——控制措施，每次使用前进行校验/测试、使用过程中进行校验/测试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速冻——主要是微生物繁殖风险，——控制措施，控制温度时间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中华人民共和国食品安全法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》、《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中华人民共和国食品安全条例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》、《SB/T 10379-2012 速冻调制食品》、《GB 19295-2021 食品安全国家标准 速冻面米与调制食品》、《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食品召回管理办法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》、《GB 2762-2022 食品安全国家标准 食品中污染物限量》、《GB 31650-2019 食品安全国家标准 食品中兽药最大残留限量》、《GB/T 27302-2008 食品安全管理体系 速冻方便食品生产企业要求》、《GB 14881-2013 食品安全国家标准 食品生产通用卫生规范》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每半年需要进行1次型式检验，检测项目包括：感官、净含量、过氧化值、重金属、沙门氏菌等。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企业已提供产品的第三方检测报告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水产制品的相关知识、速冻食品的相关知识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-124460</wp:posOffset>
                  </wp:positionV>
                  <wp:extent cx="848995" cy="492125"/>
                  <wp:effectExtent l="0" t="0" r="8255" b="3175"/>
                  <wp:wrapTight wrapText="bothSides">
                    <wp:wrapPolygon>
                      <wp:start x="0" y="0"/>
                      <wp:lineTo x="0" y="21321"/>
                      <wp:lineTo x="21325" y="21321"/>
                      <wp:lineTo x="21325" y="0"/>
                      <wp:lineTo x="0" y="0"/>
                    </wp:wrapPolygon>
                  </wp:wrapTight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1141095" cy="661035"/>
                  <wp:effectExtent l="0" t="0" r="30480" b="24765"/>
                  <wp:wrapTight wrapText="bothSides">
                    <wp:wrapPolygon>
                      <wp:start x="0" y="0"/>
                      <wp:lineTo x="0" y="21164"/>
                      <wp:lineTo x="21456" y="21164"/>
                      <wp:lineTo x="21456" y="0"/>
                      <wp:lineTo x="0" y="0"/>
                    </wp:wrapPolygon>
                  </wp:wrapTight>
                  <wp:docPr id="3" name="图片 3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2B327FBD"/>
    <w:rsid w:val="44490628"/>
    <w:rsid w:val="7AAC0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cp:lastPrinted>2022-11-15T00:44:30Z</cp:lastPrinted>
  <dcterms:modified xsi:type="dcterms:W3CDTF">2022-11-15T00:44:32Z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