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horzAnchor="page" w:tblpX="1087" w:tblpY="47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both"/>
              <w:rPr>
                <w:szCs w:val="21"/>
              </w:rPr>
            </w:pPr>
            <w:r>
              <w:rPr>
                <w:rFonts w:hint="eastAsia"/>
                <w:szCs w:val="21"/>
              </w:rPr>
              <w:t>过程与活动、</w:t>
            </w:r>
          </w:p>
          <w:p>
            <w:pPr>
              <w:jc w:val="both"/>
              <w:rPr>
                <w:szCs w:val="21"/>
              </w:rPr>
            </w:pPr>
            <w:r>
              <w:rPr>
                <w:rFonts w:hint="eastAsia"/>
                <w:szCs w:val="21"/>
              </w:rPr>
              <w:t>抽样计划</w:t>
            </w:r>
          </w:p>
        </w:tc>
        <w:tc>
          <w:tcPr>
            <w:tcW w:w="960" w:type="dxa"/>
            <w:vMerge w:val="restart"/>
            <w:vAlign w:val="center"/>
          </w:tcPr>
          <w:p>
            <w:pPr>
              <w:jc w:val="both"/>
              <w:rPr>
                <w:szCs w:val="21"/>
              </w:rPr>
            </w:pPr>
            <w:r>
              <w:rPr>
                <w:rFonts w:hint="eastAsia"/>
                <w:szCs w:val="21"/>
              </w:rPr>
              <w:t>涉及</w:t>
            </w:r>
          </w:p>
          <w:p>
            <w:pPr>
              <w:jc w:val="both"/>
              <w:rPr>
                <w:szCs w:val="21"/>
              </w:rPr>
            </w:pPr>
            <w:r>
              <w:rPr>
                <w:rFonts w:hint="eastAsia"/>
                <w:szCs w:val="21"/>
              </w:rPr>
              <w:t>条款</w:t>
            </w:r>
          </w:p>
        </w:tc>
        <w:tc>
          <w:tcPr>
            <w:tcW w:w="10004" w:type="dxa"/>
            <w:vAlign w:val="center"/>
          </w:tcPr>
          <w:p>
            <w:pPr>
              <w:jc w:val="both"/>
              <w:rPr>
                <w:szCs w:val="21"/>
              </w:rPr>
            </w:pPr>
            <w:r>
              <w:rPr>
                <w:rFonts w:hint="eastAsia"/>
                <w:szCs w:val="21"/>
              </w:rPr>
              <w:t xml:space="preserve">受审核部门：管理层  </w:t>
            </w:r>
            <w:r>
              <w:rPr>
                <w:rFonts w:hint="eastAsia"/>
                <w:szCs w:val="21"/>
                <w:lang w:val="en-US" w:eastAsia="zh-CN"/>
              </w:rPr>
              <w:t xml:space="preserve">    </w:t>
            </w:r>
            <w:r>
              <w:rPr>
                <w:rFonts w:hint="eastAsia"/>
                <w:szCs w:val="21"/>
              </w:rPr>
              <w:t xml:space="preserve"> 主管领导：杨国明    </w:t>
            </w:r>
            <w:r>
              <w:rPr>
                <w:rFonts w:hint="eastAsia"/>
                <w:szCs w:val="21"/>
                <w:lang w:val="en-US" w:eastAsia="zh-CN"/>
              </w:rPr>
              <w:t xml:space="preserve">    </w:t>
            </w:r>
            <w:r>
              <w:rPr>
                <w:rFonts w:hint="eastAsia"/>
                <w:szCs w:val="21"/>
              </w:rPr>
              <w:t xml:space="preserve">  陪同人员：</w:t>
            </w:r>
            <w:r>
              <w:rPr>
                <w:rFonts w:hint="eastAsia" w:ascii="仿宋_GB2312" w:eastAsia="仿宋_GB2312"/>
              </w:rPr>
              <w:t>张雷</w:t>
            </w:r>
          </w:p>
        </w:tc>
        <w:tc>
          <w:tcPr>
            <w:tcW w:w="1585" w:type="dxa"/>
            <w:vMerge w:val="restart"/>
            <w:vAlign w:val="top"/>
          </w:tcPr>
          <w:p>
            <w:pPr>
              <w:jc w:val="both"/>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top"/>
          </w:tcPr>
          <w:p>
            <w:pPr>
              <w:jc w:val="both"/>
              <w:rPr>
                <w:szCs w:val="21"/>
              </w:rPr>
            </w:pPr>
          </w:p>
        </w:tc>
        <w:tc>
          <w:tcPr>
            <w:tcW w:w="960" w:type="dxa"/>
            <w:vMerge w:val="continue"/>
            <w:vAlign w:val="top"/>
          </w:tcPr>
          <w:p>
            <w:pPr>
              <w:jc w:val="both"/>
              <w:rPr>
                <w:szCs w:val="21"/>
              </w:rPr>
            </w:pPr>
          </w:p>
        </w:tc>
        <w:tc>
          <w:tcPr>
            <w:tcW w:w="10004" w:type="dxa"/>
            <w:vAlign w:val="center"/>
          </w:tcPr>
          <w:p>
            <w:pPr>
              <w:spacing w:before="120"/>
              <w:jc w:val="both"/>
              <w:rPr>
                <w:szCs w:val="21"/>
              </w:rPr>
            </w:pPr>
            <w:r>
              <w:rPr>
                <w:rFonts w:hint="eastAsia"/>
                <w:szCs w:val="21"/>
              </w:rPr>
              <w:t>审核员：</w:t>
            </w:r>
            <w:r>
              <w:rPr>
                <w:rFonts w:hint="eastAsia"/>
                <w:szCs w:val="21"/>
                <w:lang w:val="en-US" w:eastAsia="zh-CN"/>
              </w:rPr>
              <w:t>赵丽萍</w:t>
            </w:r>
            <w:r>
              <w:rPr>
                <w:szCs w:val="21"/>
              </w:rPr>
              <w:t xml:space="preserve">          </w:t>
            </w:r>
            <w:r>
              <w:rPr>
                <w:rFonts w:hint="eastAsia"/>
                <w:szCs w:val="21"/>
              </w:rPr>
              <w:t>审核时间：202</w:t>
            </w:r>
            <w:r>
              <w:rPr>
                <w:rFonts w:hint="eastAsia"/>
                <w:szCs w:val="21"/>
                <w:lang w:val="en-US" w:eastAsia="zh-CN"/>
              </w:rPr>
              <w:t>2</w:t>
            </w:r>
            <w:r>
              <w:rPr>
                <w:rFonts w:hint="eastAsia"/>
                <w:szCs w:val="21"/>
              </w:rPr>
              <w:t>年</w:t>
            </w:r>
            <w:r>
              <w:rPr>
                <w:szCs w:val="21"/>
              </w:rPr>
              <w:t>1</w:t>
            </w:r>
            <w:r>
              <w:rPr>
                <w:rFonts w:hint="eastAsia"/>
                <w:szCs w:val="21"/>
                <w:lang w:val="en-US" w:eastAsia="zh-CN"/>
              </w:rPr>
              <w:t>1</w:t>
            </w:r>
            <w:r>
              <w:rPr>
                <w:rFonts w:hint="eastAsia"/>
                <w:szCs w:val="21"/>
              </w:rPr>
              <w:t>月</w:t>
            </w:r>
            <w:r>
              <w:rPr>
                <w:rFonts w:hint="eastAsia"/>
                <w:szCs w:val="21"/>
                <w:lang w:val="en-US" w:eastAsia="zh-CN"/>
              </w:rPr>
              <w:t>14</w:t>
            </w:r>
            <w:r>
              <w:rPr>
                <w:rFonts w:hint="eastAsia"/>
                <w:szCs w:val="21"/>
              </w:rPr>
              <w:t xml:space="preserve">日 </w:t>
            </w:r>
            <w:r>
              <w:rPr>
                <w:szCs w:val="21"/>
              </w:rPr>
              <w:t xml:space="preserve">  </w:t>
            </w:r>
          </w:p>
        </w:tc>
        <w:tc>
          <w:tcPr>
            <w:tcW w:w="1585" w:type="dxa"/>
            <w:vMerge w:val="continue"/>
            <w:vAlign w:val="top"/>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top"/>
          </w:tcPr>
          <w:p>
            <w:pPr>
              <w:jc w:val="both"/>
              <w:rPr>
                <w:szCs w:val="21"/>
              </w:rPr>
            </w:pPr>
          </w:p>
        </w:tc>
        <w:tc>
          <w:tcPr>
            <w:tcW w:w="960" w:type="dxa"/>
            <w:vMerge w:val="continue"/>
            <w:vAlign w:val="top"/>
          </w:tcPr>
          <w:p>
            <w:pPr>
              <w:jc w:val="both"/>
              <w:rPr>
                <w:szCs w:val="21"/>
              </w:rPr>
            </w:pPr>
          </w:p>
        </w:tc>
        <w:tc>
          <w:tcPr>
            <w:tcW w:w="10004" w:type="dxa"/>
            <w:vAlign w:val="top"/>
          </w:tcPr>
          <w:p>
            <w:pPr>
              <w:jc w:val="both"/>
              <w:rPr>
                <w:szCs w:val="21"/>
              </w:rPr>
            </w:pPr>
            <w:r>
              <w:rPr>
                <w:rFonts w:hint="eastAsia"/>
                <w:szCs w:val="21"/>
              </w:rPr>
              <w:t>审核条款：</w:t>
            </w:r>
          </w:p>
          <w:p>
            <w:pPr>
              <w:tabs>
                <w:tab w:val="left" w:pos="709"/>
              </w:tabs>
              <w:ind w:right="57"/>
              <w:jc w:val="both"/>
              <w:rPr>
                <w:rFonts w:hint="default" w:eastAsia="宋体"/>
                <w:sz w:val="21"/>
                <w:szCs w:val="21"/>
                <w:lang w:val="en-US" w:eastAsia="zh-CN"/>
              </w:rPr>
            </w:pPr>
            <w:r>
              <w:rPr>
                <w:rFonts w:hint="eastAsia"/>
                <w:sz w:val="21"/>
                <w:szCs w:val="21"/>
              </w:rPr>
              <w:t>Q：4.1</w:t>
            </w:r>
            <w:r>
              <w:rPr>
                <w:rFonts w:hint="eastAsia"/>
                <w:sz w:val="21"/>
                <w:szCs w:val="21"/>
                <w:lang w:val="en-US" w:eastAsia="zh-CN"/>
              </w:rPr>
              <w:t>/</w:t>
            </w:r>
            <w:r>
              <w:rPr>
                <w:rFonts w:hint="eastAsia"/>
                <w:sz w:val="21"/>
                <w:szCs w:val="21"/>
              </w:rPr>
              <w:t>4.2</w:t>
            </w:r>
            <w:r>
              <w:rPr>
                <w:rFonts w:hint="eastAsia"/>
                <w:sz w:val="21"/>
                <w:szCs w:val="21"/>
                <w:lang w:val="en-US" w:eastAsia="zh-CN"/>
              </w:rPr>
              <w:t>/</w:t>
            </w:r>
            <w:r>
              <w:rPr>
                <w:rFonts w:hint="eastAsia"/>
                <w:sz w:val="21"/>
                <w:szCs w:val="21"/>
              </w:rPr>
              <w:t>4.3</w:t>
            </w:r>
            <w:r>
              <w:rPr>
                <w:rFonts w:hint="eastAsia"/>
                <w:sz w:val="21"/>
                <w:szCs w:val="21"/>
                <w:lang w:val="en-US" w:eastAsia="zh-CN"/>
              </w:rPr>
              <w:t>/</w:t>
            </w:r>
            <w:r>
              <w:rPr>
                <w:rFonts w:hint="eastAsia"/>
                <w:sz w:val="21"/>
                <w:szCs w:val="21"/>
              </w:rPr>
              <w:t>4.4</w:t>
            </w:r>
            <w:r>
              <w:rPr>
                <w:rFonts w:hint="eastAsia"/>
                <w:sz w:val="21"/>
                <w:szCs w:val="21"/>
                <w:lang w:val="en-US" w:eastAsia="zh-CN"/>
              </w:rPr>
              <w:t>/</w:t>
            </w:r>
            <w:r>
              <w:rPr>
                <w:sz w:val="21"/>
                <w:szCs w:val="21"/>
              </w:rPr>
              <w:t>5.1</w:t>
            </w:r>
            <w:r>
              <w:rPr>
                <w:rFonts w:hint="eastAsia"/>
                <w:sz w:val="21"/>
                <w:szCs w:val="21"/>
                <w:lang w:val="en-US" w:eastAsia="zh-CN"/>
              </w:rPr>
              <w:t>/</w:t>
            </w:r>
            <w:r>
              <w:rPr>
                <w:sz w:val="21"/>
                <w:szCs w:val="21"/>
              </w:rPr>
              <w:t>5.2</w:t>
            </w:r>
            <w:r>
              <w:rPr>
                <w:rFonts w:hint="eastAsia"/>
                <w:sz w:val="21"/>
                <w:szCs w:val="21"/>
                <w:lang w:val="en-US" w:eastAsia="zh-CN"/>
              </w:rPr>
              <w:t>/</w:t>
            </w:r>
            <w:r>
              <w:rPr>
                <w:sz w:val="21"/>
                <w:szCs w:val="21"/>
              </w:rPr>
              <w:t>5.3</w:t>
            </w:r>
            <w:r>
              <w:rPr>
                <w:rFonts w:hint="eastAsia"/>
                <w:sz w:val="21"/>
                <w:szCs w:val="21"/>
                <w:lang w:val="en-US" w:eastAsia="zh-CN"/>
              </w:rPr>
              <w:t>/6.1/6.2/</w:t>
            </w:r>
            <w:r>
              <w:rPr>
                <w:sz w:val="21"/>
                <w:szCs w:val="21"/>
              </w:rPr>
              <w:t>6.3</w:t>
            </w:r>
            <w:r>
              <w:rPr>
                <w:rFonts w:hint="eastAsia"/>
                <w:sz w:val="21"/>
                <w:szCs w:val="21"/>
                <w:lang w:val="en-US" w:eastAsia="zh-CN"/>
              </w:rPr>
              <w:t>/</w:t>
            </w:r>
            <w:r>
              <w:rPr>
                <w:sz w:val="21"/>
                <w:szCs w:val="21"/>
              </w:rPr>
              <w:t>7</w:t>
            </w:r>
            <w:r>
              <w:rPr>
                <w:rFonts w:hint="eastAsia"/>
                <w:sz w:val="21"/>
                <w:szCs w:val="21"/>
                <w:lang w:val="en-US" w:eastAsia="zh-CN"/>
              </w:rPr>
              <w:t>.1.1/9.1.1/9.1.3/9.3/10.1/10.3</w:t>
            </w:r>
          </w:p>
          <w:p>
            <w:pPr>
              <w:tabs>
                <w:tab w:val="left" w:pos="709"/>
              </w:tabs>
              <w:ind w:right="57"/>
              <w:jc w:val="both"/>
              <w:rPr>
                <w:rFonts w:hint="default" w:eastAsia="宋体"/>
                <w:sz w:val="21"/>
                <w:szCs w:val="21"/>
                <w:lang w:val="en-US" w:eastAsia="zh-CN"/>
              </w:rPr>
            </w:pPr>
            <w:r>
              <w:rPr>
                <w:rFonts w:hint="eastAsia"/>
                <w:sz w:val="21"/>
                <w:szCs w:val="21"/>
              </w:rPr>
              <w:t>E：4.1</w:t>
            </w:r>
            <w:r>
              <w:rPr>
                <w:rFonts w:hint="eastAsia"/>
                <w:sz w:val="21"/>
                <w:szCs w:val="21"/>
                <w:lang w:val="en-US" w:eastAsia="zh-CN"/>
              </w:rPr>
              <w:t>/</w:t>
            </w:r>
            <w:r>
              <w:rPr>
                <w:rFonts w:hint="eastAsia"/>
                <w:sz w:val="21"/>
                <w:szCs w:val="21"/>
              </w:rPr>
              <w:t xml:space="preserve">4.2 </w:t>
            </w:r>
            <w:r>
              <w:rPr>
                <w:rFonts w:hint="eastAsia"/>
                <w:sz w:val="21"/>
                <w:szCs w:val="21"/>
                <w:lang w:val="en-US" w:eastAsia="zh-CN"/>
              </w:rPr>
              <w:t>/</w:t>
            </w:r>
            <w:r>
              <w:rPr>
                <w:rFonts w:hint="eastAsia"/>
                <w:sz w:val="21"/>
                <w:szCs w:val="21"/>
              </w:rPr>
              <w:t xml:space="preserve">4.3 </w:t>
            </w:r>
            <w:r>
              <w:rPr>
                <w:rFonts w:hint="eastAsia"/>
                <w:sz w:val="21"/>
                <w:szCs w:val="21"/>
                <w:lang w:val="en-US" w:eastAsia="zh-CN"/>
              </w:rPr>
              <w:t>/</w:t>
            </w:r>
            <w:r>
              <w:rPr>
                <w:rFonts w:hint="eastAsia"/>
                <w:sz w:val="21"/>
                <w:szCs w:val="21"/>
              </w:rPr>
              <w:t xml:space="preserve">4.4 </w:t>
            </w:r>
            <w:r>
              <w:rPr>
                <w:rFonts w:hint="eastAsia"/>
                <w:sz w:val="21"/>
                <w:szCs w:val="21"/>
                <w:lang w:val="en-US" w:eastAsia="zh-CN"/>
              </w:rPr>
              <w:t>/</w:t>
            </w:r>
            <w:r>
              <w:rPr>
                <w:rFonts w:hint="eastAsia"/>
                <w:sz w:val="21"/>
                <w:szCs w:val="21"/>
              </w:rPr>
              <w:t xml:space="preserve">5.1 </w:t>
            </w:r>
            <w:r>
              <w:rPr>
                <w:rFonts w:hint="eastAsia"/>
                <w:sz w:val="21"/>
                <w:szCs w:val="21"/>
                <w:lang w:val="en-US" w:eastAsia="zh-CN"/>
              </w:rPr>
              <w:t>/</w:t>
            </w:r>
            <w:r>
              <w:rPr>
                <w:rFonts w:hint="eastAsia"/>
                <w:sz w:val="21"/>
                <w:szCs w:val="21"/>
              </w:rPr>
              <w:t>5.2</w:t>
            </w:r>
            <w:r>
              <w:rPr>
                <w:rFonts w:hint="eastAsia"/>
                <w:sz w:val="21"/>
                <w:szCs w:val="21"/>
                <w:lang w:val="en-US" w:eastAsia="zh-CN"/>
              </w:rPr>
              <w:t>/</w:t>
            </w:r>
            <w:r>
              <w:rPr>
                <w:rFonts w:hint="eastAsia"/>
                <w:sz w:val="21"/>
                <w:szCs w:val="21"/>
              </w:rPr>
              <w:t xml:space="preserve"> 5.3 </w:t>
            </w:r>
            <w:r>
              <w:rPr>
                <w:rFonts w:hint="eastAsia"/>
                <w:sz w:val="21"/>
                <w:szCs w:val="21"/>
                <w:lang w:val="en-US" w:eastAsia="zh-CN"/>
              </w:rPr>
              <w:t>/</w:t>
            </w:r>
            <w:r>
              <w:rPr>
                <w:rFonts w:hint="eastAsia"/>
                <w:sz w:val="21"/>
                <w:szCs w:val="21"/>
              </w:rPr>
              <w:t xml:space="preserve">6.1 </w:t>
            </w:r>
            <w:r>
              <w:rPr>
                <w:rFonts w:hint="eastAsia"/>
                <w:sz w:val="21"/>
                <w:szCs w:val="21"/>
                <w:lang w:val="en-US" w:eastAsia="zh-CN"/>
              </w:rPr>
              <w:t>.1</w:t>
            </w:r>
            <w:r>
              <w:rPr>
                <w:rFonts w:hint="eastAsia"/>
                <w:color w:val="000000" w:themeColor="text1"/>
                <w:sz w:val="21"/>
                <w:szCs w:val="21"/>
                <w:lang w:val="en-US" w:eastAsia="zh-CN"/>
              </w:rPr>
              <w:t>/6.1.4/</w:t>
            </w:r>
            <w:r>
              <w:rPr>
                <w:rFonts w:hint="eastAsia"/>
                <w:sz w:val="21"/>
                <w:szCs w:val="21"/>
              </w:rPr>
              <w:t xml:space="preserve">6.2 </w:t>
            </w:r>
            <w:r>
              <w:rPr>
                <w:rFonts w:hint="eastAsia"/>
                <w:sz w:val="21"/>
                <w:szCs w:val="21"/>
                <w:lang w:val="en-US" w:eastAsia="zh-CN"/>
              </w:rPr>
              <w:t>/</w:t>
            </w:r>
            <w:r>
              <w:rPr>
                <w:rFonts w:hint="eastAsia"/>
                <w:sz w:val="21"/>
                <w:szCs w:val="21"/>
              </w:rPr>
              <w:t>7.1</w:t>
            </w:r>
            <w:r>
              <w:rPr>
                <w:rFonts w:hint="eastAsia"/>
                <w:sz w:val="21"/>
                <w:szCs w:val="21"/>
                <w:lang w:val="en-US" w:eastAsia="zh-CN"/>
              </w:rPr>
              <w:t>/</w:t>
            </w:r>
            <w:r>
              <w:rPr>
                <w:rFonts w:hint="eastAsia"/>
                <w:sz w:val="21"/>
                <w:szCs w:val="21"/>
              </w:rPr>
              <w:t xml:space="preserve"> </w:t>
            </w:r>
            <w:r>
              <w:rPr>
                <w:rFonts w:hint="eastAsia"/>
                <w:sz w:val="21"/>
                <w:szCs w:val="21"/>
                <w:lang w:val="en-US" w:eastAsia="zh-CN"/>
              </w:rPr>
              <w:t>9.1.1/</w:t>
            </w:r>
            <w:r>
              <w:rPr>
                <w:rFonts w:hint="eastAsia"/>
                <w:sz w:val="21"/>
                <w:szCs w:val="21"/>
              </w:rPr>
              <w:t xml:space="preserve">9.3 </w:t>
            </w:r>
            <w:r>
              <w:rPr>
                <w:rFonts w:hint="eastAsia"/>
                <w:sz w:val="21"/>
                <w:szCs w:val="21"/>
                <w:lang w:val="en-US" w:eastAsia="zh-CN"/>
              </w:rPr>
              <w:t>/</w:t>
            </w:r>
            <w:r>
              <w:rPr>
                <w:rFonts w:hint="eastAsia"/>
                <w:sz w:val="21"/>
                <w:szCs w:val="21"/>
              </w:rPr>
              <w:t>10.1</w:t>
            </w:r>
            <w:r>
              <w:rPr>
                <w:rFonts w:hint="eastAsia"/>
                <w:sz w:val="21"/>
                <w:szCs w:val="21"/>
                <w:lang w:val="en-US" w:eastAsia="zh-CN"/>
              </w:rPr>
              <w:t>/10.3</w:t>
            </w:r>
          </w:p>
          <w:p>
            <w:pPr>
              <w:keepNext w:val="0"/>
              <w:keepLines w:val="0"/>
              <w:pageBreakBefore w:val="0"/>
              <w:widowControl w:val="0"/>
              <w:tabs>
                <w:tab w:val="left" w:pos="709"/>
              </w:tabs>
              <w:kinsoku/>
              <w:wordWrap/>
              <w:overflowPunct/>
              <w:topLinePunct w:val="0"/>
              <w:autoSpaceDE/>
              <w:autoSpaceDN/>
              <w:bidi w:val="0"/>
              <w:adjustRightInd/>
              <w:snapToGrid/>
              <w:ind w:right="0"/>
              <w:jc w:val="both"/>
              <w:textAlignment w:val="auto"/>
              <w:rPr>
                <w:szCs w:val="21"/>
              </w:rPr>
            </w:pPr>
            <w:r>
              <w:rPr>
                <w:rFonts w:hint="eastAsia"/>
                <w:sz w:val="21"/>
                <w:szCs w:val="21"/>
              </w:rPr>
              <w:t>O：4.1</w:t>
            </w:r>
            <w:r>
              <w:rPr>
                <w:rFonts w:hint="eastAsia"/>
                <w:sz w:val="21"/>
                <w:szCs w:val="21"/>
                <w:lang w:val="en-US" w:eastAsia="zh-CN"/>
              </w:rPr>
              <w:t>/</w:t>
            </w:r>
            <w:r>
              <w:rPr>
                <w:rFonts w:hint="eastAsia"/>
                <w:sz w:val="21"/>
                <w:szCs w:val="21"/>
              </w:rPr>
              <w:t xml:space="preserve">4.2 </w:t>
            </w:r>
            <w:r>
              <w:rPr>
                <w:rFonts w:hint="eastAsia"/>
                <w:sz w:val="21"/>
                <w:szCs w:val="21"/>
                <w:lang w:val="en-US" w:eastAsia="zh-CN"/>
              </w:rPr>
              <w:t>/</w:t>
            </w:r>
            <w:r>
              <w:rPr>
                <w:rFonts w:hint="eastAsia"/>
                <w:sz w:val="21"/>
                <w:szCs w:val="21"/>
              </w:rPr>
              <w:t xml:space="preserve">4.3 </w:t>
            </w:r>
            <w:r>
              <w:rPr>
                <w:rFonts w:hint="eastAsia"/>
                <w:sz w:val="21"/>
                <w:szCs w:val="21"/>
                <w:lang w:val="en-US" w:eastAsia="zh-CN"/>
              </w:rPr>
              <w:t>/</w:t>
            </w:r>
            <w:r>
              <w:rPr>
                <w:rFonts w:hint="eastAsia"/>
                <w:sz w:val="21"/>
                <w:szCs w:val="21"/>
              </w:rPr>
              <w:t xml:space="preserve">4.4 </w:t>
            </w:r>
            <w:r>
              <w:rPr>
                <w:rFonts w:hint="eastAsia"/>
                <w:sz w:val="21"/>
                <w:szCs w:val="21"/>
                <w:lang w:val="en-US" w:eastAsia="zh-CN"/>
              </w:rPr>
              <w:t>/</w:t>
            </w:r>
            <w:r>
              <w:rPr>
                <w:rFonts w:hint="eastAsia"/>
                <w:sz w:val="21"/>
                <w:szCs w:val="21"/>
              </w:rPr>
              <w:t xml:space="preserve">5.1 </w:t>
            </w:r>
            <w:r>
              <w:rPr>
                <w:rFonts w:hint="eastAsia"/>
                <w:sz w:val="21"/>
                <w:szCs w:val="21"/>
                <w:lang w:val="en-US" w:eastAsia="zh-CN"/>
              </w:rPr>
              <w:t>/</w:t>
            </w:r>
            <w:r>
              <w:rPr>
                <w:rFonts w:hint="eastAsia"/>
                <w:sz w:val="21"/>
                <w:szCs w:val="21"/>
              </w:rPr>
              <w:t>5.2</w:t>
            </w:r>
            <w:r>
              <w:rPr>
                <w:rFonts w:hint="eastAsia"/>
                <w:sz w:val="21"/>
                <w:szCs w:val="21"/>
                <w:lang w:val="en-US" w:eastAsia="zh-CN"/>
              </w:rPr>
              <w:t>/</w:t>
            </w:r>
            <w:r>
              <w:rPr>
                <w:rFonts w:hint="eastAsia"/>
                <w:sz w:val="21"/>
                <w:szCs w:val="21"/>
              </w:rPr>
              <w:t>5.3</w:t>
            </w:r>
            <w:r>
              <w:rPr>
                <w:rFonts w:hint="eastAsia"/>
                <w:sz w:val="21"/>
                <w:szCs w:val="21"/>
                <w:lang w:val="en-US" w:eastAsia="zh-CN"/>
              </w:rPr>
              <w:t>/5.4/</w:t>
            </w:r>
            <w:r>
              <w:rPr>
                <w:rFonts w:hint="eastAsia"/>
                <w:sz w:val="21"/>
                <w:szCs w:val="21"/>
              </w:rPr>
              <w:t xml:space="preserve">6.1 </w:t>
            </w:r>
            <w:r>
              <w:rPr>
                <w:rFonts w:hint="eastAsia"/>
                <w:sz w:val="21"/>
                <w:szCs w:val="21"/>
                <w:lang w:val="en-US" w:eastAsia="zh-CN"/>
              </w:rPr>
              <w:t>.1</w:t>
            </w:r>
            <w:r>
              <w:rPr>
                <w:rFonts w:hint="eastAsia"/>
                <w:color w:val="000000" w:themeColor="text1"/>
                <w:sz w:val="21"/>
                <w:szCs w:val="21"/>
                <w:lang w:val="en-US" w:eastAsia="zh-CN"/>
              </w:rPr>
              <w:t>/6.1.4</w:t>
            </w:r>
            <w:r>
              <w:rPr>
                <w:rFonts w:hint="eastAsia"/>
                <w:sz w:val="21"/>
                <w:szCs w:val="21"/>
                <w:lang w:val="en-US" w:eastAsia="zh-CN"/>
              </w:rPr>
              <w:t>/</w:t>
            </w:r>
            <w:r>
              <w:rPr>
                <w:rFonts w:hint="eastAsia"/>
                <w:sz w:val="21"/>
                <w:szCs w:val="21"/>
              </w:rPr>
              <w:t xml:space="preserve">6.2 </w:t>
            </w:r>
            <w:r>
              <w:rPr>
                <w:rFonts w:hint="eastAsia"/>
                <w:sz w:val="21"/>
                <w:szCs w:val="21"/>
                <w:lang w:val="en-US" w:eastAsia="zh-CN"/>
              </w:rPr>
              <w:t>/</w:t>
            </w:r>
            <w:r>
              <w:rPr>
                <w:rFonts w:hint="eastAsia"/>
                <w:sz w:val="21"/>
                <w:szCs w:val="21"/>
              </w:rPr>
              <w:t>7.1</w:t>
            </w:r>
            <w:r>
              <w:rPr>
                <w:rFonts w:hint="eastAsia"/>
                <w:sz w:val="21"/>
                <w:szCs w:val="21"/>
                <w:lang w:val="en-US" w:eastAsia="zh-CN"/>
              </w:rPr>
              <w:t>/7.4/9.1.1/</w:t>
            </w:r>
            <w:r>
              <w:rPr>
                <w:rFonts w:hint="eastAsia"/>
                <w:sz w:val="21"/>
                <w:szCs w:val="21"/>
              </w:rPr>
              <w:t xml:space="preserve">9.3 </w:t>
            </w:r>
            <w:r>
              <w:rPr>
                <w:rFonts w:hint="eastAsia"/>
                <w:sz w:val="21"/>
                <w:szCs w:val="21"/>
                <w:lang w:val="en-US" w:eastAsia="zh-CN"/>
              </w:rPr>
              <w:t>/</w:t>
            </w:r>
            <w:r>
              <w:rPr>
                <w:rFonts w:hint="eastAsia"/>
                <w:sz w:val="21"/>
                <w:szCs w:val="21"/>
              </w:rPr>
              <w:t>10.1</w:t>
            </w:r>
            <w:r>
              <w:rPr>
                <w:rFonts w:hint="eastAsia"/>
                <w:sz w:val="21"/>
                <w:szCs w:val="21"/>
                <w:lang w:val="en-US" w:eastAsia="zh-CN"/>
              </w:rPr>
              <w:t>/10.3</w:t>
            </w:r>
          </w:p>
        </w:tc>
        <w:tc>
          <w:tcPr>
            <w:tcW w:w="1585" w:type="dxa"/>
            <w:vMerge w:val="continue"/>
            <w:vAlign w:val="top"/>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jc w:val="both"/>
              <w:rPr>
                <w:szCs w:val="21"/>
              </w:rPr>
            </w:pPr>
            <w:r>
              <w:rPr>
                <w:rFonts w:hint="eastAsia"/>
                <w:szCs w:val="21"/>
              </w:rPr>
              <w:t>组织及其环境</w:t>
            </w:r>
          </w:p>
        </w:tc>
        <w:tc>
          <w:tcPr>
            <w:tcW w:w="960" w:type="dxa"/>
            <w:vAlign w:val="top"/>
          </w:tcPr>
          <w:p>
            <w:pPr>
              <w:jc w:val="both"/>
              <w:rPr>
                <w:szCs w:val="21"/>
              </w:rPr>
            </w:pPr>
            <w:r>
              <w:rPr>
                <w:szCs w:val="21"/>
              </w:rPr>
              <w:t>QEO</w:t>
            </w:r>
          </w:p>
          <w:p>
            <w:pPr>
              <w:jc w:val="both"/>
              <w:rPr>
                <w:szCs w:val="21"/>
              </w:rPr>
            </w:pPr>
            <w:r>
              <w:rPr>
                <w:szCs w:val="21"/>
              </w:rPr>
              <w:t>4.1</w:t>
            </w:r>
          </w:p>
        </w:tc>
        <w:tc>
          <w:tcPr>
            <w:tcW w:w="10004" w:type="dxa"/>
            <w:vAlign w:val="top"/>
          </w:tcPr>
          <w:p>
            <w:pPr>
              <w:jc w:val="both"/>
              <w:rPr>
                <w:rFonts w:hint="default" w:eastAsia="宋体"/>
                <w:lang w:val="en-US" w:eastAsia="zh-CN"/>
              </w:rPr>
            </w:pPr>
            <w:r>
              <w:rPr>
                <w:rFonts w:hint="eastAsia"/>
                <w:lang w:val="en-US" w:eastAsia="zh-CN"/>
              </w:rPr>
              <w:t>－－</w:t>
            </w:r>
            <w:r>
              <w:rPr>
                <w:rFonts w:hint="eastAsia"/>
              </w:rPr>
              <w:t>总经理：杨国明 管代：董磊</w:t>
            </w:r>
            <w:r>
              <w:rPr>
                <w:rFonts w:hint="eastAsia"/>
                <w:lang w:val="en-US" w:eastAsia="zh-CN"/>
              </w:rPr>
              <w:t xml:space="preserve">     员工代表：</w:t>
            </w:r>
            <w:r>
              <w:rPr>
                <w:rFonts w:hint="eastAsia" w:ascii="宋体" w:hAnsi="宋体" w:cs="宋体"/>
                <w:color w:val="auto"/>
                <w:kern w:val="0"/>
                <w:szCs w:val="21"/>
              </w:rPr>
              <w:t>张建杰</w:t>
            </w:r>
          </w:p>
          <w:p>
            <w:pPr>
              <w:jc w:val="both"/>
            </w:pPr>
            <w:r>
              <w:rPr>
                <w:rFonts w:hint="eastAsia"/>
                <w:lang w:eastAsia="zh-CN"/>
              </w:rPr>
              <w:t>－－</w:t>
            </w:r>
            <w:r>
              <w:rPr>
                <w:rFonts w:hint="eastAsia"/>
              </w:rPr>
              <w:t>企业注册：</w:t>
            </w:r>
            <w:r>
              <w:t>北京市大兴区黄村镇富强路北侧2幢2层2-5号201室</w:t>
            </w:r>
            <w:r>
              <w:rPr>
                <w:rFonts w:hint="eastAsia"/>
              </w:rPr>
              <w:t>；</w:t>
            </w:r>
          </w:p>
          <w:p>
            <w:pPr>
              <w:pStyle w:val="2"/>
            </w:pPr>
            <w:r>
              <w:rPr>
                <w:rFonts w:hint="eastAsia"/>
              </w:rPr>
              <w:t>经营地址：</w:t>
            </w:r>
            <w:r>
              <w:t>北京市大兴区黄村镇富强路北侧2幢2层2-5号201室</w:t>
            </w:r>
            <w:r>
              <w:rPr>
                <w:rFonts w:hint="eastAsia"/>
                <w:lang w:eastAsia="zh-CN"/>
              </w:rPr>
              <w:t>，</w:t>
            </w:r>
            <w:r>
              <w:rPr>
                <w:rFonts w:hint="eastAsia"/>
                <w:szCs w:val="22"/>
                <w:lang w:val="en-US" w:eastAsia="zh-CN"/>
              </w:rPr>
              <w:t>提供了租赁协议。</w:t>
            </w:r>
          </w:p>
          <w:p>
            <w:pPr>
              <w:jc w:val="both"/>
              <w:rPr>
                <w:rFonts w:hint="eastAsia"/>
                <w:szCs w:val="22"/>
              </w:rPr>
            </w:pPr>
            <w:r>
              <w:rPr>
                <w:rFonts w:hint="eastAsia"/>
              </w:rPr>
              <w:t>提供了营业执照</w:t>
            </w:r>
            <w:r>
              <w:rPr>
                <w:rFonts w:hint="eastAsia"/>
                <w:szCs w:val="22"/>
                <w:lang w:eastAsia="zh-CN"/>
              </w:rPr>
              <w:t>、</w:t>
            </w:r>
            <w:r>
              <w:rPr>
                <w:rFonts w:hint="eastAsia"/>
                <w:szCs w:val="22"/>
              </w:rPr>
              <w:t>劳务派遣</w:t>
            </w:r>
            <w:r>
              <w:rPr>
                <w:rFonts w:hint="eastAsia"/>
                <w:szCs w:val="22"/>
                <w:lang w:val="en-US" w:eastAsia="zh-CN"/>
              </w:rPr>
              <w:t>经营许可证、人力资源服务许可证</w:t>
            </w:r>
            <w:r>
              <w:rPr>
                <w:rFonts w:hint="eastAsia"/>
                <w:szCs w:val="22"/>
              </w:rPr>
              <w:t>，资质文件有效。</w:t>
            </w:r>
          </w:p>
          <w:p>
            <w:pPr>
              <w:jc w:val="both"/>
              <w:rPr>
                <w:szCs w:val="22"/>
              </w:rPr>
            </w:pPr>
            <w:r>
              <w:rPr>
                <w:rFonts w:hint="eastAsia"/>
                <w:szCs w:val="22"/>
                <w:lang w:eastAsia="zh-CN"/>
              </w:rPr>
              <w:t>－－</w:t>
            </w:r>
            <w:r>
              <w:rPr>
                <w:rFonts w:hint="eastAsia"/>
                <w:szCs w:val="22"/>
              </w:rPr>
              <w:t>北京资通汇鑫企业管理咨询有限公司北京地区许可范围内劳务派遣、人力资源企业，专注于为客户提供优良的许可范围内劳务派遣、人力资源，经历多年发展，形成了同行业的优秀代表。客户资源有了一定的积累。</w:t>
            </w:r>
          </w:p>
          <w:p>
            <w:pPr>
              <w:jc w:val="both"/>
              <w:rPr>
                <w:szCs w:val="22"/>
              </w:rPr>
            </w:pPr>
            <w:r>
              <w:rPr>
                <w:rFonts w:hint="eastAsia"/>
                <w:szCs w:val="22"/>
                <w:lang w:eastAsia="zh-CN"/>
              </w:rPr>
              <w:t>－－</w:t>
            </w:r>
            <w:r>
              <w:rPr>
                <w:rFonts w:hint="eastAsia"/>
                <w:szCs w:val="22"/>
              </w:rPr>
              <w:t>公司自成立以来，始终坚持以人才为本、诚信立业的经营原则，荟萃业界精英，将质量优秀的产品及先进的信息技术、管理方法及企业经验与业内企业的具体实际相结合，为企业提供全方位的解决方案，帮助企业提高管理水平和服务能力，使企业在激烈的市场竞争中始终保持竞争力，实现企业快速、稳定地发展。</w:t>
            </w:r>
          </w:p>
          <w:p>
            <w:pPr>
              <w:jc w:val="both"/>
              <w:rPr>
                <w:szCs w:val="21"/>
              </w:rPr>
            </w:pPr>
            <w:r>
              <w:rPr>
                <w:rFonts w:hint="eastAsia"/>
                <w:szCs w:val="21"/>
              </w:rPr>
              <w:t>企业依据</w:t>
            </w:r>
            <w:r>
              <w:rPr>
                <w:szCs w:val="21"/>
              </w:rPr>
              <w:t>GB</w:t>
            </w:r>
            <w:r>
              <w:rPr>
                <w:rFonts w:hint="eastAsia"/>
                <w:szCs w:val="21"/>
              </w:rPr>
              <w:t>/</w:t>
            </w:r>
            <w:r>
              <w:rPr>
                <w:szCs w:val="21"/>
              </w:rPr>
              <w:t>T 19001-2016</w:t>
            </w:r>
            <w:r>
              <w:rPr>
                <w:rFonts w:hint="eastAsia"/>
                <w:szCs w:val="21"/>
              </w:rPr>
              <w:t>标准的要求，识别、确定了与质量、环境、职业健康安全战略目标相关，且影响实现管理体系预期结果的内、外部因素，并且实时关注、评审不断变化的内外部信息。</w:t>
            </w:r>
            <w:r>
              <w:rPr>
                <w:rFonts w:hint="eastAsia"/>
              </w:rPr>
              <w:t>明确对内外部因素的进行监视和评审的方式方法是：网站获取、顾客沟通、内部总结等。经评估：组织确定与其宗旨和战略方向相关并影响其实现质量环境。</w:t>
            </w:r>
          </w:p>
          <w:p>
            <w:pPr>
              <w:jc w:val="both"/>
              <w:rPr>
                <w:szCs w:val="21"/>
              </w:rPr>
            </w:pPr>
            <w:r>
              <w:rPr>
                <w:rFonts w:hint="eastAsia"/>
                <w:szCs w:val="21"/>
                <w:lang w:eastAsia="zh-CN"/>
              </w:rPr>
              <w:t>－－</w:t>
            </w:r>
            <w:r>
              <w:rPr>
                <w:rFonts w:hint="eastAsia"/>
                <w:szCs w:val="21"/>
              </w:rPr>
              <w:t>Q：查有组织内外部环境识别表</w:t>
            </w:r>
          </w:p>
          <w:p>
            <w:pPr>
              <w:jc w:val="both"/>
              <w:rPr>
                <w:szCs w:val="21"/>
              </w:rPr>
            </w:pPr>
            <w:r>
              <w:rPr>
                <w:rFonts w:hint="eastAsia"/>
                <w:szCs w:val="21"/>
              </w:rPr>
              <w:t>外部环境：国际环境、.社会环境、</w:t>
            </w:r>
            <w:r>
              <w:rPr>
                <w:rFonts w:hint="eastAsia"/>
              </w:rPr>
              <w:t>政治环境</w:t>
            </w:r>
            <w:r>
              <w:rPr>
                <w:rFonts w:hint="eastAsia"/>
                <w:szCs w:val="21"/>
              </w:rPr>
              <w:t>、</w:t>
            </w:r>
            <w:r>
              <w:rPr>
                <w:rFonts w:hint="eastAsia"/>
              </w:rPr>
              <w:t>经济环境</w:t>
            </w:r>
            <w:r>
              <w:rPr>
                <w:rFonts w:hint="eastAsia"/>
                <w:szCs w:val="21"/>
              </w:rPr>
              <w:t>、</w:t>
            </w:r>
            <w:r>
              <w:rPr>
                <w:rFonts w:hint="eastAsia"/>
              </w:rPr>
              <w:t>空气质量环境</w:t>
            </w:r>
            <w:r>
              <w:rPr>
                <w:rFonts w:hint="eastAsia"/>
                <w:szCs w:val="21"/>
              </w:rPr>
              <w:t>等</w:t>
            </w:r>
          </w:p>
          <w:p>
            <w:pPr>
              <w:jc w:val="both"/>
              <w:rPr>
                <w:szCs w:val="21"/>
              </w:rPr>
            </w:pPr>
            <w:r>
              <w:rPr>
                <w:rFonts w:hint="eastAsia"/>
                <w:szCs w:val="21"/>
              </w:rPr>
              <w:t>内部环境；</w:t>
            </w:r>
            <w:r>
              <w:rPr>
                <w:rFonts w:hint="eastAsia"/>
              </w:rPr>
              <w:t>企业文化</w:t>
            </w:r>
            <w:r>
              <w:rPr>
                <w:rFonts w:hint="eastAsia"/>
                <w:szCs w:val="21"/>
              </w:rPr>
              <w:t>、</w:t>
            </w:r>
            <w:r>
              <w:rPr>
                <w:rFonts w:hint="eastAsia"/>
              </w:rPr>
              <w:t>公司价值观</w:t>
            </w:r>
            <w:r>
              <w:rPr>
                <w:rFonts w:hint="eastAsia"/>
                <w:szCs w:val="21"/>
              </w:rPr>
              <w:t>、</w:t>
            </w:r>
            <w:r>
              <w:rPr>
                <w:rFonts w:hint="eastAsia"/>
              </w:rPr>
              <w:t>知识积累</w:t>
            </w:r>
            <w:r>
              <w:rPr>
                <w:rFonts w:hint="eastAsia"/>
                <w:szCs w:val="21"/>
              </w:rPr>
              <w:t>、</w:t>
            </w:r>
            <w:r>
              <w:rPr>
                <w:rFonts w:hint="eastAsia"/>
              </w:rPr>
              <w:t>绩效、财务环境、资源环境、人力环境、应急演习</w:t>
            </w:r>
            <w:r>
              <w:rPr>
                <w:rFonts w:hint="eastAsia"/>
                <w:szCs w:val="21"/>
              </w:rPr>
              <w:t>等</w:t>
            </w:r>
          </w:p>
          <w:p>
            <w:pPr>
              <w:jc w:val="both"/>
              <w:rPr>
                <w:szCs w:val="21"/>
              </w:rPr>
            </w:pPr>
            <w:r>
              <w:rPr>
                <w:rFonts w:hint="eastAsia"/>
                <w:szCs w:val="21"/>
              </w:rPr>
              <w:t>抽，社会环境：</w:t>
            </w:r>
            <w:r>
              <w:rPr>
                <w:rFonts w:hint="eastAsia"/>
              </w:rPr>
              <w:t>政府、社会团体及当地居民不接受超标的污染排放；人力环境：员工参与环境管理不够，人员流动性大。</w:t>
            </w:r>
          </w:p>
          <w:p>
            <w:pPr>
              <w:jc w:val="both"/>
              <w:rPr>
                <w:szCs w:val="21"/>
              </w:rPr>
            </w:pPr>
            <w:r>
              <w:rPr>
                <w:rFonts w:hint="eastAsia"/>
                <w:szCs w:val="21"/>
              </w:rPr>
              <w:t>内外部环境识别充分，有效。</w:t>
            </w:r>
          </w:p>
          <w:p>
            <w:pPr>
              <w:jc w:val="both"/>
              <w:rPr>
                <w:szCs w:val="21"/>
              </w:rPr>
            </w:pPr>
            <w:r>
              <w:rPr>
                <w:rFonts w:hint="eastAsia"/>
                <w:szCs w:val="21"/>
                <w:lang w:eastAsia="zh-CN"/>
              </w:rPr>
              <w:t>－－</w:t>
            </w:r>
            <w:r>
              <w:rPr>
                <w:szCs w:val="21"/>
              </w:rPr>
              <w:t>EO</w:t>
            </w:r>
            <w:r>
              <w:rPr>
                <w:rFonts w:hint="eastAsia"/>
                <w:szCs w:val="21"/>
              </w:rPr>
              <w:t>：查有《环境因素辨识与评价表》、《重要环境因素清单》</w:t>
            </w:r>
          </w:p>
          <w:p>
            <w:pPr>
              <w:jc w:val="both"/>
              <w:rPr>
                <w:rFonts w:hint="eastAsia" w:eastAsia="宋体"/>
                <w:szCs w:val="21"/>
                <w:lang w:eastAsia="zh-CN"/>
              </w:rPr>
            </w:pPr>
            <w:r>
              <w:rPr>
                <w:rFonts w:hint="eastAsia"/>
                <w:szCs w:val="21"/>
              </w:rPr>
              <w:t>识别的周边环境因素有：空气质量等</w:t>
            </w:r>
            <w:r>
              <w:rPr>
                <w:rFonts w:hint="eastAsia"/>
              </w:rPr>
              <w:t>相关因素，公司推行质量、环境、职业健康安全管理体系的目的就是不断提高公司管理水平和市场准入</w:t>
            </w:r>
            <w:r>
              <w:rPr>
                <w:rFonts w:hint="eastAsia"/>
                <w:lang w:eastAsia="zh-CN"/>
              </w:rPr>
              <w:t>。</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160" w:type="dxa"/>
            <w:vAlign w:val="top"/>
          </w:tcPr>
          <w:p>
            <w:pPr>
              <w:jc w:val="both"/>
              <w:rPr>
                <w:szCs w:val="21"/>
              </w:rPr>
            </w:pPr>
            <w:r>
              <w:rPr>
                <w:rFonts w:hint="eastAsia"/>
                <w:szCs w:val="21"/>
              </w:rPr>
              <w:t>相关方的需求和期望</w:t>
            </w:r>
          </w:p>
        </w:tc>
        <w:tc>
          <w:tcPr>
            <w:tcW w:w="960" w:type="dxa"/>
            <w:vAlign w:val="top"/>
          </w:tcPr>
          <w:p>
            <w:pPr>
              <w:jc w:val="both"/>
              <w:rPr>
                <w:szCs w:val="21"/>
              </w:rPr>
            </w:pPr>
            <w:r>
              <w:rPr>
                <w:szCs w:val="21"/>
              </w:rPr>
              <w:t>QEO</w:t>
            </w:r>
          </w:p>
          <w:p>
            <w:pPr>
              <w:jc w:val="both"/>
              <w:rPr>
                <w:szCs w:val="21"/>
              </w:rPr>
            </w:pPr>
            <w:r>
              <w:rPr>
                <w:szCs w:val="21"/>
              </w:rPr>
              <w:t>4.2</w:t>
            </w:r>
          </w:p>
        </w:tc>
        <w:tc>
          <w:tcPr>
            <w:tcW w:w="10004" w:type="dxa"/>
            <w:vAlign w:val="top"/>
          </w:tcPr>
          <w:p>
            <w:pPr>
              <w:jc w:val="both"/>
              <w:rPr>
                <w:szCs w:val="21"/>
              </w:rPr>
            </w:pPr>
            <w:r>
              <w:rPr>
                <w:rFonts w:hint="eastAsia"/>
                <w:szCs w:val="21"/>
                <w:lang w:eastAsia="zh-CN"/>
              </w:rPr>
              <w:t>－－</w:t>
            </w:r>
            <w:r>
              <w:rPr>
                <w:rFonts w:hint="eastAsia"/>
                <w:szCs w:val="21"/>
              </w:rPr>
              <w:t>公司相关方主要包括：相关方：顾客、员工、供应商、环保局、业务往来单位、等。</w:t>
            </w:r>
          </w:p>
          <w:p>
            <w:pPr>
              <w:jc w:val="both"/>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pPr>
              <w:jc w:val="both"/>
              <w:rPr>
                <w:szCs w:val="21"/>
              </w:rPr>
            </w:pPr>
            <w:r>
              <w:rPr>
                <w:rFonts w:hint="eastAsia"/>
                <w:szCs w:val="21"/>
              </w:rPr>
              <w:t>相关方进行监视和评审的方式方法：公司通过走访、会议、客户要求等方式对相关方的信息进行监视和评审。</w:t>
            </w:r>
          </w:p>
          <w:p>
            <w:pPr>
              <w:jc w:val="both"/>
              <w:rPr>
                <w:szCs w:val="21"/>
              </w:rPr>
            </w:pPr>
            <w:r>
              <w:rPr>
                <w:rFonts w:hint="eastAsia"/>
                <w:szCs w:val="21"/>
              </w:rPr>
              <w:t>为避免相关方对公司持续提供符合顾客要求和适用法律法规要求的产品和服务的能力影响或潜在影响，公司确定了：</w:t>
            </w:r>
          </w:p>
          <w:p>
            <w:pPr>
              <w:jc w:val="both"/>
              <w:rPr>
                <w:szCs w:val="21"/>
              </w:rPr>
            </w:pPr>
            <w:r>
              <w:rPr>
                <w:rFonts w:hint="eastAsia"/>
                <w:szCs w:val="21"/>
              </w:rPr>
              <w:t>a) 与质量管理体系有关的相关方。包括客户、供应商、员工、审核机构及政府机关等。</w:t>
            </w:r>
          </w:p>
          <w:p>
            <w:pPr>
              <w:jc w:val="both"/>
              <w:rPr>
                <w:szCs w:val="21"/>
              </w:rPr>
            </w:pPr>
            <w:r>
              <w:rPr>
                <w:rFonts w:hint="eastAsia"/>
                <w:szCs w:val="21"/>
              </w:rPr>
              <w:t>b) 相关方的要求。包括价格、质量、交货期等</w:t>
            </w:r>
          </w:p>
          <w:p>
            <w:pPr>
              <w:jc w:val="both"/>
              <w:rPr>
                <w:szCs w:val="21"/>
              </w:rPr>
            </w:pPr>
            <w:r>
              <w:rPr>
                <w:rFonts w:hint="eastAsia"/>
                <w:szCs w:val="21"/>
              </w:rPr>
              <w:t>公司还更新以上确定的结果，以便于理解和满足影响顾客要求和顾客满意度的需求和期望。</w:t>
            </w:r>
          </w:p>
          <w:p>
            <w:pPr>
              <w:jc w:val="both"/>
              <w:rPr>
                <w:szCs w:val="21"/>
              </w:rPr>
            </w:pPr>
            <w:r>
              <w:rPr>
                <w:rFonts w:hint="eastAsia"/>
                <w:szCs w:val="21"/>
              </w:rPr>
              <w:t>对于相关方分析如下：</w:t>
            </w:r>
          </w:p>
          <w:p>
            <w:pPr>
              <w:jc w:val="both"/>
              <w:rPr>
                <w:szCs w:val="21"/>
              </w:rPr>
            </w:pPr>
            <w:r>
              <w:rPr>
                <w:rFonts w:hint="eastAsia"/>
                <w:b/>
                <w:szCs w:val="21"/>
              </w:rPr>
              <w:t>客户</w:t>
            </w:r>
            <w:r>
              <w:rPr>
                <w:rFonts w:hint="eastAsia"/>
                <w:szCs w:val="21"/>
              </w:rPr>
              <w:t>：作为对公司发展有最直接影响的相关方，公司综合部负责直接与客户对话，了解其需求和期望，包括对产品质量，交货工期以及技术服务及服务价格等方面的要求，公司通过优化技术服务流程，提高技术服务效率，加大技术服务力度等种种措施，力求可以提高技术服务产品质量，降低成本，加快技术服务速度，满足顾客的要求和提高顾客满意度；</w:t>
            </w:r>
          </w:p>
          <w:p>
            <w:pPr>
              <w:jc w:val="both"/>
              <w:rPr>
                <w:szCs w:val="21"/>
              </w:rPr>
            </w:pPr>
            <w:r>
              <w:rPr>
                <w:rFonts w:hint="eastAsia"/>
                <w:b/>
                <w:szCs w:val="21"/>
              </w:rPr>
              <w:t>供应商</w:t>
            </w:r>
            <w:r>
              <w:rPr>
                <w:rFonts w:hint="eastAsia"/>
                <w:szCs w:val="21"/>
              </w:rPr>
              <w:t>：作为产品辅助设施质量的源头，公司加大对由供应商提供的硬件产品以及其他的外包过程产品进行质量控制，保证使用的产品质量过关；</w:t>
            </w:r>
          </w:p>
          <w:p>
            <w:pPr>
              <w:jc w:val="both"/>
              <w:rPr>
                <w:szCs w:val="21"/>
              </w:rPr>
            </w:pPr>
            <w:r>
              <w:rPr>
                <w:rFonts w:hint="eastAsia"/>
                <w:b/>
                <w:bCs/>
                <w:szCs w:val="21"/>
              </w:rPr>
              <w:t>员工：</w:t>
            </w:r>
            <w:r>
              <w:rPr>
                <w:rFonts w:hint="eastAsia"/>
                <w:szCs w:val="21"/>
              </w:rPr>
              <w:t>员工的服务工作能力极大的影响到服务质量，公司建立健全各种奖惩措施，加大培训教育力度，提高员工的企业认知度服务的质量意识，从各个方面提高员工的服务积极性，保障公司的持续稳定发展；</w:t>
            </w:r>
          </w:p>
          <w:p>
            <w:pPr>
              <w:jc w:val="both"/>
              <w:rPr>
                <w:szCs w:val="21"/>
              </w:rPr>
            </w:pPr>
            <w:r>
              <w:rPr>
                <w:rFonts w:hint="eastAsia"/>
                <w:b/>
                <w:szCs w:val="21"/>
              </w:rPr>
              <w:t>审核机构及政府机关</w:t>
            </w:r>
            <w:r>
              <w:rPr>
                <w:rFonts w:hint="eastAsia"/>
                <w:szCs w:val="21"/>
              </w:rPr>
              <w:t>：公司建立质量管理体系，每年申请由正规的审核认证机构对公司质量管理进行审核，通过审核出的问题提高管理体系的有效性，并得到持续改进。通过与政府机关的监督，公司遵纪守法，不偷税不漏税，健康文明发展公司考虑了以下相关方：</w:t>
            </w:r>
          </w:p>
          <w:p>
            <w:pPr>
              <w:jc w:val="both"/>
              <w:rPr>
                <w:szCs w:val="21"/>
              </w:rPr>
            </w:pPr>
            <w:r>
              <w:rPr>
                <w:rFonts w:hint="eastAsia"/>
                <w:szCs w:val="21"/>
              </w:rPr>
              <w:t xml:space="preserve">a) 直接顾客； </w:t>
            </w:r>
          </w:p>
          <w:p>
            <w:pPr>
              <w:jc w:val="both"/>
              <w:rPr>
                <w:szCs w:val="21"/>
              </w:rPr>
            </w:pPr>
            <w:r>
              <w:rPr>
                <w:rFonts w:hint="eastAsia"/>
                <w:szCs w:val="21"/>
              </w:rPr>
              <w:t xml:space="preserve">b) 外部提供方； </w:t>
            </w:r>
          </w:p>
          <w:p>
            <w:pPr>
              <w:jc w:val="both"/>
              <w:rPr>
                <w:szCs w:val="21"/>
              </w:rPr>
            </w:pPr>
            <w:r>
              <w:rPr>
                <w:rFonts w:hint="eastAsia"/>
                <w:szCs w:val="21"/>
              </w:rPr>
              <w:t>目前企业未发生处罚、相关方投诉事件</w:t>
            </w:r>
          </w:p>
          <w:p>
            <w:pPr>
              <w:jc w:val="both"/>
              <w:rPr>
                <w:szCs w:val="21"/>
              </w:rPr>
            </w:pPr>
            <w:r>
              <w:rPr>
                <w:rFonts w:hint="eastAsia"/>
                <w:szCs w:val="21"/>
              </w:rPr>
              <w:t>基本无变更</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8" w:hRule="atLeast"/>
        </w:trPr>
        <w:tc>
          <w:tcPr>
            <w:tcW w:w="2160" w:type="dxa"/>
            <w:vAlign w:val="top"/>
          </w:tcPr>
          <w:p>
            <w:pPr>
              <w:jc w:val="both"/>
              <w:rPr>
                <w:szCs w:val="21"/>
              </w:rPr>
            </w:pPr>
            <w:r>
              <w:rPr>
                <w:rFonts w:hint="eastAsia"/>
                <w:szCs w:val="21"/>
              </w:rPr>
              <w:t>质量管理体系的范围</w:t>
            </w:r>
          </w:p>
        </w:tc>
        <w:tc>
          <w:tcPr>
            <w:tcW w:w="960" w:type="dxa"/>
            <w:vAlign w:val="top"/>
          </w:tcPr>
          <w:p>
            <w:pPr>
              <w:jc w:val="both"/>
              <w:rPr>
                <w:szCs w:val="21"/>
              </w:rPr>
            </w:pPr>
            <w:r>
              <w:rPr>
                <w:szCs w:val="21"/>
              </w:rPr>
              <w:t>QEO</w:t>
            </w:r>
          </w:p>
          <w:p>
            <w:pPr>
              <w:jc w:val="both"/>
              <w:rPr>
                <w:szCs w:val="21"/>
              </w:rPr>
            </w:pPr>
            <w:r>
              <w:rPr>
                <w:rFonts w:hint="eastAsia"/>
                <w:szCs w:val="21"/>
              </w:rPr>
              <w:t>4.3</w:t>
            </w:r>
          </w:p>
        </w:tc>
        <w:tc>
          <w:tcPr>
            <w:tcW w:w="10004" w:type="dxa"/>
            <w:vAlign w:val="top"/>
          </w:tcPr>
          <w:p>
            <w:pPr>
              <w:jc w:val="both"/>
              <w:rPr>
                <w:szCs w:val="21"/>
              </w:rPr>
            </w:pPr>
            <w:r>
              <w:rPr>
                <w:rFonts w:hint="eastAsia"/>
                <w:szCs w:val="21"/>
                <w:lang w:eastAsia="zh-CN"/>
              </w:rPr>
              <w:t>－－</w:t>
            </w:r>
            <w:r>
              <w:rPr>
                <w:rFonts w:hint="eastAsia"/>
                <w:szCs w:val="21"/>
              </w:rPr>
              <w:t>公司按照标准要求编写了体系文件，于</w:t>
            </w:r>
            <w:r>
              <w:rPr>
                <w:szCs w:val="21"/>
              </w:rPr>
              <w:t>2020</w:t>
            </w:r>
            <w:r>
              <w:rPr>
                <w:rFonts w:hint="eastAsia"/>
                <w:szCs w:val="21"/>
              </w:rPr>
              <w:t>年</w:t>
            </w:r>
            <w:r>
              <w:rPr>
                <w:szCs w:val="21"/>
              </w:rPr>
              <w:t>8</w:t>
            </w:r>
            <w:r>
              <w:rPr>
                <w:rFonts w:hint="eastAsia"/>
                <w:szCs w:val="21"/>
              </w:rPr>
              <w:t>月3</w:t>
            </w:r>
            <w:r>
              <w:rPr>
                <w:szCs w:val="21"/>
              </w:rPr>
              <w:t>0</w:t>
            </w:r>
            <w:r>
              <w:rPr>
                <w:rFonts w:hint="eastAsia"/>
                <w:szCs w:val="21"/>
              </w:rPr>
              <w:t>日 A/</w:t>
            </w:r>
            <w:r>
              <w:rPr>
                <w:szCs w:val="21"/>
              </w:rPr>
              <w:t>0</w:t>
            </w:r>
            <w:r>
              <w:rPr>
                <w:rFonts w:hint="eastAsia"/>
                <w:szCs w:val="21"/>
              </w:rPr>
              <w:t>发布、实施，管理体系文件包括管理手册、程序文件、管理文件和记录表格等内容，管理手册中包括了质量、环境和职业健康安全方针和质量、环境及职业健康安全目标，并给出了各级文件的接口。质量手册中明确了体系的范围，管理手册可获得并得到保持。</w:t>
            </w:r>
          </w:p>
          <w:p>
            <w:pPr>
              <w:jc w:val="both"/>
              <w:rPr>
                <w:szCs w:val="21"/>
              </w:rPr>
            </w:pPr>
            <w:r>
              <w:rPr>
                <w:rFonts w:hint="eastAsia"/>
                <w:szCs w:val="21"/>
              </w:rPr>
              <w:t>公司明确了质量管理体系的边界：</w:t>
            </w:r>
          </w:p>
          <w:p>
            <w:pPr>
              <w:jc w:val="both"/>
              <w:rPr>
                <w:szCs w:val="21"/>
              </w:rPr>
            </w:pPr>
            <w:r>
              <w:rPr>
                <w:rFonts w:hint="eastAsia"/>
                <w:szCs w:val="21"/>
              </w:rPr>
              <w:t>注册/经营地址:</w:t>
            </w:r>
            <w:r>
              <w:t>北京市大兴区黄村镇富强路北侧2幢2层2-5号201室</w:t>
            </w:r>
          </w:p>
          <w:p>
            <w:pPr>
              <w:jc w:val="both"/>
              <w:rPr>
                <w:rFonts w:ascii="宋体" w:hAnsi="宋体"/>
                <w:szCs w:val="21"/>
              </w:rPr>
            </w:pPr>
            <w:r>
              <w:rPr>
                <w:rFonts w:hint="eastAsia"/>
                <w:szCs w:val="21"/>
              </w:rPr>
              <w:t>范围：</w:t>
            </w:r>
            <w:r>
              <w:rPr>
                <w:rFonts w:hint="eastAsia" w:ascii="宋体" w:hAnsi="宋体"/>
                <w:b/>
                <w:bCs/>
                <w:szCs w:val="21"/>
              </w:rPr>
              <w:t>许可范围内劳务派遣、人力资源</w:t>
            </w:r>
          </w:p>
          <w:p>
            <w:pPr>
              <w:jc w:val="both"/>
              <w:rPr>
                <w:rFonts w:ascii="宋体" w:hAnsi="宋体"/>
                <w:szCs w:val="21"/>
              </w:rPr>
            </w:pPr>
            <w:r>
              <w:rPr>
                <w:rFonts w:hint="eastAsia" w:ascii="宋体" w:hAnsi="宋体"/>
                <w:szCs w:val="21"/>
              </w:rPr>
              <w:t>公司面积：</w:t>
            </w:r>
            <w:r>
              <w:rPr>
                <w:rFonts w:ascii="宋体" w:hAnsi="宋体"/>
                <w:szCs w:val="21"/>
              </w:rPr>
              <w:t>156</w:t>
            </w:r>
            <w:r>
              <w:rPr>
                <w:rFonts w:hint="eastAsia" w:ascii="宋体" w:hAnsi="宋体"/>
                <w:szCs w:val="21"/>
              </w:rPr>
              <w:t>平米。</w:t>
            </w:r>
          </w:p>
          <w:p>
            <w:pPr>
              <w:jc w:val="both"/>
              <w:rPr>
                <w:szCs w:val="21"/>
              </w:rPr>
            </w:pPr>
            <w:r>
              <w:rPr>
                <w:rFonts w:hint="eastAsia"/>
                <w:szCs w:val="21"/>
              </w:rPr>
              <w:t>不适用条款：8.3</w:t>
            </w:r>
          </w:p>
          <w:p>
            <w:pPr>
              <w:jc w:val="both"/>
              <w:rPr>
                <w:szCs w:val="21"/>
              </w:rPr>
            </w:pPr>
            <w:r>
              <w:rPr>
                <w:rFonts w:hint="eastAsia"/>
                <w:szCs w:val="21"/>
              </w:rPr>
              <w:t>外包过程：无</w:t>
            </w:r>
          </w:p>
          <w:p>
            <w:pPr>
              <w:jc w:val="both"/>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p>
            <w:pPr>
              <w:jc w:val="both"/>
              <w:rPr>
                <w:rFonts w:hint="eastAsia" w:eastAsia="宋体"/>
                <w:szCs w:val="21"/>
                <w:lang w:eastAsia="zh-CN"/>
              </w:rPr>
            </w:pPr>
            <w:r>
              <w:rPr>
                <w:rFonts w:hint="eastAsia"/>
                <w:szCs w:val="21"/>
                <w:lang w:val="en-US" w:eastAsia="zh-CN"/>
              </w:rPr>
              <w:t>自上次审核以来，认证范围未发生</w:t>
            </w:r>
            <w:r>
              <w:rPr>
                <w:rFonts w:hint="eastAsia"/>
                <w:szCs w:val="21"/>
              </w:rPr>
              <w:t>变更</w:t>
            </w:r>
            <w:r>
              <w:rPr>
                <w:rFonts w:hint="eastAsia"/>
                <w:szCs w:val="21"/>
                <w:lang w:eastAsia="zh-CN"/>
              </w:rPr>
              <w:t>。</w:t>
            </w:r>
          </w:p>
          <w:p>
            <w:pPr>
              <w:jc w:val="both"/>
              <w:rPr>
                <w:rFonts w:ascii="宋体" w:hAnsi="宋体"/>
                <w:szCs w:val="21"/>
              </w:rPr>
            </w:pPr>
          </w:p>
          <w:p>
            <w:pPr>
              <w:jc w:val="both"/>
              <w:rPr>
                <w:rFonts w:ascii="宋体" w:hAnsi="宋体"/>
                <w:szCs w:val="21"/>
              </w:rPr>
            </w:pPr>
            <w:bookmarkStart w:id="0" w:name="审核范围"/>
            <w:r>
              <w:rPr>
                <w:rFonts w:ascii="宋体" w:hAnsi="宋体"/>
                <w:szCs w:val="21"/>
              </w:rPr>
              <w:t>Q：许可范围内劳务派遣、人力资源</w:t>
            </w:r>
          </w:p>
          <w:p>
            <w:pPr>
              <w:jc w:val="both"/>
              <w:rPr>
                <w:rFonts w:ascii="宋体" w:hAnsi="宋体"/>
                <w:szCs w:val="21"/>
              </w:rPr>
            </w:pPr>
            <w:r>
              <w:rPr>
                <w:rFonts w:ascii="宋体" w:hAnsi="宋体"/>
                <w:szCs w:val="21"/>
              </w:rPr>
              <w:t>E：许可范围内劳务派遣、人力资源所涉及场所的相关环境管理活动</w:t>
            </w:r>
          </w:p>
          <w:p>
            <w:pPr>
              <w:jc w:val="both"/>
              <w:rPr>
                <w:rFonts w:ascii="宋体" w:hAnsi="宋体"/>
                <w:szCs w:val="21"/>
              </w:rPr>
            </w:pPr>
            <w:r>
              <w:rPr>
                <w:rFonts w:ascii="宋体" w:hAnsi="宋体"/>
                <w:szCs w:val="21"/>
              </w:rPr>
              <w:t>O：许可范围内劳务派遣、人力资源所涉及场所的相关职业健康安全管理活动</w:t>
            </w:r>
            <w:bookmarkEnd w:id="0"/>
          </w:p>
          <w:p>
            <w:pPr>
              <w:jc w:val="both"/>
              <w:rPr>
                <w:szCs w:val="21"/>
              </w:rPr>
            </w:pPr>
            <w:r>
              <w:rPr>
                <w:rFonts w:hint="eastAsia"/>
              </w:rPr>
              <w:t>文件的信息完整，符合标准4.3条款要求，有效。</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szCs w:val="21"/>
              </w:rPr>
            </w:pPr>
            <w:r>
              <w:rPr>
                <w:rFonts w:hint="eastAsia" w:ascii="宋体" w:hAnsi="宋体"/>
                <w:szCs w:val="21"/>
              </w:rPr>
              <w:t>质量管理体系及其过程</w:t>
            </w:r>
          </w:p>
        </w:tc>
        <w:tc>
          <w:tcPr>
            <w:tcW w:w="960" w:type="dxa"/>
            <w:vAlign w:val="top"/>
          </w:tcPr>
          <w:p>
            <w:pPr>
              <w:jc w:val="both"/>
              <w:rPr>
                <w:szCs w:val="21"/>
              </w:rPr>
            </w:pPr>
            <w:r>
              <w:rPr>
                <w:szCs w:val="21"/>
              </w:rPr>
              <w:t>QEO</w:t>
            </w:r>
          </w:p>
          <w:p>
            <w:pPr>
              <w:jc w:val="both"/>
              <w:rPr>
                <w:szCs w:val="21"/>
              </w:rPr>
            </w:pPr>
            <w:r>
              <w:rPr>
                <w:rFonts w:hint="eastAsia"/>
                <w:szCs w:val="21"/>
              </w:rPr>
              <w:t>4.4</w:t>
            </w:r>
          </w:p>
        </w:tc>
        <w:tc>
          <w:tcPr>
            <w:tcW w:w="10004" w:type="dxa"/>
            <w:vAlign w:val="top"/>
          </w:tcPr>
          <w:p>
            <w:pPr>
              <w:jc w:val="both"/>
            </w:pPr>
            <w:r>
              <w:rPr>
                <w:rFonts w:hint="eastAsia"/>
                <w:lang w:eastAsia="zh-CN"/>
              </w:rPr>
              <w:t>－－</w:t>
            </w:r>
            <w:r>
              <w:rPr>
                <w:rFonts w:hint="eastAsia"/>
              </w:rPr>
              <w:t>组织按照GB/T</w:t>
            </w:r>
            <w:r>
              <w:t>19001-2016</w:t>
            </w:r>
            <w:r>
              <w:rPr>
                <w:rFonts w:hint="eastAsia"/>
              </w:rPr>
              <w:t>、GB/T24001-2016\GB/T45001-2020标准的要求，建立、实施、保持和持续改进管理体系，包括所需过程及其相互作用。 公司确定了质量、环境、职业健康安全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pPr>
              <w:jc w:val="both"/>
              <w:rPr>
                <w:szCs w:val="21"/>
              </w:rPr>
            </w:pPr>
            <w:r>
              <w:rPr>
                <w:rFonts w:hint="eastAsia"/>
                <w:szCs w:val="21"/>
              </w:rPr>
              <w:t>不适用条款：8.3</w:t>
            </w:r>
          </w:p>
          <w:p>
            <w:pPr>
              <w:jc w:val="both"/>
              <w:rPr>
                <w:szCs w:val="21"/>
              </w:rPr>
            </w:pPr>
            <w:r>
              <w:rPr>
                <w:rFonts w:hint="eastAsia"/>
                <w:szCs w:val="21"/>
              </w:rPr>
              <w:t>外包过程：无</w:t>
            </w:r>
          </w:p>
          <w:p>
            <w:pPr>
              <w:jc w:val="both"/>
              <w:rPr>
                <w:szCs w:val="21"/>
              </w:rPr>
            </w:pPr>
            <w:r>
              <w:rPr>
                <w:rFonts w:hint="eastAsia"/>
                <w:szCs w:val="21"/>
              </w:rPr>
              <w:t>基本无变更</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60" w:type="dxa"/>
            <w:vAlign w:val="top"/>
          </w:tcPr>
          <w:p>
            <w:pPr>
              <w:jc w:val="both"/>
              <w:rPr>
                <w:szCs w:val="21"/>
              </w:rPr>
            </w:pPr>
            <w:r>
              <w:rPr>
                <w:rFonts w:hint="eastAsia"/>
                <w:szCs w:val="21"/>
              </w:rPr>
              <w:t>领导作用和承诺</w:t>
            </w:r>
          </w:p>
          <w:p>
            <w:pPr>
              <w:jc w:val="both"/>
              <w:rPr>
                <w:szCs w:val="21"/>
              </w:rPr>
            </w:pPr>
          </w:p>
          <w:p>
            <w:pPr>
              <w:jc w:val="both"/>
              <w:rPr>
                <w:szCs w:val="21"/>
              </w:rPr>
            </w:pPr>
            <w:r>
              <w:rPr>
                <w:rFonts w:hint="eastAsia"/>
                <w:szCs w:val="21"/>
              </w:rPr>
              <w:t>总则</w:t>
            </w:r>
          </w:p>
        </w:tc>
        <w:tc>
          <w:tcPr>
            <w:tcW w:w="960" w:type="dxa"/>
            <w:vAlign w:val="top"/>
          </w:tcPr>
          <w:p>
            <w:pPr>
              <w:jc w:val="both"/>
              <w:rPr>
                <w:szCs w:val="21"/>
              </w:rPr>
            </w:pPr>
            <w:r>
              <w:rPr>
                <w:szCs w:val="21"/>
              </w:rPr>
              <w:t>QEO</w:t>
            </w:r>
          </w:p>
          <w:p>
            <w:pPr>
              <w:jc w:val="both"/>
              <w:rPr>
                <w:szCs w:val="21"/>
              </w:rPr>
            </w:pPr>
            <w:r>
              <w:rPr>
                <w:rFonts w:hint="eastAsia"/>
                <w:szCs w:val="21"/>
              </w:rPr>
              <w:t>5.1.1</w:t>
            </w:r>
          </w:p>
        </w:tc>
        <w:tc>
          <w:tcPr>
            <w:tcW w:w="10004" w:type="dxa"/>
            <w:vAlign w:val="top"/>
          </w:tcPr>
          <w:p>
            <w:pPr>
              <w:jc w:val="both"/>
              <w:rPr>
                <w:szCs w:val="21"/>
              </w:rPr>
            </w:pPr>
            <w:r>
              <w:rPr>
                <w:rFonts w:hint="eastAsia"/>
                <w:szCs w:val="21"/>
              </w:rPr>
              <w:t>企业最高管理者对管理体系的领导作用和承诺主要通过以下方面体现：</w:t>
            </w:r>
          </w:p>
          <w:p>
            <w:pPr>
              <w:ind w:firstLine="210" w:firstLineChars="100"/>
              <w:jc w:val="both"/>
              <w:rPr>
                <w:szCs w:val="21"/>
              </w:rPr>
            </w:pPr>
            <w:r>
              <w:rPr>
                <w:rFonts w:hint="eastAsia"/>
                <w:szCs w:val="21"/>
              </w:rPr>
              <w:t xml:space="preserve">a）对质量、环境和职业健康安全管理体系的有效性承担责任； </w:t>
            </w:r>
          </w:p>
          <w:p>
            <w:pPr>
              <w:ind w:firstLine="210" w:firstLineChars="100"/>
              <w:jc w:val="both"/>
              <w:rPr>
                <w:szCs w:val="21"/>
              </w:rPr>
            </w:pPr>
            <w:r>
              <w:rPr>
                <w:rFonts w:hint="eastAsia"/>
                <w:szCs w:val="21"/>
              </w:rPr>
              <w:t xml:space="preserve">b）确保制定质量、环境和职业健康安全管理体系的质量方针和质量目标,并与组织环境和战略方向相一致； </w:t>
            </w:r>
          </w:p>
          <w:p>
            <w:pPr>
              <w:ind w:firstLine="210" w:firstLineChars="100"/>
              <w:jc w:val="both"/>
              <w:rPr>
                <w:szCs w:val="21"/>
              </w:rPr>
            </w:pPr>
            <w:r>
              <w:rPr>
                <w:rFonts w:hint="eastAsia"/>
                <w:szCs w:val="21"/>
              </w:rPr>
              <w:t xml:space="preserve">c）确保质量、环境和职业健康安全管理体系要求融入与组织的业务过程； </w:t>
            </w:r>
          </w:p>
          <w:p>
            <w:pPr>
              <w:ind w:firstLine="210" w:firstLineChars="100"/>
              <w:jc w:val="both"/>
              <w:rPr>
                <w:szCs w:val="21"/>
              </w:rPr>
            </w:pPr>
            <w:r>
              <w:rPr>
                <w:rFonts w:hint="eastAsia"/>
                <w:szCs w:val="21"/>
              </w:rPr>
              <w:t>d）促进使用过程方法和基于风险的思维；</w:t>
            </w:r>
          </w:p>
          <w:p>
            <w:pPr>
              <w:ind w:firstLine="210" w:firstLineChars="100"/>
              <w:jc w:val="both"/>
              <w:rPr>
                <w:szCs w:val="21"/>
              </w:rPr>
            </w:pPr>
            <w:r>
              <w:rPr>
                <w:rFonts w:hint="eastAsia"/>
                <w:szCs w:val="21"/>
              </w:rPr>
              <w:t xml:space="preserve">e）确保获得质量、环境和职业健康安全管理体系所需的资源； </w:t>
            </w:r>
          </w:p>
          <w:p>
            <w:pPr>
              <w:ind w:firstLine="210" w:firstLineChars="100"/>
              <w:jc w:val="both"/>
              <w:rPr>
                <w:szCs w:val="21"/>
              </w:rPr>
            </w:pPr>
            <w:r>
              <w:rPr>
                <w:rFonts w:hint="eastAsia"/>
                <w:szCs w:val="21"/>
              </w:rPr>
              <w:t xml:space="preserve">f）沟通有效的质量管理和符合质量、环境和职业健康安全管理体系要求的重要性； </w:t>
            </w:r>
          </w:p>
          <w:p>
            <w:pPr>
              <w:ind w:firstLine="210" w:firstLineChars="100"/>
              <w:jc w:val="both"/>
              <w:rPr>
                <w:szCs w:val="21"/>
              </w:rPr>
            </w:pPr>
            <w:r>
              <w:rPr>
                <w:rFonts w:hint="eastAsia"/>
                <w:szCs w:val="21"/>
              </w:rPr>
              <w:t xml:space="preserve">g）确保实现质量、环境和职业健康安全管理体系的预期结果； </w:t>
            </w:r>
          </w:p>
          <w:p>
            <w:pPr>
              <w:ind w:firstLine="210" w:firstLineChars="100"/>
              <w:jc w:val="both"/>
              <w:rPr>
                <w:szCs w:val="21"/>
              </w:rPr>
            </w:pPr>
            <w:r>
              <w:rPr>
                <w:rFonts w:hint="eastAsia"/>
                <w:szCs w:val="21"/>
              </w:rPr>
              <w:t xml:space="preserve">h）促使、指导和支持员工努力提高质量、环境和职业健康安全管理体系的有效性； </w:t>
            </w:r>
          </w:p>
          <w:p>
            <w:pPr>
              <w:ind w:firstLine="210" w:firstLineChars="100"/>
              <w:jc w:val="both"/>
              <w:rPr>
                <w:szCs w:val="21"/>
              </w:rPr>
            </w:pPr>
            <w:r>
              <w:rPr>
                <w:rFonts w:hint="eastAsia"/>
                <w:szCs w:val="21"/>
              </w:rPr>
              <w:t>i</w:t>
            </w:r>
            <w:r>
              <w:rPr>
                <w:szCs w:val="21"/>
              </w:rPr>
              <w:t xml:space="preserve"> </w:t>
            </w:r>
            <w:r>
              <w:rPr>
                <w:rFonts w:hint="eastAsia"/>
                <w:szCs w:val="21"/>
              </w:rPr>
              <w:t xml:space="preserve">）推动改进； </w:t>
            </w:r>
          </w:p>
          <w:p>
            <w:pPr>
              <w:ind w:firstLine="210" w:firstLineChars="100"/>
              <w:jc w:val="both"/>
              <w:rPr>
                <w:szCs w:val="21"/>
              </w:rPr>
            </w:pPr>
            <w:r>
              <w:rPr>
                <w:rFonts w:hint="eastAsia"/>
                <w:szCs w:val="21"/>
              </w:rPr>
              <w:t>j）支持其他管理者履行其相关领域的职责。领导作用和承诺充分明确，基本符合标准要求。</w:t>
            </w:r>
          </w:p>
          <w:p>
            <w:pPr>
              <w:ind w:firstLine="420" w:firstLineChars="200"/>
              <w:jc w:val="both"/>
              <w:rPr>
                <w:szCs w:val="21"/>
              </w:rPr>
            </w:pPr>
            <w:r>
              <w:rPr>
                <w:rFonts w:hint="eastAsia"/>
                <w:szCs w:val="21"/>
              </w:rPr>
              <w:t>企业最高管理者以顾客为关注焦点和承诺内部有通过以下方面证实：</w:t>
            </w:r>
          </w:p>
          <w:p>
            <w:pPr>
              <w:ind w:firstLine="210" w:firstLineChars="100"/>
              <w:jc w:val="both"/>
              <w:rPr>
                <w:szCs w:val="21"/>
              </w:rPr>
            </w:pPr>
            <w:r>
              <w:rPr>
                <w:rFonts w:hint="eastAsia"/>
                <w:szCs w:val="21"/>
              </w:rPr>
              <w:t>（a）确定、理解并持续满足顾客要求以及适用的法律法规要求；综合部编制适用的与产品生产有关的法律、法规清单。</w:t>
            </w:r>
          </w:p>
          <w:p>
            <w:pPr>
              <w:ind w:firstLine="420" w:firstLineChars="200"/>
              <w:jc w:val="both"/>
              <w:rPr>
                <w:szCs w:val="21"/>
              </w:rPr>
            </w:pPr>
            <w:r>
              <w:rPr>
                <w:rFonts w:hint="eastAsia"/>
                <w:szCs w:val="21"/>
              </w:rPr>
              <w:t xml:space="preserve">b）确定和应对能够影响产品符合性以及增强顾客满意能力的风险和机遇； </w:t>
            </w:r>
          </w:p>
          <w:p>
            <w:pPr>
              <w:ind w:firstLine="420" w:firstLineChars="200"/>
              <w:jc w:val="both"/>
              <w:rPr>
                <w:szCs w:val="21"/>
              </w:rPr>
            </w:pPr>
            <w:r>
              <w:rPr>
                <w:rFonts w:hint="eastAsia"/>
                <w:szCs w:val="21"/>
              </w:rPr>
              <w:t>c）始终致力于增强顾客满意。执行《与顾客有关的过程控制程序》的有关要求；</w:t>
            </w:r>
          </w:p>
          <w:p>
            <w:pPr>
              <w:ind w:firstLine="420" w:firstLineChars="200"/>
              <w:jc w:val="both"/>
              <w:rPr>
                <w:szCs w:val="21"/>
              </w:rPr>
            </w:pPr>
            <w:r>
              <w:rPr>
                <w:rFonts w:hint="eastAsia"/>
              </w:rPr>
              <w:t>文件的信息完整，符合标准4.3条款要求，有效。</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0" w:type="dxa"/>
            <w:vAlign w:val="top"/>
          </w:tcPr>
          <w:p>
            <w:pPr>
              <w:jc w:val="both"/>
              <w:rPr>
                <w:szCs w:val="21"/>
              </w:rPr>
            </w:pPr>
            <w:r>
              <w:rPr>
                <w:rFonts w:hint="eastAsia"/>
                <w:szCs w:val="21"/>
              </w:rPr>
              <w:t>以顾客为关注焦点</w:t>
            </w:r>
          </w:p>
        </w:tc>
        <w:tc>
          <w:tcPr>
            <w:tcW w:w="960" w:type="dxa"/>
            <w:vAlign w:val="top"/>
          </w:tcPr>
          <w:p>
            <w:pPr>
              <w:jc w:val="both"/>
              <w:rPr>
                <w:szCs w:val="21"/>
              </w:rPr>
            </w:pPr>
            <w:r>
              <w:rPr>
                <w:szCs w:val="21"/>
              </w:rPr>
              <w:t>QEO</w:t>
            </w:r>
          </w:p>
          <w:p>
            <w:pPr>
              <w:jc w:val="both"/>
              <w:rPr>
                <w:szCs w:val="21"/>
              </w:rPr>
            </w:pPr>
            <w:r>
              <w:rPr>
                <w:rFonts w:hint="eastAsia"/>
                <w:szCs w:val="21"/>
              </w:rPr>
              <w:t>5.1.2</w:t>
            </w:r>
          </w:p>
        </w:tc>
        <w:tc>
          <w:tcPr>
            <w:tcW w:w="10004" w:type="dxa"/>
            <w:vAlign w:val="top"/>
          </w:tcPr>
          <w:p>
            <w:pPr>
              <w:jc w:val="both"/>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pPr>
              <w:jc w:val="both"/>
              <w:rPr>
                <w:szCs w:val="21"/>
              </w:rPr>
            </w:pPr>
            <w:r>
              <w:rPr>
                <w:rFonts w:hint="eastAsia"/>
                <w:szCs w:val="21"/>
              </w:rPr>
              <w:t>在确定顾客的需求和期望时，公司同时考虑与产品有关的义务和法律法规要求，并采取措施，使其得到落实。</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top"/>
          </w:tcPr>
          <w:p>
            <w:pPr>
              <w:jc w:val="both"/>
              <w:rPr>
                <w:szCs w:val="21"/>
              </w:rPr>
            </w:pPr>
            <w:r>
              <w:rPr>
                <w:rFonts w:hint="eastAsia"/>
                <w:szCs w:val="21"/>
              </w:rPr>
              <w:t>方针</w:t>
            </w:r>
          </w:p>
        </w:tc>
        <w:tc>
          <w:tcPr>
            <w:tcW w:w="960" w:type="dxa"/>
            <w:vAlign w:val="top"/>
          </w:tcPr>
          <w:p>
            <w:pPr>
              <w:jc w:val="both"/>
              <w:rPr>
                <w:szCs w:val="21"/>
              </w:rPr>
            </w:pPr>
            <w:r>
              <w:rPr>
                <w:szCs w:val="21"/>
              </w:rPr>
              <w:t>QEO</w:t>
            </w:r>
          </w:p>
          <w:p>
            <w:pPr>
              <w:jc w:val="both"/>
              <w:rPr>
                <w:szCs w:val="21"/>
              </w:rPr>
            </w:pPr>
            <w:r>
              <w:rPr>
                <w:rFonts w:hint="eastAsia"/>
                <w:szCs w:val="21"/>
              </w:rPr>
              <w:t>5.2</w:t>
            </w:r>
          </w:p>
        </w:tc>
        <w:tc>
          <w:tcPr>
            <w:tcW w:w="10004" w:type="dxa"/>
            <w:vAlign w:val="top"/>
          </w:tcPr>
          <w:p>
            <w:pPr>
              <w:jc w:val="both"/>
              <w:rPr>
                <w:szCs w:val="21"/>
              </w:rPr>
            </w:pPr>
            <w:r>
              <w:rPr>
                <w:rFonts w:hint="eastAsia"/>
                <w:szCs w:val="21"/>
                <w:lang w:eastAsia="zh-CN"/>
              </w:rPr>
              <w:t>－－</w:t>
            </w:r>
            <w:r>
              <w:rPr>
                <w:rFonts w:hint="eastAsia"/>
                <w:szCs w:val="21"/>
              </w:rPr>
              <w:t>企业策划并制定了企业的质量、环境和职业健康安全方针：守法诚信追求质量，预防污染保护环境；关爱员工健康安全，持续改进追求卓越。</w:t>
            </w:r>
          </w:p>
          <w:p>
            <w:pPr>
              <w:jc w:val="both"/>
            </w:pPr>
            <w:r>
              <w:rPr>
                <w:rFonts w:hint="eastAsia"/>
                <w:szCs w:val="21"/>
              </w:rPr>
              <w:t>方针在管理手册中予以规定，经总经理批准实施。</w:t>
            </w:r>
          </w:p>
          <w:p>
            <w:pPr>
              <w:jc w:val="both"/>
              <w:rPr>
                <w:szCs w:val="21"/>
              </w:rPr>
            </w:pPr>
            <w:r>
              <w:rPr>
                <w:rFonts w:hint="eastAsia"/>
                <w:lang w:eastAsia="zh-CN"/>
              </w:rPr>
              <w:t>－－</w:t>
            </w:r>
            <w:r>
              <w:rPr>
                <w:rFonts w:hint="eastAsia"/>
              </w:rPr>
              <w:t>公司通过运行</w:t>
            </w:r>
            <w:r>
              <w:rPr>
                <w:rFonts w:hint="eastAsia"/>
                <w:lang w:val="en-US" w:eastAsia="zh-CN"/>
              </w:rPr>
              <w:t>管理</w:t>
            </w:r>
            <w:r>
              <w:rPr>
                <w:rFonts w:hint="eastAsia"/>
              </w:rPr>
              <w:t>体系，证明公司的质量、环境、职业健康安全方针是适宜的。公司方针与公司的宗旨相适宜，符合公司的活动、产品或服务的性质、规模，满足顾客的要求，对持续改进也做出承诺。</w:t>
            </w:r>
          </w:p>
          <w:p>
            <w:pPr>
              <w:jc w:val="both"/>
              <w:rPr>
                <w:szCs w:val="21"/>
              </w:rPr>
            </w:pPr>
            <w:r>
              <w:rPr>
                <w:rFonts w:hint="eastAsia"/>
                <w:szCs w:val="21"/>
                <w:lang w:eastAsia="zh-CN"/>
              </w:rPr>
              <w:t>－－</w:t>
            </w:r>
            <w:r>
              <w:rPr>
                <w:rFonts w:hint="eastAsia"/>
                <w:szCs w:val="21"/>
              </w:rPr>
              <w:t>企业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p>
            <w:pPr>
              <w:jc w:val="both"/>
              <w:rPr>
                <w:szCs w:val="21"/>
              </w:rPr>
            </w:pPr>
            <w:r>
              <w:rPr>
                <w:rFonts w:hint="eastAsia"/>
                <w:szCs w:val="21"/>
              </w:rPr>
              <w:t>基本无变更。</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2160" w:type="dxa"/>
            <w:vAlign w:val="top"/>
          </w:tcPr>
          <w:p>
            <w:pPr>
              <w:jc w:val="both"/>
              <w:rPr>
                <w:szCs w:val="21"/>
              </w:rPr>
            </w:pPr>
            <w:r>
              <w:rPr>
                <w:rFonts w:hint="eastAsia"/>
                <w:szCs w:val="21"/>
              </w:rPr>
              <w:t>组织的角色、职责的权限</w:t>
            </w:r>
          </w:p>
        </w:tc>
        <w:tc>
          <w:tcPr>
            <w:tcW w:w="960" w:type="dxa"/>
            <w:vAlign w:val="top"/>
          </w:tcPr>
          <w:p>
            <w:pPr>
              <w:jc w:val="both"/>
              <w:rPr>
                <w:szCs w:val="21"/>
              </w:rPr>
            </w:pPr>
            <w:r>
              <w:rPr>
                <w:szCs w:val="21"/>
              </w:rPr>
              <w:t>QEO</w:t>
            </w:r>
          </w:p>
          <w:p>
            <w:pPr>
              <w:jc w:val="both"/>
              <w:rPr>
                <w:szCs w:val="21"/>
              </w:rPr>
            </w:pPr>
            <w:r>
              <w:rPr>
                <w:rFonts w:hint="eastAsia"/>
                <w:szCs w:val="21"/>
              </w:rPr>
              <w:t>5.3</w:t>
            </w:r>
          </w:p>
        </w:tc>
        <w:tc>
          <w:tcPr>
            <w:tcW w:w="10004" w:type="dxa"/>
            <w:vAlign w:val="top"/>
          </w:tcPr>
          <w:p>
            <w:pPr>
              <w:jc w:val="both"/>
              <w:rPr>
                <w:szCs w:val="21"/>
              </w:rPr>
            </w:pPr>
            <w:r>
              <w:rPr>
                <w:rFonts w:hint="eastAsia"/>
                <w:szCs w:val="21"/>
              </w:rPr>
              <w:t>企业在策划和建立管理体系时，成立了组织机构：设置了综合部、业务部等部门，并对各部门的作用、职责、权限进行了划分，提供的管理手册中确定了组织机构图、职能分配表， 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vAlign w:val="top"/>
          </w:tcPr>
          <w:p>
            <w:pPr>
              <w:jc w:val="both"/>
              <w:rPr>
                <w:szCs w:val="21"/>
              </w:rPr>
            </w:pPr>
            <w:r>
              <w:rPr>
                <w:rFonts w:hint="eastAsia"/>
                <w:szCs w:val="21"/>
              </w:rPr>
              <w:t>策划</w:t>
            </w:r>
          </w:p>
          <w:p>
            <w:pPr>
              <w:jc w:val="both"/>
              <w:rPr>
                <w:szCs w:val="21"/>
              </w:rPr>
            </w:pPr>
            <w:r>
              <w:rPr>
                <w:rFonts w:hint="eastAsia"/>
                <w:szCs w:val="21"/>
              </w:rPr>
              <w:t>应对风险和机遇的措施</w:t>
            </w:r>
          </w:p>
        </w:tc>
        <w:tc>
          <w:tcPr>
            <w:tcW w:w="960" w:type="dxa"/>
            <w:vAlign w:val="top"/>
          </w:tcPr>
          <w:p>
            <w:pPr>
              <w:jc w:val="both"/>
            </w:pPr>
            <w:r>
              <w:t>Q6.1</w:t>
            </w:r>
          </w:p>
          <w:p>
            <w:pPr>
              <w:jc w:val="both"/>
              <w:rPr>
                <w:szCs w:val="21"/>
              </w:rPr>
            </w:pPr>
            <w:r>
              <w:t>E</w:t>
            </w:r>
            <w:r>
              <w:rPr>
                <w:rFonts w:hint="eastAsia"/>
              </w:rPr>
              <w:t>O</w:t>
            </w:r>
            <w:r>
              <w:t>6.1.1</w:t>
            </w:r>
          </w:p>
        </w:tc>
        <w:tc>
          <w:tcPr>
            <w:tcW w:w="10004" w:type="dxa"/>
            <w:vAlign w:val="top"/>
          </w:tcPr>
          <w:p>
            <w:pPr>
              <w:jc w:val="both"/>
              <w:rPr>
                <w:szCs w:val="21"/>
              </w:rPr>
            </w:pPr>
            <w:r>
              <w:rPr>
                <w:rFonts w:hint="eastAsia"/>
                <w:szCs w:val="21"/>
                <w:lang w:eastAsia="zh-CN"/>
              </w:rPr>
              <w:t>－－</w:t>
            </w:r>
            <w:r>
              <w:rPr>
                <w:rFonts w:hint="eastAsia"/>
                <w:szCs w:val="21"/>
              </w:rPr>
              <w:t>制定有《环境因素识别及评价控制程序》、《危险源辨识、风险评价和控制措施的控制程序》（版本号：A</w:t>
            </w:r>
            <w:r>
              <w:rPr>
                <w:szCs w:val="21"/>
              </w:rPr>
              <w:t>/0</w:t>
            </w:r>
            <w:r>
              <w:rPr>
                <w:rFonts w:hint="eastAsia"/>
                <w:szCs w:val="21"/>
              </w:rPr>
              <w:t>）适用于在公司质量、环境、安全管理体系活动中应对风险和机遇的方法及要求的控制提供操作依据。</w:t>
            </w:r>
          </w:p>
          <w:p>
            <w:pPr>
              <w:jc w:val="both"/>
              <w:rPr>
                <w:szCs w:val="21"/>
              </w:rPr>
            </w:pPr>
            <w:r>
              <w:rPr>
                <w:rFonts w:hint="eastAsia"/>
                <w:szCs w:val="21"/>
              </w:rPr>
              <w:t>对风险和机遇的措施进行了识别和控制：</w:t>
            </w:r>
          </w:p>
          <w:p>
            <w:pPr>
              <w:jc w:val="both"/>
              <w:rPr>
                <w:rFonts w:hint="eastAsia"/>
                <w:szCs w:val="21"/>
                <w:lang w:val="en-US" w:eastAsia="zh-CN"/>
              </w:rPr>
            </w:pPr>
            <w:r>
              <w:rPr>
                <w:rFonts w:hint="eastAsia"/>
                <w:szCs w:val="21"/>
                <w:lang w:eastAsia="zh-CN"/>
              </w:rPr>
              <w:t>－－</w:t>
            </w:r>
            <w:r>
              <w:rPr>
                <w:rFonts w:hint="eastAsia"/>
                <w:szCs w:val="21"/>
              </w:rPr>
              <w:t>查</w:t>
            </w:r>
            <w:r>
              <w:rPr>
                <w:rFonts w:hint="eastAsia"/>
                <w:szCs w:val="21"/>
                <w:lang w:val="en-US" w:eastAsia="zh-CN"/>
              </w:rPr>
              <w:t>2022.3.10</w:t>
            </w:r>
            <w:r>
              <w:rPr>
                <w:rFonts w:hint="eastAsia"/>
                <w:szCs w:val="21"/>
              </w:rPr>
              <w:t>识别风险和机遇</w:t>
            </w:r>
            <w:r>
              <w:rPr>
                <w:rFonts w:hint="eastAsia"/>
                <w:szCs w:val="21"/>
                <w:lang w:val="en-US" w:eastAsia="zh-CN"/>
              </w:rPr>
              <w:t>包括：政策风险、资金风险、技术风险、管理风险、市场的风险等。</w:t>
            </w:r>
          </w:p>
          <w:p>
            <w:pPr>
              <w:jc w:val="both"/>
              <w:rPr>
                <w:rFonts w:hint="eastAsia" w:eastAsia="宋体"/>
                <w:lang w:eastAsia="zh-CN"/>
              </w:rPr>
            </w:pPr>
            <w:r>
              <w:rPr>
                <w:rFonts w:hint="eastAsia"/>
                <w:szCs w:val="21"/>
                <w:lang w:val="en-US" w:eastAsia="zh-CN"/>
              </w:rPr>
              <w:t>针对风险进行了评估，并制订了</w:t>
            </w:r>
            <w:r>
              <w:rPr>
                <w:rFonts w:hint="eastAsia" w:ascii="Comic Sans MS" w:hAnsi="DFKai-SB"/>
              </w:rPr>
              <w:t>应对措施</w:t>
            </w:r>
            <w:r>
              <w:rPr>
                <w:rFonts w:hint="eastAsia" w:ascii="Comic Sans MS" w:hAnsi="DFKai-SB"/>
                <w:lang w:eastAsia="zh-CN"/>
              </w:rPr>
              <w:t>。</w:t>
            </w:r>
          </w:p>
          <w:p>
            <w:pPr>
              <w:jc w:val="both"/>
              <w:rPr>
                <w:rFonts w:hint="default" w:eastAsia="宋体"/>
                <w:lang w:val="en-US" w:eastAsia="zh-CN"/>
              </w:rPr>
            </w:pPr>
            <w:r>
              <w:rPr>
                <w:rFonts w:hint="eastAsia"/>
                <w:lang w:val="en-US" w:eastAsia="zh-CN"/>
              </w:rPr>
              <w:t>基本有效。</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160" w:type="dxa"/>
            <w:vAlign w:val="top"/>
          </w:tcPr>
          <w:p>
            <w:pPr>
              <w:jc w:val="both"/>
              <w:rPr>
                <w:szCs w:val="21"/>
              </w:rPr>
            </w:pPr>
            <w:r>
              <w:rPr>
                <w:rFonts w:hint="eastAsia"/>
                <w:szCs w:val="21"/>
              </w:rPr>
              <w:t>质量目标及其实现的策划</w:t>
            </w:r>
          </w:p>
        </w:tc>
        <w:tc>
          <w:tcPr>
            <w:tcW w:w="960" w:type="dxa"/>
            <w:vAlign w:val="top"/>
          </w:tcPr>
          <w:p>
            <w:pPr>
              <w:jc w:val="both"/>
              <w:rPr>
                <w:szCs w:val="21"/>
              </w:rPr>
            </w:pPr>
            <w:r>
              <w:rPr>
                <w:szCs w:val="21"/>
              </w:rPr>
              <w:t>QEO</w:t>
            </w:r>
            <w:r>
              <w:rPr>
                <w:rFonts w:hint="eastAsia"/>
                <w:szCs w:val="21"/>
              </w:rPr>
              <w:t>6.2</w:t>
            </w:r>
          </w:p>
        </w:tc>
        <w:tc>
          <w:tcPr>
            <w:tcW w:w="10004" w:type="dxa"/>
            <w:vAlign w:val="top"/>
          </w:tcPr>
          <w:p>
            <w:pPr>
              <w:jc w:val="both"/>
              <w:rPr>
                <w:szCs w:val="21"/>
              </w:rPr>
            </w:pPr>
            <w:r>
              <w:rPr>
                <w:rFonts w:hint="eastAsia"/>
                <w:szCs w:val="21"/>
              </w:rPr>
              <w:t>公司总的目标为：</w:t>
            </w:r>
          </w:p>
          <w:p>
            <w:pPr>
              <w:pStyle w:val="12"/>
              <w:ind w:left="420" w:firstLine="0" w:firstLineChars="0"/>
              <w:jc w:val="both"/>
              <w:rPr>
                <w:szCs w:val="21"/>
              </w:rPr>
            </w:pPr>
            <w:r>
              <w:rPr>
                <w:rFonts w:hint="eastAsia"/>
                <w:szCs w:val="21"/>
              </w:rPr>
              <w:t>1）服务质量合格率100%；</w:t>
            </w:r>
          </w:p>
          <w:p>
            <w:pPr>
              <w:pStyle w:val="12"/>
              <w:ind w:left="420" w:firstLine="0" w:firstLineChars="0"/>
              <w:jc w:val="both"/>
              <w:rPr>
                <w:szCs w:val="21"/>
              </w:rPr>
            </w:pPr>
            <w:r>
              <w:rPr>
                <w:rFonts w:hint="eastAsia"/>
                <w:szCs w:val="21"/>
              </w:rPr>
              <w:t>2）合同评审率100%；</w:t>
            </w:r>
          </w:p>
          <w:p>
            <w:pPr>
              <w:pStyle w:val="12"/>
              <w:ind w:left="420" w:firstLine="0" w:firstLineChars="0"/>
              <w:jc w:val="both"/>
              <w:rPr>
                <w:szCs w:val="21"/>
              </w:rPr>
            </w:pPr>
            <w:r>
              <w:rPr>
                <w:rFonts w:hint="eastAsia"/>
                <w:szCs w:val="21"/>
              </w:rPr>
              <w:t>3）顾客满意度96%以上</w:t>
            </w:r>
          </w:p>
          <w:p>
            <w:pPr>
              <w:pStyle w:val="12"/>
              <w:ind w:left="420" w:firstLine="0" w:firstLineChars="0"/>
              <w:jc w:val="both"/>
              <w:rPr>
                <w:szCs w:val="21"/>
              </w:rPr>
            </w:pPr>
            <w:r>
              <w:rPr>
                <w:rFonts w:hint="eastAsia"/>
                <w:szCs w:val="21"/>
              </w:rPr>
              <w:t>4)固体废弃物100%分类，合理处理；</w:t>
            </w:r>
          </w:p>
          <w:p>
            <w:pPr>
              <w:pStyle w:val="12"/>
              <w:ind w:left="420" w:firstLine="0" w:firstLineChars="0"/>
              <w:jc w:val="both"/>
              <w:rPr>
                <w:szCs w:val="21"/>
              </w:rPr>
            </w:pPr>
            <w:r>
              <w:rPr>
                <w:rFonts w:hint="eastAsia"/>
                <w:szCs w:val="21"/>
              </w:rPr>
              <w:t>5）环境污染事故发生率为零</w:t>
            </w:r>
          </w:p>
          <w:p>
            <w:pPr>
              <w:pStyle w:val="12"/>
              <w:ind w:left="420" w:firstLine="0" w:firstLineChars="0"/>
              <w:jc w:val="both"/>
              <w:rPr>
                <w:szCs w:val="21"/>
              </w:rPr>
            </w:pPr>
            <w:r>
              <w:rPr>
                <w:rFonts w:hint="eastAsia"/>
                <w:szCs w:val="21"/>
              </w:rPr>
              <w:t xml:space="preserve">6）各类重伤以上事故发生率为零； </w:t>
            </w:r>
          </w:p>
          <w:p>
            <w:pPr>
              <w:pStyle w:val="12"/>
              <w:ind w:left="420" w:firstLine="0" w:firstLineChars="0"/>
              <w:jc w:val="both"/>
              <w:rPr>
                <w:szCs w:val="21"/>
              </w:rPr>
            </w:pPr>
            <w:r>
              <w:rPr>
                <w:rFonts w:hint="eastAsia"/>
                <w:szCs w:val="21"/>
              </w:rPr>
              <w:t>7）火灾事故发生率为零。</w:t>
            </w:r>
          </w:p>
          <w:p>
            <w:pPr>
              <w:jc w:val="both"/>
              <w:rPr>
                <w:szCs w:val="21"/>
              </w:rPr>
            </w:pPr>
            <w:r>
              <w:rPr>
                <w:rFonts w:hint="eastAsia"/>
                <w:szCs w:val="21"/>
              </w:rPr>
              <w:t>公司的目标已分解到相关职能部门，规定了计算方法及统计周期，</w:t>
            </w:r>
            <w:r>
              <w:rPr>
                <w:rFonts w:hint="eastAsia"/>
                <w:szCs w:val="21"/>
                <w:lang w:val="en-US" w:eastAsia="zh-CN"/>
              </w:rPr>
              <w:t>查看</w:t>
            </w:r>
            <w:r>
              <w:rPr>
                <w:rFonts w:hint="eastAsia"/>
                <w:szCs w:val="21"/>
              </w:rPr>
              <w:t>20</w:t>
            </w:r>
            <w:r>
              <w:rPr>
                <w:szCs w:val="21"/>
              </w:rPr>
              <w:t>2</w:t>
            </w:r>
            <w:r>
              <w:rPr>
                <w:rFonts w:hint="eastAsia"/>
                <w:szCs w:val="21"/>
                <w:lang w:val="en-US" w:eastAsia="zh-CN"/>
              </w:rPr>
              <w:t>2.9.30</w:t>
            </w:r>
            <w:r>
              <w:rPr>
                <w:rFonts w:hint="eastAsia"/>
                <w:szCs w:val="21"/>
              </w:rPr>
              <w:t>目标</w:t>
            </w:r>
            <w:r>
              <w:rPr>
                <w:rFonts w:hint="eastAsia"/>
                <w:szCs w:val="21"/>
                <w:lang w:val="en-US" w:eastAsia="zh-CN"/>
              </w:rPr>
              <w:t>完成情况统考，</w:t>
            </w:r>
            <w:r>
              <w:rPr>
                <w:rFonts w:hint="eastAsia"/>
                <w:szCs w:val="21"/>
              </w:rPr>
              <w:t>均符合指标要求。</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60" w:type="dxa"/>
            <w:vAlign w:val="top"/>
          </w:tcPr>
          <w:p>
            <w:pPr>
              <w:jc w:val="both"/>
              <w:rPr>
                <w:szCs w:val="21"/>
              </w:rPr>
            </w:pPr>
            <w:r>
              <w:rPr>
                <w:rFonts w:hint="eastAsia"/>
                <w:szCs w:val="21"/>
              </w:rPr>
              <w:t>变更的策划</w:t>
            </w:r>
          </w:p>
        </w:tc>
        <w:tc>
          <w:tcPr>
            <w:tcW w:w="960" w:type="dxa"/>
            <w:vAlign w:val="top"/>
          </w:tcPr>
          <w:p>
            <w:pPr>
              <w:jc w:val="both"/>
              <w:rPr>
                <w:szCs w:val="21"/>
              </w:rPr>
            </w:pPr>
            <w:r>
              <w:rPr>
                <w:szCs w:val="21"/>
              </w:rPr>
              <w:t>Q</w:t>
            </w:r>
            <w:r>
              <w:rPr>
                <w:rFonts w:hint="eastAsia"/>
                <w:szCs w:val="21"/>
              </w:rPr>
              <w:t>6.3</w:t>
            </w:r>
          </w:p>
        </w:tc>
        <w:tc>
          <w:tcPr>
            <w:tcW w:w="10004" w:type="dxa"/>
            <w:vAlign w:val="top"/>
          </w:tcPr>
          <w:p>
            <w:pPr>
              <w:jc w:val="both"/>
              <w:rPr>
                <w:szCs w:val="21"/>
              </w:rPr>
            </w:pPr>
            <w:r>
              <w:rPr>
                <w:rFonts w:hint="eastAsia"/>
                <w:szCs w:val="21"/>
                <w:lang w:eastAsia="zh-CN"/>
              </w:rPr>
              <w:t>－－</w:t>
            </w: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pPr>
              <w:jc w:val="both"/>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jc w:val="both"/>
              <w:rPr>
                <w:szCs w:val="21"/>
              </w:rPr>
            </w:pPr>
            <w:r>
              <w:rPr>
                <w:rFonts w:hint="eastAsia"/>
                <w:szCs w:val="21"/>
                <w:lang w:val="en-US" w:eastAsia="zh-CN"/>
              </w:rPr>
              <w:t>－－自上次审核</w:t>
            </w:r>
            <w:r>
              <w:rPr>
                <w:rFonts w:hint="eastAsia"/>
                <w:szCs w:val="21"/>
              </w:rPr>
              <w:t>以来，变更</w:t>
            </w:r>
            <w:r>
              <w:rPr>
                <w:rFonts w:hint="eastAsia"/>
                <w:szCs w:val="21"/>
                <w:lang w:val="en-US" w:eastAsia="zh-CN"/>
              </w:rPr>
              <w:t>了股东，更换了营业执照，其他方面未发生变更</w:t>
            </w:r>
            <w:r>
              <w:rPr>
                <w:rFonts w:hint="eastAsia"/>
                <w:szCs w:val="21"/>
              </w:rPr>
              <w:t>。</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szCs w:val="21"/>
              </w:rPr>
            </w:pPr>
            <w:r>
              <w:rPr>
                <w:rFonts w:hint="eastAsia"/>
                <w:szCs w:val="21"/>
              </w:rPr>
              <w:t>资源总则</w:t>
            </w:r>
          </w:p>
        </w:tc>
        <w:tc>
          <w:tcPr>
            <w:tcW w:w="960" w:type="dxa"/>
            <w:vAlign w:val="top"/>
          </w:tcPr>
          <w:p>
            <w:pPr>
              <w:jc w:val="both"/>
              <w:rPr>
                <w:szCs w:val="21"/>
              </w:rPr>
            </w:pPr>
            <w:r>
              <w:rPr>
                <w:szCs w:val="21"/>
              </w:rPr>
              <w:t>QEO</w:t>
            </w:r>
            <w:r>
              <w:rPr>
                <w:rFonts w:hint="eastAsia"/>
                <w:szCs w:val="21"/>
              </w:rPr>
              <w:t>7.1</w:t>
            </w:r>
          </w:p>
        </w:tc>
        <w:tc>
          <w:tcPr>
            <w:tcW w:w="10004" w:type="dxa"/>
            <w:vAlign w:val="top"/>
          </w:tcPr>
          <w:p>
            <w:pPr>
              <w:pStyle w:val="12"/>
              <w:numPr>
                <w:ilvl w:val="0"/>
                <w:numId w:val="0"/>
              </w:numPr>
              <w:ind w:leftChars="0"/>
              <w:jc w:val="both"/>
              <w:rPr>
                <w:szCs w:val="21"/>
              </w:rPr>
            </w:pPr>
            <w:r>
              <w:rPr>
                <w:rFonts w:hint="eastAsia"/>
                <w:szCs w:val="21"/>
                <w:lang w:eastAsia="zh-CN"/>
              </w:rPr>
              <w:t>－－</w:t>
            </w:r>
            <w:r>
              <w:rPr>
                <w:rFonts w:hint="eastAsia"/>
                <w:szCs w:val="21"/>
              </w:rPr>
              <w:t>企业目前主要工作人员</w:t>
            </w:r>
            <w:r>
              <w:rPr>
                <w:szCs w:val="21"/>
              </w:rPr>
              <w:t>1</w:t>
            </w:r>
            <w:r>
              <w:rPr>
                <w:rFonts w:hint="eastAsia"/>
                <w:szCs w:val="21"/>
                <w:lang w:eastAsia="zh-CN"/>
              </w:rPr>
              <w:t>５</w:t>
            </w:r>
            <w:r>
              <w:rPr>
                <w:rFonts w:hint="eastAsia"/>
                <w:szCs w:val="21"/>
              </w:rPr>
              <w:t>名，包括管理</w:t>
            </w:r>
            <w:r>
              <w:rPr>
                <w:rFonts w:hint="eastAsia"/>
                <w:szCs w:val="21"/>
                <w:lang w:val="en-US" w:eastAsia="zh-CN"/>
              </w:rPr>
              <w:t>人员</w:t>
            </w:r>
            <w:r>
              <w:rPr>
                <w:rFonts w:hint="eastAsia"/>
                <w:szCs w:val="21"/>
              </w:rPr>
              <w:t>、</w:t>
            </w:r>
            <w:r>
              <w:rPr>
                <w:rFonts w:hint="eastAsia"/>
                <w:szCs w:val="21"/>
                <w:lang w:val="en-US" w:eastAsia="zh-CN"/>
              </w:rPr>
              <w:t>业务</w:t>
            </w:r>
            <w:r>
              <w:rPr>
                <w:rFonts w:hint="eastAsia"/>
                <w:szCs w:val="21"/>
              </w:rPr>
              <w:t>人员等。可满足服务控制需要。</w:t>
            </w:r>
          </w:p>
          <w:p>
            <w:pPr>
              <w:pStyle w:val="12"/>
              <w:numPr>
                <w:ilvl w:val="0"/>
                <w:numId w:val="0"/>
              </w:numPr>
              <w:ind w:leftChars="0"/>
              <w:jc w:val="both"/>
              <w:rPr>
                <w:szCs w:val="21"/>
              </w:rPr>
            </w:pPr>
            <w:r>
              <w:rPr>
                <w:rFonts w:hint="eastAsia"/>
                <w:lang w:eastAsia="zh-CN"/>
              </w:rPr>
              <w:t>－－</w:t>
            </w:r>
            <w:r>
              <w:rPr>
                <w:rFonts w:hint="eastAsia"/>
              </w:rPr>
              <w:t>查公司现有资源，包括人力资源、基础设施（含办公场所、办公设备/设施、交通和通讯设施、消防安全设施等）、信息、技术、资金等</w:t>
            </w:r>
            <w:r>
              <w:rPr>
                <w:rFonts w:hint="eastAsia"/>
                <w:szCs w:val="21"/>
              </w:rPr>
              <w:t>配备生产设备有：办公设备：电话，电脑、打印机、复印机、扫描仪、空调、办公桌椅等办公和通讯等设备/设施。</w:t>
            </w:r>
          </w:p>
          <w:p>
            <w:pPr>
              <w:pStyle w:val="12"/>
              <w:numPr>
                <w:ilvl w:val="0"/>
                <w:numId w:val="0"/>
              </w:numPr>
              <w:ind w:leftChars="0"/>
              <w:jc w:val="both"/>
              <w:rPr>
                <w:szCs w:val="21"/>
              </w:rPr>
            </w:pPr>
            <w:r>
              <w:rPr>
                <w:rFonts w:hint="eastAsia"/>
                <w:szCs w:val="21"/>
                <w:lang w:eastAsia="zh-CN"/>
              </w:rPr>
              <w:t>－－</w:t>
            </w:r>
            <w:r>
              <w:rPr>
                <w:rFonts w:hint="eastAsia"/>
                <w:szCs w:val="21"/>
              </w:rPr>
              <w:t>外部资源，如供方、客户等相关方。</w:t>
            </w:r>
          </w:p>
          <w:p>
            <w:pPr>
              <w:jc w:val="both"/>
              <w:rPr>
                <w:szCs w:val="21"/>
              </w:rPr>
            </w:pPr>
            <w:r>
              <w:rPr>
                <w:rFonts w:hint="eastAsia"/>
                <w:szCs w:val="21"/>
              </w:rPr>
              <w:t>目前企业所提供的内外部资源基本能满足管理体系运行的需要。</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160" w:type="dxa"/>
            <w:vAlign w:val="top"/>
          </w:tcPr>
          <w:p>
            <w:pPr>
              <w:jc w:val="both"/>
              <w:rPr>
                <w:szCs w:val="21"/>
              </w:rPr>
            </w:pPr>
            <w:r>
              <w:rPr>
                <w:rFonts w:hint="eastAsia"/>
                <w:szCs w:val="21"/>
              </w:rPr>
              <w:t>管理评审</w:t>
            </w:r>
          </w:p>
        </w:tc>
        <w:tc>
          <w:tcPr>
            <w:tcW w:w="960" w:type="dxa"/>
            <w:vAlign w:val="top"/>
          </w:tcPr>
          <w:p>
            <w:pPr>
              <w:jc w:val="both"/>
              <w:rPr>
                <w:szCs w:val="21"/>
              </w:rPr>
            </w:pPr>
            <w:r>
              <w:rPr>
                <w:szCs w:val="21"/>
              </w:rPr>
              <w:t>QEO</w:t>
            </w:r>
            <w:r>
              <w:rPr>
                <w:rFonts w:hint="eastAsia"/>
                <w:szCs w:val="21"/>
              </w:rPr>
              <w:t>9.3</w:t>
            </w:r>
          </w:p>
        </w:tc>
        <w:tc>
          <w:tcPr>
            <w:tcW w:w="10004" w:type="dxa"/>
            <w:vAlign w:val="top"/>
          </w:tcPr>
          <w:p>
            <w:pPr>
              <w:pStyle w:val="12"/>
              <w:numPr>
                <w:ilvl w:val="0"/>
                <w:numId w:val="0"/>
              </w:numPr>
              <w:ind w:leftChars="0"/>
              <w:jc w:val="both"/>
              <w:rPr>
                <w:szCs w:val="21"/>
              </w:rPr>
            </w:pPr>
            <w:r>
              <w:rPr>
                <w:rFonts w:hint="eastAsia"/>
                <w:szCs w:val="21"/>
                <w:lang w:eastAsia="zh-CN"/>
              </w:rPr>
              <w:t>－－</w:t>
            </w:r>
            <w:r>
              <w:rPr>
                <w:rFonts w:hint="eastAsia"/>
                <w:szCs w:val="21"/>
              </w:rPr>
              <w:t>制定</w:t>
            </w:r>
            <w:r>
              <w:rPr>
                <w:rFonts w:hint="eastAsia"/>
                <w:szCs w:val="21"/>
                <w:lang w:val="en-US" w:eastAsia="zh-CN"/>
              </w:rPr>
              <w:t>了</w:t>
            </w:r>
            <w:r>
              <w:t xml:space="preserve"> </w:t>
            </w:r>
            <w:r>
              <w:rPr>
                <w:rFonts w:hint="eastAsia"/>
                <w:szCs w:val="21"/>
              </w:rPr>
              <w:t>《管理评审控制程序》，</w:t>
            </w:r>
            <w:r>
              <w:rPr>
                <w:rFonts w:hint="eastAsia"/>
              </w:rPr>
              <w:t>管理评审的时间、方法均有明确的要求，</w:t>
            </w:r>
            <w:r>
              <w:rPr>
                <w:rFonts w:hint="eastAsia"/>
                <w:szCs w:val="21"/>
              </w:rPr>
              <w:t>文件规定每年至少进行一次管理评审。文件适用质量、环境、安全管理体系的评审工作，包括方针和目标的评审。</w:t>
            </w:r>
          </w:p>
          <w:p>
            <w:pPr>
              <w:pStyle w:val="12"/>
              <w:numPr>
                <w:ilvl w:val="0"/>
                <w:numId w:val="0"/>
              </w:numPr>
              <w:ind w:left="2" w:leftChars="0"/>
              <w:jc w:val="both"/>
              <w:rPr>
                <w:color w:val="auto"/>
                <w:szCs w:val="21"/>
              </w:rPr>
            </w:pPr>
            <w:r>
              <w:rPr>
                <w:rFonts w:hint="eastAsia"/>
                <w:lang w:eastAsia="zh-CN"/>
              </w:rPr>
              <w:t>－－</w:t>
            </w:r>
            <w:r>
              <w:rPr>
                <w:rFonts w:hint="eastAsia"/>
                <w:color w:val="auto"/>
              </w:rPr>
              <w:t>组织于202</w:t>
            </w:r>
            <w:r>
              <w:rPr>
                <w:rFonts w:hint="eastAsia"/>
                <w:color w:val="auto"/>
                <w:lang w:val="en-US" w:eastAsia="zh-CN"/>
              </w:rPr>
              <w:t>2</w:t>
            </w:r>
            <w:r>
              <w:rPr>
                <w:rFonts w:hint="eastAsia"/>
                <w:color w:val="auto"/>
              </w:rPr>
              <w:t>年</w:t>
            </w:r>
            <w:r>
              <w:rPr>
                <w:color w:val="auto"/>
              </w:rPr>
              <w:t>1</w:t>
            </w:r>
            <w:r>
              <w:rPr>
                <w:rFonts w:hint="eastAsia"/>
                <w:color w:val="auto"/>
                <w:lang w:val="en-US" w:eastAsia="zh-CN"/>
              </w:rPr>
              <w:t>0</w:t>
            </w:r>
            <w:r>
              <w:rPr>
                <w:rFonts w:hint="eastAsia"/>
                <w:color w:val="auto"/>
              </w:rPr>
              <w:t>月20日由最高管理者主持，以会议的形式召开，各部门负责人参加。</w:t>
            </w:r>
          </w:p>
          <w:p>
            <w:pPr>
              <w:pStyle w:val="12"/>
              <w:numPr>
                <w:ilvl w:val="0"/>
                <w:numId w:val="1"/>
              </w:numPr>
              <w:ind w:left="2" w:firstLine="0" w:firstLineChars="0"/>
              <w:jc w:val="both"/>
              <w:rPr>
                <w:szCs w:val="21"/>
              </w:rPr>
            </w:pPr>
            <w:r>
              <w:rPr>
                <w:rFonts w:hint="eastAsia"/>
                <w:color w:val="auto"/>
                <w:szCs w:val="21"/>
              </w:rPr>
              <w:t>抽查《管理评审计划》，计划内容</w:t>
            </w:r>
            <w:r>
              <w:rPr>
                <w:rFonts w:hint="eastAsia" w:ascii="宋体" w:hAnsi="宋体"/>
                <w:color w:val="auto"/>
                <w:szCs w:val="21"/>
              </w:rPr>
              <w:t>包括</w:t>
            </w:r>
            <w:r>
              <w:rPr>
                <w:rFonts w:hint="eastAsia" w:ascii="宋体" w:hAnsi="宋体"/>
                <w:color w:val="000000"/>
                <w:szCs w:val="21"/>
              </w:rPr>
              <w:t>管理评审目的、参加人员、各部门准备资料、评审会议要求等</w:t>
            </w:r>
            <w:r>
              <w:rPr>
                <w:rFonts w:hint="eastAsia"/>
                <w:szCs w:val="21"/>
              </w:rPr>
              <w:t>。总经理批准。管理评审输入由管代和各部门收集并提供相关材料，内容基本涵盖：方针目标适宜性、质量目标的实现程度、体系策划和运行情况、可能的变更、内审情况、绩效达成、顾客满意情况及纠正措施完成情况，应对风险和机遇所采取措施的有效性以及改进的建议等等。</w:t>
            </w:r>
          </w:p>
          <w:p>
            <w:pPr>
              <w:pStyle w:val="12"/>
              <w:numPr>
                <w:ilvl w:val="0"/>
                <w:numId w:val="1"/>
              </w:numPr>
              <w:ind w:left="2" w:firstLine="0" w:firstLineChars="0"/>
              <w:jc w:val="both"/>
              <w:rPr>
                <w:szCs w:val="21"/>
              </w:rPr>
            </w:pPr>
            <w:r>
              <w:rPr>
                <w:rFonts w:hint="eastAsia"/>
                <w:szCs w:val="21"/>
              </w:rPr>
              <w:t>查有《管理评审报告》，对评审情况进行了总结，各部门对各过程和活动进行了总结和讨论。</w:t>
            </w:r>
          </w:p>
          <w:p>
            <w:pPr>
              <w:jc w:val="both"/>
              <w:rPr>
                <w:szCs w:val="21"/>
              </w:rPr>
            </w:pPr>
            <w:r>
              <w:rPr>
                <w:rFonts w:hint="eastAsia"/>
                <w:szCs w:val="21"/>
              </w:rPr>
              <w:t>评审结论：</w:t>
            </w:r>
            <w:r>
              <w:rPr>
                <w:rFonts w:hint="eastAsia" w:ascii="宋体" w:hAnsi="宋体"/>
                <w:color w:val="000000"/>
                <w:szCs w:val="21"/>
              </w:rPr>
              <w:t>通过本次评审，最终得出本公司质量管理体系是适宜的、充分的、有效的，质量方针和质量目标是适宜的和有效的</w:t>
            </w:r>
            <w:r>
              <w:rPr>
                <w:rFonts w:hint="eastAsia"/>
                <w:szCs w:val="21"/>
              </w:rPr>
              <w:t>。抽上年度管理评审改进措施完成情况，对于上一次评审提出的改进项，公司针对改进项进行了相关人员的培训，及改进。措施有效。员工能够更加理解标准的重要性，已完成。</w:t>
            </w:r>
          </w:p>
          <w:p>
            <w:pPr>
              <w:ind w:right="360"/>
              <w:rPr>
                <w:rFonts w:hint="default" w:eastAsia="宋体"/>
                <w:szCs w:val="21"/>
                <w:lang w:val="en-US" w:eastAsia="zh-CN"/>
              </w:rPr>
            </w:pPr>
            <w:r>
              <w:rPr>
                <w:rFonts w:hint="eastAsia"/>
                <w:szCs w:val="21"/>
              </w:rPr>
              <w:t>本年度提出改进措要求</w:t>
            </w:r>
            <w:r>
              <w:rPr>
                <w:rFonts w:hint="eastAsia"/>
                <w:szCs w:val="21"/>
                <w:lang w:val="en-US" w:eastAsia="zh-CN"/>
              </w:rPr>
              <w:t>为：</w:t>
            </w:r>
            <w:r>
              <w:rPr>
                <w:rFonts w:hint="eastAsia" w:ascii="宋体" w:hAnsi="宋体"/>
                <w:sz w:val="24"/>
                <w:szCs w:val="24"/>
                <w:lang w:val="en-US" w:eastAsia="zh-CN"/>
              </w:rPr>
              <w:t>公司文件归档不到位，员工对标准执行不到位。需继续增加对标准的培训</w:t>
            </w:r>
            <w:r>
              <w:rPr>
                <w:rFonts w:hint="eastAsia"/>
                <w:szCs w:val="21"/>
              </w:rPr>
              <w:t>。</w:t>
            </w:r>
            <w:r>
              <w:rPr>
                <w:rFonts w:hint="eastAsia"/>
                <w:szCs w:val="21"/>
                <w:lang w:val="en-US" w:eastAsia="zh-CN"/>
              </w:rPr>
              <w:t>于2022.10.21对相关人员进行了培训。</w:t>
            </w:r>
          </w:p>
          <w:p>
            <w:pPr>
              <w:jc w:val="both"/>
              <w:rPr>
                <w:szCs w:val="21"/>
              </w:rPr>
            </w:pPr>
            <w:r>
              <w:rPr>
                <w:rFonts w:hint="eastAsia"/>
              </w:rPr>
              <w:t>管理评审基本符合要求。</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60" w:type="dxa"/>
            <w:vAlign w:val="top"/>
          </w:tcPr>
          <w:p>
            <w:pPr>
              <w:jc w:val="both"/>
              <w:rPr>
                <w:szCs w:val="21"/>
              </w:rPr>
            </w:pPr>
            <w:r>
              <w:rPr>
                <w:rFonts w:hint="eastAsia"/>
                <w:szCs w:val="21"/>
              </w:rPr>
              <w:t>改进  总则</w:t>
            </w:r>
          </w:p>
        </w:tc>
        <w:tc>
          <w:tcPr>
            <w:tcW w:w="960" w:type="dxa"/>
            <w:vAlign w:val="top"/>
          </w:tcPr>
          <w:p>
            <w:pPr>
              <w:jc w:val="both"/>
              <w:rPr>
                <w:szCs w:val="21"/>
              </w:rPr>
            </w:pPr>
            <w:r>
              <w:rPr>
                <w:szCs w:val="21"/>
              </w:rPr>
              <w:t>QEO</w:t>
            </w:r>
          </w:p>
          <w:p>
            <w:pPr>
              <w:jc w:val="both"/>
              <w:rPr>
                <w:szCs w:val="21"/>
              </w:rPr>
            </w:pPr>
            <w:r>
              <w:rPr>
                <w:rFonts w:hint="eastAsia"/>
                <w:szCs w:val="21"/>
              </w:rPr>
              <w:t>10.1</w:t>
            </w:r>
          </w:p>
        </w:tc>
        <w:tc>
          <w:tcPr>
            <w:tcW w:w="10004" w:type="dxa"/>
            <w:vAlign w:val="top"/>
          </w:tcPr>
          <w:p>
            <w:pPr>
              <w:jc w:val="both"/>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质量、环境、职业健康安全管理目标建立与考核，明确了改进、努力的方向，建立一个自我完善、持续改进的机制和良好氛围。</w:t>
            </w:r>
          </w:p>
          <w:p>
            <w:pPr>
              <w:jc w:val="both"/>
              <w:rPr>
                <w:szCs w:val="21"/>
              </w:rPr>
            </w:pPr>
            <w:r>
              <w:rPr>
                <w:rFonts w:hint="eastAsia"/>
                <w:szCs w:val="21"/>
              </w:rPr>
              <w:t>企业有充分识别和评价存在的改进机会，以持续满足顾客和相关方要求改进的方法措施包括：</w:t>
            </w:r>
          </w:p>
          <w:p>
            <w:pPr>
              <w:jc w:val="both"/>
              <w:rPr>
                <w:szCs w:val="21"/>
              </w:rPr>
            </w:pPr>
            <w:r>
              <w:rPr>
                <w:rFonts w:hint="eastAsia"/>
                <w:szCs w:val="21"/>
              </w:rPr>
              <w:t>1）引导创新、修改和改进现有过程或实施新过程的突破项目；</w:t>
            </w:r>
          </w:p>
          <w:p>
            <w:pPr>
              <w:jc w:val="both"/>
              <w:rPr>
                <w:szCs w:val="21"/>
              </w:rPr>
            </w:pPr>
            <w:r>
              <w:rPr>
                <w:rFonts w:hint="eastAsia"/>
                <w:szCs w:val="21"/>
              </w:rPr>
              <w:t>2）在现有过程中开展渐进、持续的改进活动；</w:t>
            </w:r>
          </w:p>
          <w:p>
            <w:pPr>
              <w:jc w:val="both"/>
              <w:rPr>
                <w:szCs w:val="21"/>
              </w:rPr>
            </w:pPr>
            <w:r>
              <w:rPr>
                <w:rFonts w:hint="eastAsia"/>
                <w:szCs w:val="21"/>
              </w:rPr>
              <w:t>3）纠正所存在不符合的原因等。</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szCs w:val="21"/>
              </w:rPr>
            </w:pPr>
            <w:r>
              <w:rPr>
                <w:rFonts w:hint="eastAsia"/>
                <w:szCs w:val="21"/>
              </w:rPr>
              <w:t>改进</w:t>
            </w:r>
          </w:p>
        </w:tc>
        <w:tc>
          <w:tcPr>
            <w:tcW w:w="960" w:type="dxa"/>
            <w:vAlign w:val="top"/>
          </w:tcPr>
          <w:p>
            <w:pPr>
              <w:jc w:val="both"/>
              <w:rPr>
                <w:szCs w:val="21"/>
              </w:rPr>
            </w:pPr>
            <w:r>
              <w:rPr>
                <w:szCs w:val="21"/>
              </w:rPr>
              <w:t>QEO</w:t>
            </w:r>
          </w:p>
          <w:p>
            <w:pPr>
              <w:jc w:val="both"/>
              <w:rPr>
                <w:szCs w:val="21"/>
              </w:rPr>
            </w:pPr>
            <w:r>
              <w:rPr>
                <w:rFonts w:hint="eastAsia"/>
                <w:szCs w:val="21"/>
              </w:rPr>
              <w:t>10.3</w:t>
            </w:r>
          </w:p>
        </w:tc>
        <w:tc>
          <w:tcPr>
            <w:tcW w:w="10004" w:type="dxa"/>
            <w:vAlign w:val="top"/>
          </w:tcPr>
          <w:p>
            <w:pPr>
              <w:jc w:val="both"/>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质量、环境、职业健康安全管理体系的持续改进，同时通过日常运行中发现的问题及时调整解决，以达到持续改进管理体系，以提升销售和服务过程质量、产品质量和组织环境绩效。 </w:t>
            </w:r>
          </w:p>
          <w:p>
            <w:pPr>
              <w:jc w:val="both"/>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vAlign w:val="top"/>
          </w:tcPr>
          <w:p>
            <w:pPr>
              <w:jc w:val="both"/>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jc w:val="both"/>
              <w:rPr>
                <w:szCs w:val="21"/>
              </w:rPr>
            </w:pPr>
            <w:r>
              <w:rPr>
                <w:rFonts w:hint="eastAsia"/>
                <w:szCs w:val="21"/>
              </w:rPr>
              <w:t>标准/规范/法规的执行情况、上次审核不符合项的验证、认证证书、标志的使用情况、投诉或事故、监督抽查情况、体系变动</w:t>
            </w:r>
          </w:p>
        </w:tc>
        <w:tc>
          <w:tcPr>
            <w:tcW w:w="960" w:type="dxa"/>
            <w:vAlign w:val="top"/>
          </w:tcPr>
          <w:p>
            <w:pPr>
              <w:jc w:val="both"/>
              <w:rPr>
                <w:szCs w:val="21"/>
              </w:rPr>
            </w:pPr>
          </w:p>
        </w:tc>
        <w:tc>
          <w:tcPr>
            <w:tcW w:w="10004" w:type="dxa"/>
            <w:vAlign w:val="top"/>
          </w:tcPr>
          <w:p>
            <w:pPr>
              <w:adjustRightInd w:val="0"/>
              <w:snapToGrid w:val="0"/>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提供营业执照原件真实可信.</w:t>
            </w:r>
          </w:p>
          <w:p>
            <w:pPr>
              <w:adjustRightInd w:val="0"/>
              <w:snapToGrid w:val="0"/>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法律法规：符合要求</w:t>
            </w:r>
          </w:p>
          <w:p>
            <w:pPr>
              <w:adjustRightInd w:val="0"/>
              <w:snapToGrid w:val="0"/>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顾客投诉情况：未发生</w:t>
            </w:r>
          </w:p>
          <w:p>
            <w:pPr>
              <w:adjustRightInd w:val="0"/>
              <w:snapToGrid w:val="0"/>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上级检查情况：未发生</w:t>
            </w:r>
          </w:p>
          <w:p>
            <w:pPr>
              <w:adjustRightInd w:val="0"/>
              <w:snapToGrid w:val="0"/>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认证证书、标志的使用情况：主要用于投标，未发现违规使用证据</w:t>
            </w:r>
          </w:p>
          <w:p>
            <w:pPr>
              <w:adjustRightInd w:val="0"/>
              <w:snapToGrid w:val="0"/>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质量抽查：体系运行期间未进行抽查情况。</w:t>
            </w:r>
          </w:p>
          <w:p>
            <w:pPr>
              <w:adjustRightInd w:val="0"/>
              <w:snapToGrid w:val="0"/>
              <w:spacing w:line="276" w:lineRule="auto"/>
              <w:jc w:val="both"/>
              <w:rPr>
                <w:rFonts w:asciiTheme="minorEastAsia" w:hAnsiTheme="minorEastAsia" w:eastAsiaTheme="minorEastAsia"/>
                <w:szCs w:val="21"/>
              </w:rPr>
            </w:pPr>
            <w:r>
              <w:rPr>
                <w:rFonts w:hint="eastAsia" w:asciiTheme="minorEastAsia" w:hAnsiTheme="minorEastAsia" w:eastAsiaTheme="minorEastAsia"/>
                <w:szCs w:val="21"/>
              </w:rPr>
              <w:t>在体系运行期间未发生重大质量安全事故。</w:t>
            </w:r>
          </w:p>
          <w:p>
            <w:pPr>
              <w:adjustRightInd w:val="0"/>
              <w:snapToGrid w:val="0"/>
              <w:spacing w:line="276" w:lineRule="auto"/>
              <w:jc w:val="both"/>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变更：</w:t>
            </w:r>
            <w:r>
              <w:rPr>
                <w:rFonts w:hint="eastAsia" w:asciiTheme="minorEastAsia" w:hAnsiTheme="minorEastAsia" w:eastAsiaTheme="minorEastAsia"/>
                <w:szCs w:val="21"/>
                <w:lang w:val="en-US" w:eastAsia="zh-CN"/>
              </w:rPr>
              <w:t>变更了股东，未对管理体系产生影响。</w:t>
            </w:r>
            <w:bookmarkStart w:id="1" w:name="_GoBack"/>
            <w:bookmarkEnd w:id="1"/>
          </w:p>
          <w:p>
            <w:pPr>
              <w:jc w:val="both"/>
              <w:rPr>
                <w:szCs w:val="21"/>
              </w:rPr>
            </w:pPr>
            <w:r>
              <w:rPr>
                <w:rFonts w:hint="eastAsia" w:asciiTheme="minorEastAsia" w:hAnsiTheme="minorEastAsia" w:eastAsiaTheme="minorEastAsia"/>
                <w:szCs w:val="21"/>
              </w:rPr>
              <w:t>上年度不符合：</w:t>
            </w:r>
            <w:r>
              <w:rPr>
                <w:rFonts w:hint="eastAsia" w:asciiTheme="minorEastAsia" w:hAnsiTheme="minorEastAsia" w:eastAsiaTheme="minorEastAsia"/>
                <w:szCs w:val="21"/>
                <w:lang w:val="en-US" w:eastAsia="zh-CN"/>
              </w:rPr>
              <w:t>上年度审核未开具不符合项</w:t>
            </w:r>
            <w:r>
              <w:rPr>
                <w:rFonts w:hint="eastAsia" w:asciiTheme="minorEastAsia" w:hAnsiTheme="minorEastAsia" w:eastAsiaTheme="minorEastAsia"/>
                <w:szCs w:val="21"/>
              </w:rPr>
              <w:t>。</w:t>
            </w:r>
          </w:p>
        </w:tc>
        <w:tc>
          <w:tcPr>
            <w:tcW w:w="1585" w:type="dxa"/>
            <w:vAlign w:val="top"/>
          </w:tcPr>
          <w:p>
            <w:pPr>
              <w:jc w:val="both"/>
              <w:rPr>
                <w:szCs w:val="21"/>
              </w:rPr>
            </w:pPr>
            <w:r>
              <w:rPr>
                <w:rFonts w:hint="eastAsia"/>
                <w:szCs w:val="21"/>
              </w:rPr>
              <w:t>Y</w:t>
            </w:r>
          </w:p>
        </w:tc>
      </w:tr>
    </w:tbl>
    <w:p>
      <w:pPr>
        <w:pStyle w:val="4"/>
      </w:pPr>
    </w:p>
    <w:p>
      <w:pPr>
        <w:pStyle w:val="4"/>
      </w:pPr>
    </w:p>
    <w:p>
      <w:pPr>
        <w:pStyle w:val="4"/>
      </w:pPr>
    </w:p>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mic Sans MS">
    <w:panose1 w:val="030F0702030302020204"/>
    <w:charset w:val="00"/>
    <w:family w:val="script"/>
    <w:pitch w:val="default"/>
    <w:sig w:usb0="00000287" w:usb1="00000013" w:usb2="00000000" w:usb3="00000000" w:csb0="2000009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文本框 1"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w:t>
                </w:r>
                <w:r>
                  <w:rPr>
                    <w:sz w:val="18"/>
                    <w:szCs w:val="18"/>
                  </w:rPr>
                  <w:t>I</w:t>
                </w:r>
                <w:r>
                  <w:rPr>
                    <w:rFonts w:hint="eastAsia"/>
                    <w:sz w:val="18"/>
                    <w:szCs w:val="18"/>
                  </w:rPr>
                  <w:t>-1</w:t>
                </w:r>
                <w:r>
                  <w:rPr>
                    <w:sz w:val="18"/>
                    <w:szCs w:val="18"/>
                  </w:rPr>
                  <w:t>2</w:t>
                </w:r>
                <w:r>
                  <w:rPr>
                    <w:rFonts w:hint="eastAsia"/>
                    <w:sz w:val="18"/>
                    <w:szCs w:val="18"/>
                  </w:rPr>
                  <w:t xml:space="preserve">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E707B"/>
    <w:multiLevelType w:val="multilevel"/>
    <w:tmpl w:val="42DE70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4NzIyN2MxYTlmMzQ1NGE2MjU5NWRkMjhlOGMxYTAifQ=="/>
  </w:docVars>
  <w:rsids>
    <w:rsidRoot w:val="003639F9"/>
    <w:rsid w:val="000065CC"/>
    <w:rsid w:val="00012957"/>
    <w:rsid w:val="000206F9"/>
    <w:rsid w:val="00053216"/>
    <w:rsid w:val="00061A2D"/>
    <w:rsid w:val="000630E5"/>
    <w:rsid w:val="000674A6"/>
    <w:rsid w:val="00096430"/>
    <w:rsid w:val="000A1985"/>
    <w:rsid w:val="000A2B00"/>
    <w:rsid w:val="000A2F1B"/>
    <w:rsid w:val="000B4C80"/>
    <w:rsid w:val="000D40DF"/>
    <w:rsid w:val="000F1EAC"/>
    <w:rsid w:val="000F3FA8"/>
    <w:rsid w:val="00112812"/>
    <w:rsid w:val="001161C7"/>
    <w:rsid w:val="001269E2"/>
    <w:rsid w:val="00141700"/>
    <w:rsid w:val="001637B2"/>
    <w:rsid w:val="00172139"/>
    <w:rsid w:val="00182260"/>
    <w:rsid w:val="00191DB5"/>
    <w:rsid w:val="001A034D"/>
    <w:rsid w:val="001C2CBF"/>
    <w:rsid w:val="001D04A7"/>
    <w:rsid w:val="001E2CC2"/>
    <w:rsid w:val="002135CB"/>
    <w:rsid w:val="002136B2"/>
    <w:rsid w:val="002171F2"/>
    <w:rsid w:val="00223A33"/>
    <w:rsid w:val="00227022"/>
    <w:rsid w:val="0023080A"/>
    <w:rsid w:val="00264719"/>
    <w:rsid w:val="00283BBB"/>
    <w:rsid w:val="00293512"/>
    <w:rsid w:val="00296608"/>
    <w:rsid w:val="002C3A36"/>
    <w:rsid w:val="002E09E8"/>
    <w:rsid w:val="003015B3"/>
    <w:rsid w:val="003355E2"/>
    <w:rsid w:val="003639F9"/>
    <w:rsid w:val="00397780"/>
    <w:rsid w:val="003D73C1"/>
    <w:rsid w:val="003F7C34"/>
    <w:rsid w:val="00417174"/>
    <w:rsid w:val="00436DE8"/>
    <w:rsid w:val="00442836"/>
    <w:rsid w:val="004537CD"/>
    <w:rsid w:val="00482F43"/>
    <w:rsid w:val="0048696B"/>
    <w:rsid w:val="004A7F34"/>
    <w:rsid w:val="004B6BF7"/>
    <w:rsid w:val="004E3FE9"/>
    <w:rsid w:val="004F1BCB"/>
    <w:rsid w:val="004F7678"/>
    <w:rsid w:val="005106FD"/>
    <w:rsid w:val="00510B3D"/>
    <w:rsid w:val="005245F4"/>
    <w:rsid w:val="005456D8"/>
    <w:rsid w:val="0055141A"/>
    <w:rsid w:val="00567270"/>
    <w:rsid w:val="00576B20"/>
    <w:rsid w:val="00582D7D"/>
    <w:rsid w:val="005C507C"/>
    <w:rsid w:val="005F735B"/>
    <w:rsid w:val="005F7383"/>
    <w:rsid w:val="006300D4"/>
    <w:rsid w:val="00632909"/>
    <w:rsid w:val="00635044"/>
    <w:rsid w:val="006363F4"/>
    <w:rsid w:val="00686D34"/>
    <w:rsid w:val="006967E5"/>
    <w:rsid w:val="006C61CB"/>
    <w:rsid w:val="006E136D"/>
    <w:rsid w:val="006F552B"/>
    <w:rsid w:val="00700199"/>
    <w:rsid w:val="007027B9"/>
    <w:rsid w:val="007245D9"/>
    <w:rsid w:val="0074719D"/>
    <w:rsid w:val="00750C5D"/>
    <w:rsid w:val="007B73D7"/>
    <w:rsid w:val="007D53B4"/>
    <w:rsid w:val="007F7C26"/>
    <w:rsid w:val="00814C68"/>
    <w:rsid w:val="008251D0"/>
    <w:rsid w:val="00825431"/>
    <w:rsid w:val="00836AA8"/>
    <w:rsid w:val="008437D0"/>
    <w:rsid w:val="00860FE4"/>
    <w:rsid w:val="00862549"/>
    <w:rsid w:val="00863A0F"/>
    <w:rsid w:val="00877509"/>
    <w:rsid w:val="008924CA"/>
    <w:rsid w:val="008944C6"/>
    <w:rsid w:val="008951DE"/>
    <w:rsid w:val="008A6FE3"/>
    <w:rsid w:val="008B2E73"/>
    <w:rsid w:val="00907F15"/>
    <w:rsid w:val="00916CC5"/>
    <w:rsid w:val="0093044B"/>
    <w:rsid w:val="00932C66"/>
    <w:rsid w:val="0093349F"/>
    <w:rsid w:val="00953CB0"/>
    <w:rsid w:val="0095707B"/>
    <w:rsid w:val="00960B16"/>
    <w:rsid w:val="00982CE3"/>
    <w:rsid w:val="009A3140"/>
    <w:rsid w:val="009A385D"/>
    <w:rsid w:val="009D11CC"/>
    <w:rsid w:val="009D4293"/>
    <w:rsid w:val="009E1102"/>
    <w:rsid w:val="009F7B28"/>
    <w:rsid w:val="00A01916"/>
    <w:rsid w:val="00A0318B"/>
    <w:rsid w:val="00A24761"/>
    <w:rsid w:val="00A56C98"/>
    <w:rsid w:val="00AA7A8B"/>
    <w:rsid w:val="00AB788F"/>
    <w:rsid w:val="00AE0A15"/>
    <w:rsid w:val="00AE2536"/>
    <w:rsid w:val="00AE4588"/>
    <w:rsid w:val="00AF386E"/>
    <w:rsid w:val="00AF570B"/>
    <w:rsid w:val="00B17EB0"/>
    <w:rsid w:val="00B41C99"/>
    <w:rsid w:val="00B56A14"/>
    <w:rsid w:val="00B64F9D"/>
    <w:rsid w:val="00B66789"/>
    <w:rsid w:val="00B749DB"/>
    <w:rsid w:val="00B91710"/>
    <w:rsid w:val="00B96599"/>
    <w:rsid w:val="00BC3817"/>
    <w:rsid w:val="00BD3AE7"/>
    <w:rsid w:val="00BD5153"/>
    <w:rsid w:val="00BE0284"/>
    <w:rsid w:val="00BE165F"/>
    <w:rsid w:val="00BF3A12"/>
    <w:rsid w:val="00C13D6D"/>
    <w:rsid w:val="00C32A51"/>
    <w:rsid w:val="00C35E99"/>
    <w:rsid w:val="00C70520"/>
    <w:rsid w:val="00C91119"/>
    <w:rsid w:val="00C94AF0"/>
    <w:rsid w:val="00C975DE"/>
    <w:rsid w:val="00CB0D5C"/>
    <w:rsid w:val="00CB19E4"/>
    <w:rsid w:val="00CB47D7"/>
    <w:rsid w:val="00CC453E"/>
    <w:rsid w:val="00CD3AF8"/>
    <w:rsid w:val="00CE417F"/>
    <w:rsid w:val="00CF2884"/>
    <w:rsid w:val="00D00E65"/>
    <w:rsid w:val="00D10889"/>
    <w:rsid w:val="00D2692F"/>
    <w:rsid w:val="00D4057C"/>
    <w:rsid w:val="00D41C10"/>
    <w:rsid w:val="00D43B36"/>
    <w:rsid w:val="00D57303"/>
    <w:rsid w:val="00D72E1F"/>
    <w:rsid w:val="00DC185C"/>
    <w:rsid w:val="00DD6004"/>
    <w:rsid w:val="00DE2407"/>
    <w:rsid w:val="00DE5F5D"/>
    <w:rsid w:val="00DF4595"/>
    <w:rsid w:val="00E05FE5"/>
    <w:rsid w:val="00E0719F"/>
    <w:rsid w:val="00E209F7"/>
    <w:rsid w:val="00E436BE"/>
    <w:rsid w:val="00E52C7F"/>
    <w:rsid w:val="00E63F16"/>
    <w:rsid w:val="00EA0197"/>
    <w:rsid w:val="00EB7ABE"/>
    <w:rsid w:val="00F04BAE"/>
    <w:rsid w:val="00F131EF"/>
    <w:rsid w:val="00F340C8"/>
    <w:rsid w:val="00F45AF4"/>
    <w:rsid w:val="00F66463"/>
    <w:rsid w:val="00F70236"/>
    <w:rsid w:val="00F94C5B"/>
    <w:rsid w:val="00FB67FB"/>
    <w:rsid w:val="00FC075C"/>
    <w:rsid w:val="00FC363F"/>
    <w:rsid w:val="23696C97"/>
    <w:rsid w:val="27BE3670"/>
    <w:rsid w:val="2F197DFF"/>
    <w:rsid w:val="4E286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unhideWhenUsed/>
    <w:qFormat/>
    <w:uiPriority w:val="99"/>
    <w:pPr>
      <w:ind w:firstLine="420" w:firstLineChars="200"/>
    </w:pPr>
  </w:style>
  <w:style w:type="paragraph" w:styleId="13">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1175</Words>
  <Characters>6700</Characters>
  <Lines>55</Lines>
  <Paragraphs>15</Paragraphs>
  <TotalTime>5</TotalTime>
  <ScaleCrop>false</ScaleCrop>
  <LinksUpToDate>false</LinksUpToDate>
  <CharactersWithSpaces>7860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apple</cp:lastModifiedBy>
  <dcterms:modified xsi:type="dcterms:W3CDTF">2022-11-15T03:23:14Z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31BE36F4194B49C785FABCC717CF62FB</vt:lpwstr>
  </property>
</Properties>
</file>