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大宗原（辅）材料出入库称重测量结果不确定度分析</w:t>
      </w:r>
    </w:p>
    <w:p>
      <w:pPr>
        <w:rPr>
          <w:b/>
          <w:sz w:val="24"/>
        </w:rPr>
      </w:pPr>
      <w:r>
        <w:rPr>
          <w:b/>
          <w:sz w:val="24"/>
        </w:rPr>
        <w:t>1.</w:t>
      </w:r>
      <w:r>
        <w:rPr>
          <w:rFonts w:hint="eastAsia"/>
          <w:b/>
          <w:sz w:val="24"/>
        </w:rPr>
        <w:t>概述</w:t>
      </w:r>
    </w:p>
    <w:p>
      <w:pPr>
        <w:spacing w:line="276" w:lineRule="auto"/>
        <w:rPr>
          <w:rFonts w:hint="default" w:ascii="Times New Roman" w:hAnsi="宋体" w:eastAsia="宋体" w:cs="Times New Roman"/>
          <w:sz w:val="24"/>
          <w:lang w:val="en-US" w:eastAsia="zh-CN"/>
        </w:rPr>
      </w:pPr>
      <w:r>
        <w:rPr>
          <w:sz w:val="24"/>
        </w:rPr>
        <w:t>1.1</w:t>
      </w:r>
      <w:r>
        <w:rPr>
          <w:sz w:val="24"/>
        </w:rPr>
        <w:tab/>
      </w:r>
      <w:r>
        <w:rPr>
          <w:rFonts w:hint="eastAsia" w:hAnsi="宋体"/>
          <w:sz w:val="24"/>
        </w:rPr>
        <w:t>测量依据：</w:t>
      </w:r>
      <w:r>
        <w:rPr>
          <w:rFonts w:hint="eastAsia" w:ascii="Times New Roman" w:hAnsi="宋体" w:eastAsia="宋体" w:cs="Times New Roman"/>
          <w:sz w:val="24"/>
          <w:lang w:val="en-US" w:eastAsia="zh-CN"/>
        </w:rPr>
        <w:t>原煤验收监督、结算审计规范</w:t>
      </w:r>
    </w:p>
    <w:p>
      <w:pPr>
        <w:spacing w:line="276" w:lineRule="auto"/>
        <w:rPr>
          <w:rFonts w:hint="eastAsia" w:ascii="Times New Roman" w:hAnsi="宋体" w:eastAsia="宋体" w:cs="Times New Roman"/>
          <w:sz w:val="24"/>
        </w:rPr>
      </w:pPr>
      <w:r>
        <w:rPr>
          <w:rFonts w:hint="eastAsia" w:ascii="Times New Roman" w:hAnsi="宋体" w:eastAsia="宋体" w:cs="Times New Roman"/>
          <w:sz w:val="24"/>
        </w:rPr>
        <w:t>1.2</w:t>
      </w:r>
      <w:r>
        <w:rPr>
          <w:rFonts w:hint="eastAsia" w:ascii="Times New Roman" w:hAnsi="宋体" w:eastAsia="宋体" w:cs="Times New Roman"/>
          <w:sz w:val="24"/>
        </w:rPr>
        <w:tab/>
      </w:r>
      <w:r>
        <w:rPr>
          <w:rFonts w:hint="eastAsia" w:ascii="Times New Roman" w:hAnsi="宋体" w:eastAsia="宋体" w:cs="Times New Roman"/>
          <w:sz w:val="24"/>
        </w:rPr>
        <w:t>测量环境条件：常温。</w:t>
      </w:r>
    </w:p>
    <w:p>
      <w:pPr>
        <w:spacing w:line="276" w:lineRule="auto"/>
        <w:rPr>
          <w:rFonts w:hint="eastAsia" w:ascii="Times New Roman" w:hAnsi="宋体" w:eastAsia="宋体" w:cs="Times New Roman"/>
          <w:sz w:val="24"/>
        </w:rPr>
      </w:pPr>
      <w:r>
        <w:rPr>
          <w:rFonts w:hint="eastAsia" w:ascii="Times New Roman" w:hAnsi="宋体" w:eastAsia="宋体" w:cs="Times New Roman"/>
          <w:sz w:val="24"/>
        </w:rPr>
        <w:t>1.3</w:t>
      </w:r>
      <w:r>
        <w:rPr>
          <w:rFonts w:hint="eastAsia" w:ascii="Times New Roman" w:hAnsi="宋体" w:eastAsia="宋体" w:cs="Times New Roman"/>
          <w:sz w:val="24"/>
        </w:rPr>
        <w:tab/>
      </w:r>
      <w:r>
        <w:rPr>
          <w:rFonts w:hint="eastAsia" w:ascii="Times New Roman" w:hAnsi="宋体" w:eastAsia="宋体" w:cs="Times New Roman"/>
          <w:sz w:val="24"/>
        </w:rPr>
        <w:t>测量设备：电子汽车衡，型号SCS-150，</w:t>
      </w:r>
      <w:r>
        <w:rPr>
          <w:rFonts w:hint="eastAsia" w:ascii="Times New Roman" w:hAnsi="宋体" w:eastAsia="宋体" w:cs="Times New Roman"/>
          <w:sz w:val="24"/>
          <w:lang w:eastAsia="zh-CN"/>
        </w:rPr>
        <w:t>（</w:t>
      </w:r>
      <w:r>
        <w:rPr>
          <w:rFonts w:hint="eastAsia" w:ascii="Times New Roman" w:hAnsi="宋体" w:eastAsia="宋体" w:cs="Times New Roman"/>
          <w:sz w:val="24"/>
          <w:lang w:val="en-US" w:eastAsia="zh-CN"/>
        </w:rPr>
        <w:t>0-150</w:t>
      </w:r>
      <w:r>
        <w:rPr>
          <w:rFonts w:hint="eastAsia" w:ascii="Times New Roman" w:hAnsi="宋体" w:eastAsia="宋体" w:cs="Times New Roman"/>
          <w:sz w:val="24"/>
          <w:lang w:eastAsia="zh-CN"/>
        </w:rPr>
        <w:t>）</w:t>
      </w:r>
      <w:r>
        <w:rPr>
          <w:rFonts w:hint="eastAsia" w:ascii="Times New Roman" w:hAnsi="宋体" w:eastAsia="宋体" w:cs="Times New Roman"/>
          <w:sz w:val="24"/>
          <w:lang w:val="en-US" w:eastAsia="zh-CN"/>
        </w:rPr>
        <w:t>t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spacing w:line="276" w:lineRule="auto"/>
        <w:rPr>
          <w:rFonts w:hint="eastAsia" w:ascii="Times New Roman" w:hAnsi="宋体" w:eastAsia="宋体" w:cs="Times New Roman"/>
          <w:sz w:val="24"/>
        </w:rPr>
      </w:pPr>
      <w:r>
        <w:rPr>
          <w:rFonts w:hint="eastAsia" w:ascii="Times New Roman" w:hAnsi="宋体" w:eastAsia="宋体" w:cs="Times New Roman"/>
          <w:sz w:val="24"/>
        </w:rPr>
        <w:t>1.4</w:t>
      </w:r>
      <w:r>
        <w:rPr>
          <w:rFonts w:hint="eastAsia" w:ascii="Times New Roman" w:hAnsi="宋体" w:eastAsia="宋体" w:cs="Times New Roman"/>
          <w:sz w:val="24"/>
        </w:rPr>
        <w:tab/>
      </w:r>
      <w:r>
        <w:rPr>
          <w:rFonts w:hint="eastAsia" w:ascii="Times New Roman" w:hAnsi="宋体" w:eastAsia="宋体" w:cs="Times New Roman"/>
          <w:sz w:val="24"/>
        </w:rPr>
        <w:t>被测对象：大宗原（辅）材料出入库称重。</w:t>
      </w:r>
    </w:p>
    <w:p>
      <w:pPr>
        <w:spacing w:line="276" w:lineRule="auto"/>
        <w:rPr>
          <w:rFonts w:hint="eastAsia" w:ascii="Times New Roman" w:hAnsi="宋体" w:eastAsia="宋体" w:cs="Times New Roman"/>
          <w:sz w:val="24"/>
          <w:lang w:val="en-US" w:eastAsia="zh-CN"/>
        </w:rPr>
      </w:pPr>
      <w:r>
        <w:rPr>
          <w:rFonts w:hint="eastAsia" w:ascii="Times New Roman" w:hAnsi="宋体" w:eastAsia="宋体" w:cs="Times New Roman"/>
          <w:sz w:val="24"/>
        </w:rPr>
        <w:t>1.5</w:t>
      </w:r>
      <w:r>
        <w:rPr>
          <w:rFonts w:hint="eastAsia" w:ascii="Times New Roman" w:hAnsi="宋体" w:eastAsia="宋体" w:cs="Times New Roman"/>
          <w:sz w:val="24"/>
        </w:rPr>
        <w:tab/>
      </w:r>
      <w:r>
        <w:rPr>
          <w:rFonts w:hint="eastAsia" w:ascii="Times New Roman" w:hAnsi="宋体" w:eastAsia="宋体" w:cs="Times New Roman"/>
          <w:sz w:val="24"/>
          <w:lang w:val="en-US" w:eastAsia="zh-CN"/>
        </w:rPr>
        <w:t>测量过程：大宗原（辅）材料出入库称重。</w:t>
      </w:r>
    </w:p>
    <w:p>
      <w:pPr>
        <w:spacing w:line="276" w:lineRule="auto"/>
        <w:rPr>
          <w:rFonts w:hint="eastAsia" w:ascii="Times New Roman" w:hAnsi="宋体" w:eastAsia="宋体" w:cs="Times New Roman"/>
          <w:sz w:val="24"/>
        </w:rPr>
      </w:pPr>
      <w:r>
        <w:rPr>
          <w:rFonts w:hint="eastAsia" w:ascii="Times New Roman" w:hAnsi="宋体" w:eastAsia="宋体" w:cs="Times New Roman"/>
          <w:sz w:val="24"/>
        </w:rPr>
        <w:t>2. 数学模型、方差及灵敏系数</w:t>
      </w:r>
    </w:p>
    <w:p>
      <w:pPr>
        <w:spacing w:line="276" w:lineRule="auto"/>
        <w:rPr>
          <w:rFonts w:hint="eastAsia" w:ascii="Times New Roman" w:hAnsi="宋体" w:eastAsia="宋体" w:cs="Times New Roman"/>
          <w:sz w:val="24"/>
        </w:rPr>
      </w:pPr>
      <w:r>
        <w:rPr>
          <w:rFonts w:hint="eastAsia" w:ascii="Times New Roman" w:hAnsi="宋体" w:eastAsia="宋体" w:cs="Times New Roman"/>
          <w:sz w:val="24"/>
        </w:rPr>
        <w:t>2.1 数学模型：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</w:rPr>
          <m:t>y=x</m:t>
        </m:r>
      </m:oMath>
    </w:p>
    <w:p>
      <w:pPr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式中：</w:t>
      </w:r>
    </w:p>
    <w:p>
      <w:pPr>
        <w:spacing w:line="276" w:lineRule="auto"/>
        <w:rPr>
          <w:sz w:val="24"/>
        </w:rPr>
      </w:pPr>
      <w:r>
        <w:rPr>
          <w:sz w:val="24"/>
        </w:rPr>
        <w:t xml:space="preserve">        </w:t>
      </w:r>
      <w:r>
        <w:t xml:space="preserve">y </w:t>
      </w:r>
      <w:r>
        <w:rPr>
          <w:sz w:val="24"/>
        </w:rPr>
        <w:t>——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被测物体的温度，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t</w:t>
      </w:r>
      <w:r>
        <w:rPr>
          <w:rFonts w:hint="eastAsia" w:hAnsi="宋体"/>
          <w:sz w:val="24"/>
        </w:rPr>
        <w:t>；</w:t>
      </w:r>
    </w:p>
    <w:p>
      <w:pPr>
        <w:spacing w:line="276" w:lineRule="auto"/>
        <w:rPr>
          <w:rFonts w:ascii="Times New Roman" w:hAnsi="Times New Roman" w:eastAsia="宋体" w:cs="Times New Roman"/>
          <w:sz w:val="24"/>
        </w:rPr>
      </w:pPr>
      <w:r>
        <w:rPr>
          <w:sz w:val="24"/>
        </w:rPr>
        <w:t xml:space="preserve">    </w:t>
      </w:r>
      <w:r>
        <w:rPr>
          <w:rFonts w:ascii="Times New Roman" w:hAnsi="Times New Roman" w:eastAsia="宋体" w:cs="Times New Roman"/>
          <w:sz w:val="24"/>
        </w:rPr>
        <w:t xml:space="preserve">    </w:t>
      </w:r>
      <w:r>
        <w:rPr>
          <w:rFonts w:hint="eastAsia" w:ascii="Times New Roman" w:hAnsi="Times New Roman" w:eastAsia="宋体" w:cs="Times New Roman"/>
          <w:sz w:val="24"/>
        </w:rPr>
        <w:t xml:space="preserve">x </w:t>
      </w:r>
      <w:r>
        <w:rPr>
          <w:rFonts w:ascii="Times New Roman" w:hAnsi="Times New Roman" w:eastAsia="宋体" w:cs="Times New Roman"/>
          <w:sz w:val="24"/>
        </w:rPr>
        <w:t>—— 电子汽车衡显示的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重量t</w:t>
      </w:r>
      <w:r>
        <w:rPr>
          <w:rFonts w:hint="eastAsia" w:ascii="Times New Roman" w:hAnsi="Times New Roman" w:eastAsia="宋体" w:cs="Times New Roman"/>
          <w:sz w:val="24"/>
        </w:rPr>
        <w:t>；</w:t>
      </w:r>
    </w:p>
    <w:p>
      <w:pPr>
        <w:spacing w:line="276" w:lineRule="auto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2.2 方差</w:t>
      </w:r>
      <w:r>
        <w:rPr>
          <w:rFonts w:hAnsi="宋体"/>
          <w:b/>
          <w:sz w:val="24"/>
        </w:rPr>
        <w:t>及灵敏系数：输入量中各不确定来源之间互不相关，方差式为</w:t>
      </w:r>
    </w:p>
    <w:p>
      <w:pPr>
        <w:adjustRightInd w:val="0"/>
        <w:snapToGrid w:val="0"/>
        <w:ind w:firstLine="480"/>
        <w:rPr>
          <w:b/>
          <w:sz w:val="24"/>
        </w:rPr>
      </w:pPr>
      <w:r>
        <w:rPr>
          <w:b/>
          <w:position w:val="-24"/>
          <w:sz w:val="24"/>
        </w:rPr>
        <w:object>
          <v:shape id="_x0000_i1025" o:spt="75" type="#_x0000_t75" style="height:30.75pt;width:140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ind w:firstLine="602" w:firstLineChars="250"/>
        <w:rPr>
          <w:sz w:val="24"/>
        </w:rPr>
      </w:pPr>
      <w:r>
        <w:rPr>
          <w:rFonts w:hint="eastAsia"/>
          <w:b/>
          <w:sz w:val="24"/>
        </w:rPr>
        <w:t>其中 灵敏系数：</w:t>
      </w:r>
      <w:r>
        <w:rPr>
          <w:b/>
          <w:position w:val="-24"/>
          <w:sz w:val="24"/>
        </w:rPr>
        <w:object>
          <v:shape id="_x0000_i1026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rPr>
          <w:rFonts w:hint="eastAsia" w:ascii="Times New Roman" w:hAnsi="宋体" w:eastAsia="宋体" w:cs="Times New Roman"/>
          <w:sz w:val="24"/>
          <w:lang w:val="en-US" w:eastAsia="zh-CN"/>
        </w:rPr>
      </w:pPr>
      <w:r>
        <w:rPr>
          <w:rFonts w:hint="eastAsia" w:ascii="Times New Roman" w:hAnsi="宋体" w:eastAsia="宋体" w:cs="Times New Roman"/>
          <w:sz w:val="24"/>
          <w:lang w:val="en-US" w:eastAsia="zh-CN"/>
        </w:rPr>
        <w:t>3.大宗原（辅）材料出入库称重不确定度评定</w:t>
      </w:r>
    </w:p>
    <w:p>
      <w:pPr>
        <w:rPr>
          <w:rFonts w:hint="eastAsia" w:ascii="Times New Roman" w:hAnsi="宋体" w:eastAsia="宋体" w:cs="Times New Roman"/>
          <w:sz w:val="24"/>
          <w:lang w:val="en-US" w:eastAsia="zh-CN"/>
        </w:rPr>
      </w:pPr>
      <w:r>
        <w:rPr>
          <w:rFonts w:hint="eastAsia" w:ascii="Times New Roman" w:hAnsi="宋体" w:eastAsia="宋体" w:cs="Times New Roman"/>
          <w:sz w:val="24"/>
          <w:lang w:val="en-US" w:eastAsia="zh-CN"/>
        </w:rPr>
        <w:t>3.1电子汽车衡称重重复性引入的不确定度，用标准不确定度A类评定</w:t>
      </w:r>
    </w:p>
    <w:p>
      <w:pPr>
        <w:rPr>
          <w:rFonts w:hint="eastAsia" w:ascii="Times New Roman" w:hAnsi="宋体" w:eastAsia="宋体" w:cs="Times New Roman"/>
          <w:sz w:val="24"/>
          <w:lang w:val="en-US" w:eastAsia="zh-CN"/>
        </w:rPr>
      </w:pPr>
      <w:r>
        <w:rPr>
          <w:rFonts w:hint="eastAsia" w:ascii="Times New Roman" w:hAnsi="宋体" w:eastAsia="宋体" w:cs="Times New Roman"/>
          <w:sz w:val="24"/>
          <w:lang w:val="en-US" w:eastAsia="zh-CN"/>
        </w:rPr>
        <w:t>用电子汽车衡对载重93.1t货物重复称重10次，测量结果见表1。</w:t>
      </w:r>
    </w:p>
    <w:tbl>
      <w:tblPr>
        <w:tblStyle w:val="5"/>
        <w:tblW w:w="55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2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</w:t>
            </w:r>
            <w:r>
              <w:rPr>
                <w:rFonts w:hint="eastAsia"/>
                <w:i/>
                <w:kern w:val="0"/>
                <w:sz w:val="24"/>
              </w:rPr>
              <w:t>i</w:t>
            </w:r>
            <w:r>
              <w:rPr>
                <w:rFonts w:hint="eastAsia"/>
                <w:kern w:val="0"/>
                <w:sz w:val="24"/>
              </w:rPr>
              <w:t>次测量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重量t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sz w:val="24"/>
              </w:rPr>
              <w:t>93.1</w:t>
            </w:r>
            <w:r>
              <w:rPr>
                <w:rFonts w:hint="eastAsia"/>
                <w:sz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sz w:val="24"/>
              </w:rPr>
              <w:t>93.1</w:t>
            </w:r>
            <w:r>
              <w:rPr>
                <w:rFonts w:hint="eastAsia"/>
                <w:sz w:val="24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sz w:val="24"/>
              </w:rPr>
              <w:t>93.1</w:t>
            </w: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sz w:val="24"/>
              </w:rPr>
              <w:t>93.1</w:t>
            </w:r>
            <w:r>
              <w:rPr>
                <w:rFonts w:hint="eastAsia"/>
                <w:sz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sz w:val="24"/>
              </w:rPr>
              <w:t>93.1</w:t>
            </w:r>
            <w:r>
              <w:rPr>
                <w:rFonts w:hint="eastAsia"/>
                <w:sz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sz w:val="24"/>
              </w:rPr>
              <w:t>93.1</w:t>
            </w:r>
            <w:r>
              <w:rPr>
                <w:rFonts w:hint="eastAsia"/>
                <w:sz w:val="24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sz w:val="24"/>
              </w:rPr>
              <w:t>93.1</w:t>
            </w: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sz w:val="24"/>
              </w:rPr>
              <w:t>93.1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sz w:val="24"/>
              </w:rPr>
              <w:t>93.1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sz w:val="24"/>
              </w:rPr>
              <w:t>93.1</w:t>
            </w:r>
            <w:r>
              <w:rPr>
                <w:rFonts w:hint="eastAsia"/>
                <w:sz w:val="24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平均值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93.138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实验标准差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0.020 </w:t>
            </w:r>
          </w:p>
        </w:tc>
      </w:tr>
    </w:tbl>
    <w:p>
      <w:pPr>
        <w:ind w:firstLine="480" w:firstLineChars="200"/>
        <w:jc w:val="center"/>
        <w:rPr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表1 电子汽车衡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称重</w:t>
      </w:r>
      <w:r>
        <w:rPr>
          <w:rFonts w:hint="eastAsia"/>
          <w:sz w:val="24"/>
        </w:rPr>
        <w:t>重复性测量数据</w:t>
      </w:r>
    </w:p>
    <w:p>
      <w:pPr>
        <w:jc w:val="center"/>
        <w:rPr>
          <w:position w:val="-26"/>
          <w:sz w:val="24"/>
          <w:szCs w:val="22"/>
        </w:rPr>
      </w:pPr>
      <m:oMathPara>
        <m:oMath>
          <m:r>
            <w:rPr>
              <w:rFonts w:ascii="Cambria Math" w:hAnsi="Cambria Math"/>
              <w:sz w:val="24"/>
              <w:szCs w:val="22"/>
            </w:rPr>
            <m:t>s</m:t>
          </m:r>
          <m:d>
            <m:dPr>
              <m:ctrlPr>
                <w:rPr>
                  <w:rFonts w:ascii="Cambria Math" w:hAnsi="Cambria Math"/>
                  <w:sz w:val="24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2"/>
                    </w:rPr>
                    <m:t>x</m:t>
                  </m:r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e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i</m:t>
                  </m:r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sub>
              </m:sSub>
              <m:ctrlPr>
                <w:rPr>
                  <w:rFonts w:ascii="Cambria Math" w:hAnsi="Cambria Math"/>
                  <w:sz w:val="24"/>
                  <w:szCs w:val="22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2"/>
                </w:rPr>
              </m:ctrlPr>
            </m:radPr>
            <m:deg>
              <m:ctrlPr>
                <w:rPr>
                  <w:rFonts w:ascii="Cambria Math" w:hAnsi="Cambria Math"/>
                  <w:sz w:val="24"/>
                  <w:szCs w:val="22"/>
                </w:rPr>
              </m:ctrlPr>
            </m:deg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2"/>
                    </w:rPr>
                    <m:t>1</m:t>
                  </m:r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4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2"/>
                    </w:rPr>
                    <m:t>−1</m:t>
                  </m:r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i</m:t>
                  </m:r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sub>
                <m:sup>
                  <m:r>
                    <w:rPr>
                      <w:rFonts w:ascii="Cambria Math" w:hAnsi="Cambria Math"/>
                      <w:sz w:val="24"/>
                      <w:szCs w:val="22"/>
                    </w:rPr>
                    <m:t>n</m:t>
                  </m:r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2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sz w:val="24"/>
                                  <w:szCs w:val="22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2"/>
                                </w:rPr>
                                <m:t>i</m:t>
                              </m:r>
                              <m:ctrlPr>
                                <w:rPr>
                                  <w:rFonts w:ascii="Cambria Math" w:hAnsi="Cambria Math"/>
                                  <w:sz w:val="24"/>
                                  <w:szCs w:val="22"/>
                                </w:rPr>
                              </m:ctrlP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2"/>
                            </w:rPr>
                            <m:t>−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sz w:val="24"/>
                                  <w:szCs w:val="2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2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sz w:val="24"/>
                                  <w:szCs w:val="22"/>
                                </w:rPr>
                              </m:ctrlPr>
                            </m:e>
                          </m:acc>
                          <m:ctrlPr>
                            <w:rPr>
                              <w:rFonts w:ascii="Cambria Math" w:hAnsi="Cambria Math"/>
                              <w:sz w:val="24"/>
                              <w:szCs w:val="22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sz w:val="24"/>
                          <w:szCs w:val="22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2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24"/>
                          <w:szCs w:val="22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e>
              </m:nary>
              <m:ctrlPr>
                <w:rPr>
                  <w:rFonts w:ascii="Cambria Math" w:hAnsi="Cambria Math"/>
                  <w:sz w:val="24"/>
                  <w:szCs w:val="22"/>
                </w:rPr>
              </m:ctrlPr>
            </m:e>
          </m:rad>
        </m:oMath>
      </m:oMathPara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s=</w:t>
      </w:r>
      <w:r>
        <w:rPr>
          <w:rFonts w:hint="eastAsia"/>
          <w:kern w:val="0"/>
          <w:sz w:val="24"/>
        </w:rPr>
        <w:t>0.020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t，s=20kg</w:t>
      </w:r>
    </w:p>
    <w:p>
      <w:pPr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实际工作中只测1次，故A类标准不确定度分量</w:t>
      </w:r>
      <w:r>
        <w:rPr>
          <w:rFonts w:hint="eastAsia" w:ascii="Cambria Math" w:hAnsi="Cambria Math"/>
          <w:sz w:val="24"/>
        </w:rPr>
        <w:t xml:space="preserve"> </w:t>
      </w:r>
      <w:r>
        <w:rPr>
          <w:rFonts w:hint="eastAsia" w:ascii="Cambria Math" w:hAnsi="Cambria Math"/>
          <w:position w:val="-28"/>
          <w:sz w:val="24"/>
        </w:rPr>
        <w:object>
          <v:shape id="_x0000_i1027" o:spt="75" alt="" type="#_x0000_t75" style="height:33pt;width:132.3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rPr>
          <w:rFonts w:ascii="宋体" w:hAnsi="宋体"/>
          <w:sz w:val="24"/>
        </w:rPr>
      </w:pPr>
      <w:r>
        <w:rPr>
          <w:rFonts w:hint="eastAsia"/>
          <w:b/>
          <w:sz w:val="24"/>
        </w:rPr>
        <w:t>3.2</w:t>
      </w:r>
      <w:r>
        <w:rPr>
          <w:rFonts w:hint="eastAsia" w:ascii="宋体" w:hAnsi="宋体"/>
          <w:b/>
          <w:bCs/>
          <w:sz w:val="24"/>
        </w:rPr>
        <w:t>由</w:t>
      </w:r>
      <w:r>
        <w:rPr>
          <w:rFonts w:hint="eastAsia" w:ascii="Times New Roman" w:hAnsi="Times New Roman" w:eastAsia="宋体" w:cs="Times New Roman"/>
          <w:sz w:val="24"/>
        </w:rPr>
        <w:t>电子汽车衡</w:t>
      </w:r>
      <w:r>
        <w:rPr>
          <w:rFonts w:hint="eastAsia" w:ascii="宋体" w:hAnsi="宋体"/>
          <w:b/>
          <w:bCs/>
          <w:sz w:val="24"/>
        </w:rPr>
        <w:t>误差引入的不确定度，用标准不确定度B类评定</w:t>
      </w:r>
    </w:p>
    <w:p>
      <w:pPr>
        <w:ind w:firstLine="480" w:firstLineChars="200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</w:rPr>
        <w:t>电子汽车衡</w:t>
      </w:r>
      <w:r>
        <w:rPr>
          <w:rFonts w:hint="eastAsia" w:ascii="宋体" w:hAnsi="宋体"/>
          <w:sz w:val="24"/>
        </w:rPr>
        <w:t>的最大允许误差</w:t>
      </w:r>
      <w:r>
        <w:rPr>
          <w:rFonts w:hint="default" w:ascii="Calibri" w:hAnsi="Calibri" w:cs="Calibri"/>
          <w:szCs w:val="21"/>
          <w:vertAlign w:val="baseline"/>
          <w:lang w:val="en-US" w:eastAsia="zh-CN"/>
        </w:rPr>
        <w:t>±</w:t>
      </w:r>
      <w:r>
        <w:rPr>
          <w:rFonts w:hint="eastAsia" w:ascii="Calibri" w:hAnsi="Calibri" w:cs="Calibri"/>
          <w:szCs w:val="21"/>
          <w:vertAlign w:val="baseline"/>
          <w:lang w:val="en-US" w:eastAsia="zh-CN"/>
        </w:rPr>
        <w:t>50kg</w:t>
      </w:r>
      <w:r>
        <w:rPr>
          <w:rFonts w:hint="eastAsia" w:ascii="宋体" w:hAnsi="宋体"/>
          <w:sz w:val="24"/>
        </w:rPr>
        <w:t>，估计均值分布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position w:val="-28"/>
          <w:sz w:val="28"/>
          <w:szCs w:val="28"/>
        </w:rPr>
        <w:object>
          <v:shape id="_x0000_i1028" o:spt="75" type="#_x0000_t75" style="height:33pt;width:135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5"/>
        <w:tblW w:w="8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387"/>
        <w:gridCol w:w="1892"/>
        <w:gridCol w:w="11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不确定度来源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标准不确定度分量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灵敏系数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ub>
                </m:sSub>
                <m:d>
                  <m:dPr>
                    <m:begChr m:val="（"/>
                    <m:endChr m:val="）"/>
                    <m:ctrlPr>
                      <w:rPr>
                        <w:rFonts w:ascii="Cambria Math" w:hAnsi="Cambria Math"/>
                        <w:kern w:val="0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kern w:val="0"/>
                        <w:sz w:val="24"/>
                      </w:rPr>
                    </m:ctrlPr>
                  </m:e>
                </m:d>
              </m:oMath>
            </m:oMathPara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电子汽车衡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称重</w:t>
            </w:r>
            <w:r>
              <w:rPr>
                <w:rFonts w:hint="eastAsia" w:ascii="宋体" w:hAnsi="宋体"/>
                <w:kern w:val="0"/>
                <w:sz w:val="24"/>
              </w:rPr>
              <w:t>重复性引入的不确定度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20kg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ub>
                </m:sSub>
                <m:d>
                  <m:dPr>
                    <m:begChr m:val="（"/>
                    <m:endChr m:val="）"/>
                    <m:ctrlPr>
                      <w:rPr>
                        <w:rFonts w:ascii="Cambria Math" w:hAnsi="Cambria Math"/>
                        <w:kern w:val="0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kern w:val="0"/>
                        <w:sz w:val="24"/>
                      </w:rPr>
                    </m:ctrlPr>
                  </m:e>
                </m:d>
              </m:oMath>
            </m:oMathPara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电子汽车衡</w:t>
            </w:r>
            <w:r>
              <w:rPr>
                <w:rFonts w:hint="eastAsia" w:ascii="宋体" w:hAnsi="宋体"/>
                <w:sz w:val="24"/>
              </w:rPr>
              <w:t>的最大允许误差</w:t>
            </w:r>
            <w:r>
              <w:rPr>
                <w:rFonts w:hint="eastAsia" w:ascii="宋体" w:hAnsi="宋体"/>
                <w:kern w:val="0"/>
                <w:sz w:val="24"/>
              </w:rPr>
              <w:t>引入的不确定度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28.86kg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/>
          <w:b/>
          <w:sz w:val="24"/>
        </w:rPr>
        <w:t>3.3</w:t>
      </w:r>
      <w:r>
        <w:rPr>
          <w:rFonts w:hint="eastAsia" w:ascii="宋体" w:hAnsi="宋体"/>
          <w:b/>
          <w:bCs/>
          <w:sz w:val="24"/>
        </w:rPr>
        <w:t>各不确定度分量汇总计算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各输入量估计值彼此不相关，将各不确定度分量汇总，计算出标准不确定度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c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rFonts w:hint="eastAsia" w:ascii="宋体" w:hAnsi="宋体"/>
          <w:sz w:val="24"/>
        </w:rPr>
        <w:t>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3.4合成标准不确定度估计</w:t>
      </w:r>
      <w:r>
        <w:rPr>
          <w:rFonts w:hint="eastAsia" w:ascii="宋体" w:hAnsi="宋体"/>
          <w:sz w:val="24"/>
        </w:rPr>
        <w:t>：</w:t>
      </w:r>
    </w:p>
    <w:p>
      <w:pPr>
        <w:jc w:val="center"/>
        <w:rPr>
          <w:rFonts w:ascii="Cambria Math" w:hAnsi="Cambria Math"/>
          <w:sz w:val="24"/>
        </w:rPr>
      </w:pPr>
    </w:p>
    <w:p>
      <w:pPr>
        <w:jc w:val="center"/>
        <w:rPr>
          <w:rFonts w:ascii="Cambria Math" w:hAnsi="Cambria Math"/>
          <w:i/>
          <w:sz w:val="24"/>
        </w:rPr>
      </w:pPr>
      <w:r>
        <w:rPr>
          <w:rFonts w:hint="eastAsia" w:ascii="Cambria Math" w:hAnsi="Cambria Math"/>
          <w:i/>
          <w:position w:val="-14"/>
          <w:sz w:val="24"/>
        </w:rPr>
        <w:object>
          <v:shape id="_x0000_i1029" o:spt="75" alt="" type="#_x0000_t75" style="height:24pt;width:247.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rPr>
          <w:rFonts w:ascii="宋体" w:hAnsi="宋体"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扩展</w:t>
      </w:r>
      <w:r>
        <w:rPr>
          <w:b/>
          <w:sz w:val="24"/>
        </w:rPr>
        <w:t>不</w:t>
      </w:r>
      <w:r>
        <w:rPr>
          <w:rFonts w:hint="eastAsia"/>
          <w:b/>
          <w:sz w:val="24"/>
        </w:rPr>
        <w:t>确定度</w:t>
      </w:r>
    </w:p>
    <w:p>
      <w:pPr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sz w:val="24"/>
        </w:rPr>
        <w:t>k</w:t>
      </w:r>
      <w:r>
        <w:rPr>
          <w:rFonts w:hint="eastAsia" w:ascii="宋体" w:hAnsi="宋体"/>
          <w:sz w:val="24"/>
        </w:rPr>
        <w:t>=2，则扩展不确定度：</w:t>
      </w:r>
    </w:p>
    <w:p>
      <w:pPr>
        <w:jc w:val="center"/>
        <w:rPr>
          <w:rFonts w:hint="eastAsia" w:ascii="Cambria Math" w:hAnsi="Cambria Math" w:eastAsia="宋体"/>
          <w:i/>
          <w:position w:val="-12"/>
          <w:sz w:val="24"/>
          <w:lang w:val="en-US" w:eastAsia="zh-CN"/>
        </w:rPr>
      </w:pPr>
      <w:r>
        <w:rPr>
          <w:rFonts w:ascii="Cambria Math" w:hAnsi="Cambria Math"/>
          <w:i/>
          <w:position w:val="-12"/>
          <w:sz w:val="24"/>
        </w:rPr>
        <w:object>
          <v:shape id="_x0000_i1033" o:spt="75" alt="" type="#_x0000_t75" style="height:18pt;width:182.4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3" DrawAspect="Content" ObjectID="_1468075730" r:id="rId14">
            <o:LockedField>false</o:LockedField>
          </o:OLEObject>
        </w:object>
      </w:r>
    </w:p>
    <w:p>
      <w:pPr>
        <w:rPr>
          <w:rFonts w:hint="eastAsia" w:ascii="宋体" w:hAnsi="宋体"/>
          <w:b/>
          <w:position w:val="-12"/>
          <w:sz w:val="24"/>
        </w:rPr>
      </w:pPr>
      <w:r>
        <w:rPr>
          <w:rFonts w:hint="eastAsia" w:ascii="宋体" w:hAnsi="宋体"/>
          <w:b/>
          <w:position w:val="-12"/>
          <w:sz w:val="24"/>
        </w:rPr>
        <w:t>5.结果</w:t>
      </w:r>
      <w:r>
        <w:rPr>
          <w:rFonts w:ascii="宋体" w:hAnsi="宋体"/>
          <w:b/>
          <w:position w:val="-12"/>
          <w:sz w:val="24"/>
        </w:rPr>
        <w:t>报告</w:t>
      </w:r>
    </w:p>
    <w:p>
      <w:pPr>
        <w:jc w:val="center"/>
        <w:rPr>
          <w:rFonts w:ascii="宋体" w:hAnsi="宋体"/>
          <w:b/>
          <w:sz w:val="2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345440</wp:posOffset>
            </wp:positionV>
            <wp:extent cx="1319530" cy="11811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13195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position w:val="-10"/>
        </w:rPr>
        <w:object>
          <v:shape id="_x0000_i1031" o:spt="75" alt="" type="#_x0000_t75" style="height:15.75pt;width:197.4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b/>
          <w:i/>
        </w:rPr>
        <w:t xml:space="preserve">    </w:t>
      </w:r>
      <w:r>
        <w:rPr>
          <w:rFonts w:ascii="宋体" w:hAnsi="宋体"/>
          <w:b/>
          <w:position w:val="-6"/>
          <w:sz w:val="24"/>
        </w:rPr>
        <w:object>
          <v:shape id="_x0000_i1032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Cambria Math" w:hAnsi="Cambria Math"/>
          <w:position w:val="-12"/>
          <w:sz w:val="24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评</w:t>
      </w:r>
      <w:bookmarkStart w:id="0" w:name="_GoBack"/>
      <w:bookmarkEnd w:id="0"/>
      <w:r>
        <w:rPr>
          <w:rFonts w:hint="eastAsia"/>
          <w:lang w:val="en-US" w:eastAsia="zh-CN"/>
        </w:rPr>
        <w:t xml:space="preserve">定人：                              2022.6.15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26"/>
    <w:rsid w:val="00026D07"/>
    <w:rsid w:val="0005257E"/>
    <w:rsid w:val="000639FB"/>
    <w:rsid w:val="000B7208"/>
    <w:rsid w:val="001137C4"/>
    <w:rsid w:val="00122955"/>
    <w:rsid w:val="0013539A"/>
    <w:rsid w:val="00172EA1"/>
    <w:rsid w:val="001E5742"/>
    <w:rsid w:val="00255873"/>
    <w:rsid w:val="002D2817"/>
    <w:rsid w:val="00313D9F"/>
    <w:rsid w:val="003776B1"/>
    <w:rsid w:val="00594626"/>
    <w:rsid w:val="005B656A"/>
    <w:rsid w:val="005F0659"/>
    <w:rsid w:val="005F6583"/>
    <w:rsid w:val="00652C8C"/>
    <w:rsid w:val="00691C18"/>
    <w:rsid w:val="006A17C5"/>
    <w:rsid w:val="006D6F55"/>
    <w:rsid w:val="006F3B8D"/>
    <w:rsid w:val="00730422"/>
    <w:rsid w:val="007F699B"/>
    <w:rsid w:val="00801ACF"/>
    <w:rsid w:val="00887B69"/>
    <w:rsid w:val="0089043F"/>
    <w:rsid w:val="00A15EEA"/>
    <w:rsid w:val="00A21D5E"/>
    <w:rsid w:val="00A73AA1"/>
    <w:rsid w:val="00AC604A"/>
    <w:rsid w:val="00AD4B56"/>
    <w:rsid w:val="00B473F9"/>
    <w:rsid w:val="00B9458A"/>
    <w:rsid w:val="00BF07E5"/>
    <w:rsid w:val="00C7200C"/>
    <w:rsid w:val="00D852F6"/>
    <w:rsid w:val="00D97B34"/>
    <w:rsid w:val="00E30269"/>
    <w:rsid w:val="00E84556"/>
    <w:rsid w:val="00EB533E"/>
    <w:rsid w:val="00EE0976"/>
    <w:rsid w:val="00FD6501"/>
    <w:rsid w:val="08214F7C"/>
    <w:rsid w:val="0A9B473D"/>
    <w:rsid w:val="13643908"/>
    <w:rsid w:val="14BC6A53"/>
    <w:rsid w:val="14CF6E57"/>
    <w:rsid w:val="15FC47E8"/>
    <w:rsid w:val="16330451"/>
    <w:rsid w:val="16565761"/>
    <w:rsid w:val="1AFD3DF1"/>
    <w:rsid w:val="1CF92AC4"/>
    <w:rsid w:val="205B441E"/>
    <w:rsid w:val="22461D4D"/>
    <w:rsid w:val="227F5BEC"/>
    <w:rsid w:val="26F63956"/>
    <w:rsid w:val="273D65E4"/>
    <w:rsid w:val="277713A1"/>
    <w:rsid w:val="2BBE7666"/>
    <w:rsid w:val="2E035D50"/>
    <w:rsid w:val="31864B98"/>
    <w:rsid w:val="37F42510"/>
    <w:rsid w:val="3977236A"/>
    <w:rsid w:val="3ADD25A0"/>
    <w:rsid w:val="3C2B5394"/>
    <w:rsid w:val="3C2D0F00"/>
    <w:rsid w:val="48DF5D79"/>
    <w:rsid w:val="496A2D1E"/>
    <w:rsid w:val="4DC50C99"/>
    <w:rsid w:val="50C55DCB"/>
    <w:rsid w:val="52682B74"/>
    <w:rsid w:val="54DD5B51"/>
    <w:rsid w:val="56900310"/>
    <w:rsid w:val="5C6F536B"/>
    <w:rsid w:val="5DDE6123"/>
    <w:rsid w:val="6036734B"/>
    <w:rsid w:val="674B71F7"/>
    <w:rsid w:val="68F62C2C"/>
    <w:rsid w:val="6A96729C"/>
    <w:rsid w:val="6FC8436F"/>
    <w:rsid w:val="71A53901"/>
    <w:rsid w:val="73227025"/>
    <w:rsid w:val="747A4BAA"/>
    <w:rsid w:val="7ABA0F59"/>
    <w:rsid w:val="7D341D69"/>
    <w:rsid w:val="7E9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jpeg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191</Words>
  <Characters>1091</Characters>
  <Lines>9</Lines>
  <Paragraphs>2</Paragraphs>
  <TotalTime>1</TotalTime>
  <ScaleCrop>false</ScaleCrop>
  <LinksUpToDate>false</LinksUpToDate>
  <CharactersWithSpaces>1280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2019-10-11T02:27:00Z</dcterms:created>
  <dc:creator>Administrator</dc:creator>
  <cp:lastModifiedBy>win8</cp:lastModifiedBy>
  <dcterms:modified xsi:type="dcterms:W3CDTF">2022-11-23T02:14:54Z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E7C3B1B8F70741C09525D3EC498ACA97</vt:lpwstr>
  </property>
</Properties>
</file>