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山东华冠能源技术有限公司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0127-2018-2022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0127-2018-2022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934"/>
        <w:gridCol w:w="165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3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山东华冠能源技术有限公司</w:t>
            </w:r>
            <w:bookmarkEnd w:id="4"/>
          </w:p>
        </w:tc>
        <w:tc>
          <w:tcPr>
            <w:tcW w:w="1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794"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季珊珊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3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ISC-2018-0330</w:t>
            </w:r>
            <w:bookmarkEnd w:id="5"/>
          </w:p>
        </w:tc>
        <w:tc>
          <w:tcPr>
            <w:tcW w:w="1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79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2023-11-14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3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7" w:name="监督次数"/>
            <w:r>
              <w:rPr>
                <w:rFonts w:cs="宋体" w:asciiTheme="minorEastAsia" w:hAnsiTheme="minorEastAsia"/>
                <w:kern w:val="0"/>
                <w:szCs w:val="21"/>
              </w:rPr>
              <w:t>四</w:t>
            </w:r>
            <w:bookmarkEnd w:id="7"/>
          </w:p>
        </w:tc>
        <w:tc>
          <w:tcPr>
            <w:tcW w:w="1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794"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2022年11月11日下午</w:t>
            </w:r>
            <w:bookmarkEnd w:id="8"/>
            <w:r>
              <w:rPr>
                <w:rFonts w:hint="eastAsia" w:cs="宋体" w:asciiTheme="minorEastAsia" w:hAnsiTheme="minorEastAsia"/>
                <w:kern w:val="0"/>
                <w:szCs w:val="21"/>
                <w:lang w:val="en-US" w:eastAsia="zh-CN"/>
              </w:rPr>
              <w:t>至2022年11月12日上午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2"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34" w:type="dxa"/>
            <w:vAlign w:val="center"/>
          </w:tcPr>
          <w:p>
            <w:pPr>
              <w:tabs>
                <w:tab w:val="left" w:pos="880"/>
              </w:tabs>
              <w:autoSpaceDE w:val="0"/>
              <w:autoSpaceDN w:val="0"/>
              <w:adjustRightInd w:val="0"/>
              <w:spacing w:before="35" w:line="360" w:lineRule="auto"/>
              <w:ind w:right="161"/>
              <w:jc w:val="both"/>
              <w:rPr>
                <w:rFonts w:hint="default" w:ascii="Times New Roman" w:hAnsi="Times New Roman" w:eastAsia="宋体" w:cs="Times New Roman"/>
                <w:szCs w:val="21"/>
              </w:rPr>
            </w:pPr>
            <w:r>
              <w:rPr>
                <w:rFonts w:hint="default" w:ascii="Times New Roman" w:hAnsi="Times New Roman" w:eastAsia="宋体" w:cs="Times New Roman"/>
                <w:szCs w:val="21"/>
              </w:rPr>
              <w:t>刘复荣ISC[S]0376</w:t>
            </w:r>
          </w:p>
          <w:p>
            <w:pPr>
              <w:tabs>
                <w:tab w:val="left" w:pos="880"/>
              </w:tabs>
              <w:autoSpaceDE w:val="0"/>
              <w:autoSpaceDN w:val="0"/>
              <w:adjustRightInd w:val="0"/>
              <w:spacing w:before="35" w:line="276" w:lineRule="auto"/>
              <w:ind w:right="161" w:rightChars="0"/>
              <w:jc w:val="left"/>
              <w:rPr>
                <w:rFonts w:hint="default" w:ascii="Times New Roman" w:hAnsi="Times New Roman" w:eastAsia="宋体" w:cs="Times New Roman"/>
                <w:kern w:val="0"/>
                <w:szCs w:val="21"/>
              </w:rPr>
            </w:pPr>
            <w:r>
              <w:rPr>
                <w:rFonts w:hint="eastAsia" w:ascii="宋体" w:hAnsi="宋体"/>
                <w:sz w:val="21"/>
                <w:szCs w:val="21"/>
                <w:lang w:val="en-US" w:eastAsia="zh-CN"/>
              </w:rPr>
              <w:t>韩永师</w:t>
            </w:r>
            <w:r>
              <w:rPr>
                <w:rFonts w:hint="default" w:ascii="Times New Roman" w:hAnsi="Times New Roman" w:cs="Times New Roman"/>
                <w:color w:val="000000"/>
                <w:szCs w:val="21"/>
              </w:rPr>
              <w:t>ISC[S]0074</w:t>
            </w:r>
          </w:p>
        </w:tc>
        <w:tc>
          <w:tcPr>
            <w:tcW w:w="1650" w:type="dxa"/>
            <w:vAlign w:val="center"/>
          </w:tcPr>
          <w:p>
            <w:pPr>
              <w:tabs>
                <w:tab w:val="left" w:pos="880"/>
              </w:tabs>
              <w:autoSpaceDE w:val="0"/>
              <w:autoSpaceDN w:val="0"/>
              <w:adjustRightInd w:val="0"/>
              <w:spacing w:before="35" w:line="276" w:lineRule="auto"/>
              <w:ind w:right="161" w:rightChars="0"/>
              <w:jc w:val="left"/>
              <w:rPr>
                <w:rFonts w:hint="default" w:ascii="Times New Roman" w:hAnsi="Times New Roman" w:eastAsia="宋体" w:cs="Times New Roman"/>
                <w:kern w:val="0"/>
                <w:szCs w:val="21"/>
              </w:rPr>
            </w:pPr>
            <w:r>
              <w:rPr>
                <w:rFonts w:hint="default" w:ascii="Times New Roman" w:hAnsi="Times New Roman" w:eastAsia="宋体" w:cs="Times New Roman"/>
                <w:bCs/>
                <w:kern w:val="0"/>
                <w:szCs w:val="21"/>
              </w:rPr>
              <w:t>监督审核涉及的区域或部门</w:t>
            </w:r>
          </w:p>
        </w:tc>
        <w:tc>
          <w:tcPr>
            <w:tcW w:w="2794" w:type="dxa"/>
            <w:vAlign w:val="center"/>
          </w:tcPr>
          <w:p>
            <w:pPr>
              <w:jc w:val="left"/>
              <w:rPr>
                <w:rFonts w:hint="default" w:ascii="Times New Roman" w:hAnsi="Times New Roman" w:eastAsia="宋体" w:cs="Times New Roman"/>
                <w:kern w:val="0"/>
                <w:szCs w:val="21"/>
              </w:rPr>
            </w:pPr>
            <w:r>
              <w:rPr>
                <w:rFonts w:hint="default" w:ascii="Times New Roman" w:hAnsi="Times New Roman" w:eastAsia="宋体" w:cs="Times New Roman"/>
                <w:color w:val="auto"/>
                <w:szCs w:val="21"/>
                <w:lang w:val="en-US" w:eastAsia="zh-CN"/>
              </w:rPr>
              <w:t>管理层、</w:t>
            </w:r>
            <w:r>
              <w:rPr>
                <w:rFonts w:hint="eastAsia" w:ascii="Times New Roman" w:hAnsi="Times New Roman" w:eastAsia="宋体" w:cs="Times New Roman"/>
                <w:color w:val="auto"/>
                <w:szCs w:val="21"/>
                <w:lang w:val="en-US" w:eastAsia="zh-CN"/>
              </w:rPr>
              <w:t>生产技术</w:t>
            </w:r>
            <w:r>
              <w:rPr>
                <w:rFonts w:hint="default" w:ascii="Times New Roman" w:hAnsi="Times New Roman" w:eastAsia="宋体" w:cs="Times New Roman"/>
                <w:color w:val="auto"/>
                <w:szCs w:val="21"/>
                <w:lang w:val="en-US" w:eastAsia="zh-CN"/>
              </w:rPr>
              <w:t>部、</w:t>
            </w:r>
            <w:r>
              <w:rPr>
                <w:rFonts w:hint="eastAsia" w:ascii="Times New Roman" w:hAnsi="Times New Roman" w:eastAsia="宋体" w:cs="Times New Roman"/>
                <w:color w:val="auto"/>
                <w:szCs w:val="21"/>
                <w:lang w:val="en-US" w:eastAsia="zh-CN"/>
              </w:rPr>
              <w:t>技术服务部、</w:t>
            </w:r>
            <w:r>
              <w:rPr>
                <w:rFonts w:hint="default" w:ascii="Times New Roman" w:hAnsi="Times New Roman" w:eastAsia="宋体" w:cs="Times New Roman"/>
                <w:color w:val="auto"/>
                <w:szCs w:val="21"/>
                <w:lang w:val="en-US" w:eastAsia="zh-CN"/>
              </w:rPr>
              <w:t>综合部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
          <w:bCs w:val="0"/>
          <w:kern w:val="0"/>
          <w:szCs w:val="21"/>
        </w:rPr>
        <w:t>1.</w:t>
      </w:r>
      <w:r>
        <w:rPr>
          <w:rFonts w:cs="宋体" w:asciiTheme="minorEastAsia" w:hAnsiTheme="minorEastAsia"/>
          <w:b/>
          <w:bCs w:val="0"/>
          <w:kern w:val="0"/>
          <w:szCs w:val="21"/>
        </w:rPr>
        <w:t>一年内违反法律法规</w:t>
      </w:r>
      <w:r>
        <w:rPr>
          <w:rFonts w:hint="eastAsia" w:cs="宋体" w:asciiTheme="minorEastAsia" w:hAnsiTheme="minorEastAsia"/>
          <w:b/>
          <w:bCs w:val="0"/>
          <w:kern w:val="0"/>
          <w:szCs w:val="21"/>
        </w:rPr>
        <w:t>或</w:t>
      </w:r>
      <w:r>
        <w:rPr>
          <w:rFonts w:cs="宋体" w:asciiTheme="minorEastAsia" w:hAnsiTheme="minorEastAsia"/>
          <w:b/>
          <w:bCs w:val="0"/>
          <w:kern w:val="0"/>
          <w:szCs w:val="21"/>
        </w:rPr>
        <w:t>重大事故的情况：</w:t>
      </w:r>
    </w:p>
    <w:p>
      <w:pPr>
        <w:ind w:firstLine="420" w:firstLineChars="200"/>
        <w:rPr>
          <w:rFonts w:ascii="宋体" w:hAnsi="宋体"/>
          <w:color w:val="auto"/>
          <w:kern w:val="24"/>
          <w:szCs w:val="21"/>
        </w:rPr>
      </w:pPr>
      <w:r>
        <w:rPr>
          <w:rFonts w:hint="eastAsia" w:ascii="宋体" w:hAnsi="宋体" w:cs="宋体"/>
          <w:bCs/>
          <w:color w:val="auto"/>
          <w:kern w:val="0"/>
          <w:szCs w:val="21"/>
          <w:lang w:val="en-US" w:eastAsia="zh-CN"/>
        </w:rPr>
        <w:t>上年度监督审核至今</w:t>
      </w:r>
      <w:r>
        <w:rPr>
          <w:rFonts w:hint="eastAsia" w:ascii="宋体" w:hAnsi="宋体" w:cs="宋体"/>
          <w:bCs/>
          <w:color w:val="auto"/>
          <w:kern w:val="0"/>
          <w:szCs w:val="21"/>
        </w:rPr>
        <w:t>，</w:t>
      </w:r>
      <w:r>
        <w:rPr>
          <w:rFonts w:hint="eastAsia" w:ascii="宋体" w:hAnsi="宋体" w:cs="宋体"/>
          <w:bCs/>
          <w:color w:val="auto"/>
          <w:kern w:val="0"/>
          <w:szCs w:val="21"/>
          <w:lang w:val="en-US" w:eastAsia="zh-CN"/>
        </w:rPr>
        <w:t>企业</w:t>
      </w:r>
      <w:r>
        <w:rPr>
          <w:rFonts w:hint="eastAsia" w:ascii="宋体" w:hAnsi="宋体" w:cs="宋体"/>
          <w:bCs/>
          <w:color w:val="auto"/>
          <w:kern w:val="0"/>
          <w:szCs w:val="21"/>
        </w:rPr>
        <w:t>日常运行中生产经营平稳，企业未有违反法律、法规问题和产品质量问题的投诉或重大质量事故发生。企业营业执照等资质未发生变化。</w:t>
      </w:r>
      <w:r>
        <w:rPr>
          <w:rFonts w:hint="eastAsia" w:ascii="宋体" w:hAnsi="宋体"/>
          <w:color w:val="auto"/>
          <w:kern w:val="24"/>
          <w:szCs w:val="21"/>
        </w:rPr>
        <w:t>公司一年来重点做了以下工作：</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firstLineChars="200"/>
        <w:jc w:val="both"/>
        <w:textAlignment w:val="auto"/>
        <w:rPr>
          <w:rFonts w:hint="eastAsia" w:ascii="宋体" w:hAnsi="宋体" w:cs="宋体"/>
          <w:bCs/>
          <w:color w:val="auto"/>
          <w:kern w:val="0"/>
          <w:szCs w:val="21"/>
        </w:rPr>
      </w:pPr>
      <w:r>
        <w:rPr>
          <w:rFonts w:hint="default" w:ascii="Times New Roman" w:hAnsi="Times New Roman" w:eastAsia="宋体" w:cs="Times New Roman"/>
          <w:bCs/>
          <w:color w:val="auto"/>
          <w:kern w:val="0"/>
          <w:sz w:val="21"/>
          <w:szCs w:val="21"/>
        </w:rPr>
        <w:t>为有效评</w:t>
      </w:r>
      <w:r>
        <w:rPr>
          <w:rFonts w:hint="default" w:ascii="Times New Roman" w:hAnsi="Times New Roman" w:eastAsia="宋体" w:cs="Times New Roman"/>
          <w:bCs/>
          <w:color w:val="auto"/>
          <w:kern w:val="0"/>
          <w:sz w:val="21"/>
          <w:szCs w:val="21"/>
          <w:u w:val="none"/>
        </w:rPr>
        <w:t>价</w:t>
      </w:r>
      <w:r>
        <w:rPr>
          <w:rFonts w:cs="宋体" w:asciiTheme="minorEastAsia" w:hAnsiTheme="minorEastAsia"/>
          <w:kern w:val="0"/>
          <w:szCs w:val="21"/>
        </w:rPr>
        <w:t>山东华冠能源技术有限公司</w:t>
      </w:r>
      <w:r>
        <w:rPr>
          <w:rFonts w:hint="default" w:ascii="Times New Roman" w:hAnsi="Times New Roman" w:eastAsia="宋体" w:cs="Times New Roman"/>
          <w:bCs/>
          <w:color w:val="auto"/>
          <w:kern w:val="0"/>
          <w:sz w:val="21"/>
          <w:szCs w:val="21"/>
          <w:u w:val="none"/>
        </w:rPr>
        <w:t>测</w:t>
      </w:r>
      <w:r>
        <w:rPr>
          <w:rFonts w:hint="default" w:ascii="Times New Roman" w:hAnsi="Times New Roman" w:eastAsia="宋体" w:cs="Times New Roman"/>
          <w:bCs/>
          <w:color w:val="auto"/>
          <w:kern w:val="0"/>
          <w:sz w:val="21"/>
          <w:szCs w:val="21"/>
        </w:rPr>
        <w:t>量管理体系</w:t>
      </w:r>
      <w:r>
        <w:rPr>
          <w:rFonts w:hint="default" w:ascii="Times New Roman" w:hAnsi="Times New Roman" w:eastAsia="宋体" w:cs="Times New Roman"/>
          <w:bCs/>
          <w:color w:val="auto"/>
          <w:kern w:val="0"/>
          <w:sz w:val="21"/>
          <w:szCs w:val="21"/>
          <w:lang w:val="en-US" w:eastAsia="zh-CN"/>
        </w:rPr>
        <w:t>自</w:t>
      </w:r>
      <w:r>
        <w:rPr>
          <w:rFonts w:hint="eastAsia" w:ascii="Times New Roman" w:hAnsi="Times New Roman" w:eastAsia="宋体" w:cs="Times New Roman"/>
          <w:bCs/>
          <w:color w:val="auto"/>
          <w:kern w:val="0"/>
          <w:sz w:val="21"/>
          <w:szCs w:val="21"/>
          <w:lang w:val="en-US" w:eastAsia="zh-CN"/>
        </w:rPr>
        <w:t>上年度监督审核</w:t>
      </w:r>
      <w:r>
        <w:rPr>
          <w:rFonts w:hint="default" w:ascii="Times New Roman" w:hAnsi="Times New Roman" w:eastAsia="宋体" w:cs="Times New Roman"/>
          <w:bCs/>
          <w:color w:val="auto"/>
          <w:kern w:val="0"/>
          <w:sz w:val="21"/>
          <w:szCs w:val="21"/>
          <w:lang w:val="en-US" w:eastAsia="zh-CN"/>
        </w:rPr>
        <w:t>后</w:t>
      </w:r>
      <w:r>
        <w:rPr>
          <w:rFonts w:hint="default" w:ascii="Times New Roman" w:hAnsi="Times New Roman" w:eastAsia="宋体" w:cs="Times New Roman"/>
          <w:bCs/>
          <w:color w:val="auto"/>
          <w:kern w:val="0"/>
          <w:sz w:val="21"/>
          <w:szCs w:val="21"/>
        </w:rPr>
        <w:t>一年以来</w:t>
      </w:r>
      <w:r>
        <w:rPr>
          <w:rFonts w:hint="default" w:ascii="Times New Roman" w:hAnsi="Times New Roman" w:eastAsia="宋体" w:cs="Times New Roman"/>
          <w:bCs/>
          <w:color w:val="auto"/>
          <w:kern w:val="0"/>
          <w:sz w:val="21"/>
          <w:szCs w:val="21"/>
          <w:lang w:val="en-US" w:eastAsia="zh-CN"/>
        </w:rPr>
        <w:t>的</w:t>
      </w:r>
      <w:r>
        <w:rPr>
          <w:rFonts w:hint="default" w:ascii="Times New Roman" w:hAnsi="Times New Roman" w:eastAsia="宋体" w:cs="Times New Roman"/>
          <w:bCs/>
          <w:color w:val="auto"/>
          <w:kern w:val="0"/>
          <w:sz w:val="21"/>
          <w:szCs w:val="21"/>
        </w:rPr>
        <w:t>运行情况，</w:t>
      </w:r>
      <w:r>
        <w:rPr>
          <w:rFonts w:hint="eastAsia" w:ascii="Times New Roman" w:hAnsi="Times New Roman" w:eastAsia="宋体" w:cs="Times New Roman"/>
          <w:bCs/>
          <w:color w:val="auto"/>
          <w:kern w:val="0"/>
          <w:sz w:val="21"/>
          <w:szCs w:val="21"/>
          <w:lang w:val="en-US" w:eastAsia="zh-CN"/>
        </w:rPr>
        <w:t>现场</w:t>
      </w:r>
      <w:r>
        <w:rPr>
          <w:rFonts w:hint="default" w:ascii="Times New Roman" w:hAnsi="Times New Roman" w:eastAsia="宋体" w:cs="Times New Roman"/>
          <w:bCs/>
          <w:color w:val="auto"/>
          <w:kern w:val="0"/>
          <w:sz w:val="21"/>
          <w:szCs w:val="21"/>
        </w:rPr>
        <w:t>抽查了</w:t>
      </w:r>
      <w:r>
        <w:rPr>
          <w:rFonts w:hint="default" w:ascii="Times New Roman" w:hAnsi="Times New Roman" w:eastAsia="宋体" w:cs="Times New Roman"/>
          <w:bCs/>
          <w:color w:val="auto"/>
          <w:kern w:val="0"/>
          <w:sz w:val="21"/>
          <w:szCs w:val="21"/>
          <w:lang w:val="en-US" w:eastAsia="zh-CN"/>
        </w:rPr>
        <w:t>企业</w:t>
      </w:r>
      <w:r>
        <w:rPr>
          <w:rFonts w:hint="default" w:ascii="Times New Roman" w:hAnsi="Times New Roman" w:eastAsia="宋体" w:cs="Times New Roman"/>
          <w:bCs/>
          <w:color w:val="auto"/>
          <w:kern w:val="0"/>
          <w:sz w:val="21"/>
          <w:szCs w:val="21"/>
        </w:rPr>
        <w:t>测量管理体系内</w:t>
      </w:r>
      <w:r>
        <w:rPr>
          <w:rFonts w:hint="default" w:ascii="Times New Roman" w:hAnsi="Times New Roman" w:eastAsia="宋体" w:cs="Times New Roman"/>
          <w:bCs/>
          <w:color w:val="auto"/>
          <w:kern w:val="0"/>
          <w:sz w:val="21"/>
          <w:szCs w:val="21"/>
          <w:lang w:val="en-US" w:eastAsia="zh-CN"/>
        </w:rPr>
        <w:t>的</w:t>
      </w:r>
      <w:r>
        <w:rPr>
          <w:rFonts w:hint="eastAsia" w:ascii="Times New Roman" w:hAnsi="Times New Roman" w:eastAsia="宋体" w:cs="Times New Roman"/>
          <w:bCs/>
          <w:color w:val="auto"/>
          <w:kern w:val="0"/>
          <w:sz w:val="21"/>
          <w:szCs w:val="21"/>
          <w:lang w:val="en-US" w:eastAsia="zh-CN"/>
        </w:rPr>
        <w:t>3</w:t>
      </w:r>
      <w:r>
        <w:rPr>
          <w:rFonts w:hint="default" w:ascii="Times New Roman" w:hAnsi="Times New Roman" w:eastAsia="宋体" w:cs="Times New Roman"/>
          <w:bCs/>
          <w:color w:val="auto"/>
          <w:kern w:val="0"/>
          <w:sz w:val="21"/>
          <w:szCs w:val="21"/>
          <w:lang w:val="en-US" w:eastAsia="zh-CN"/>
        </w:rPr>
        <w:t>个职能部门，覆盖了企业</w:t>
      </w:r>
      <w:r>
        <w:rPr>
          <w:rFonts w:hint="default" w:ascii="Times New Roman" w:hAnsi="Times New Roman" w:eastAsia="宋体" w:cs="Times New Roman"/>
          <w:bCs/>
          <w:color w:val="auto"/>
          <w:kern w:val="0"/>
          <w:sz w:val="21"/>
          <w:szCs w:val="21"/>
        </w:rPr>
        <w:t>管理、生产、经营、质量和环境等方面</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企业的能源计量器具的配备率及准确度等级均满足GB17167-2006标准要求</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企业不是重点</w:t>
      </w:r>
      <w:r>
        <w:rPr>
          <w:rFonts w:hint="default" w:ascii="Times New Roman" w:hAnsi="Times New Roman" w:eastAsia="宋体" w:cs="Times New Roman"/>
          <w:bCs/>
          <w:color w:val="auto"/>
          <w:kern w:val="0"/>
          <w:sz w:val="21"/>
          <w:szCs w:val="21"/>
          <w:lang w:val="en-US" w:eastAsia="zh-CN"/>
        </w:rPr>
        <w:t>耗</w:t>
      </w:r>
      <w:r>
        <w:rPr>
          <w:rFonts w:hint="default" w:ascii="Times New Roman" w:hAnsi="Times New Roman" w:eastAsia="宋体" w:cs="Times New Roman"/>
          <w:bCs/>
          <w:color w:val="auto"/>
          <w:kern w:val="0"/>
          <w:sz w:val="21"/>
          <w:szCs w:val="21"/>
        </w:rPr>
        <w:t>能单位</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重点抽查</w:t>
      </w:r>
      <w:r>
        <w:rPr>
          <w:rFonts w:hint="default" w:ascii="Times New Roman" w:hAnsi="Times New Roman" w:eastAsia="宋体" w:cs="Times New Roman"/>
          <w:color w:val="auto"/>
          <w:sz w:val="21"/>
          <w:szCs w:val="21"/>
        </w:rPr>
        <w:t>了</w:t>
      </w:r>
      <w:r>
        <w:rPr>
          <w:rFonts w:hint="default" w:ascii="Times New Roman" w:hAnsi="Times New Roman" w:eastAsia="宋体" w:cs="Times New Roman"/>
          <w:color w:val="auto"/>
          <w:sz w:val="21"/>
          <w:szCs w:val="21"/>
          <w:lang w:eastAsia="zh-CN"/>
        </w:rPr>
        <w:t>企业</w:t>
      </w:r>
      <w:r>
        <w:rPr>
          <w:rFonts w:hint="default" w:ascii="Times New Roman" w:hAnsi="Times New Roman" w:eastAsia="宋体" w:cs="Times New Roman"/>
          <w:color w:val="auto"/>
          <w:sz w:val="21"/>
          <w:szCs w:val="21"/>
        </w:rPr>
        <w:t>计量特征突出的重要环节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覆盖了主要原材料检验、生产工艺质量控制、产品出厂检测以及量值溯源系统</w:t>
      </w:r>
      <w:r>
        <w:rPr>
          <w:rFonts w:hint="default" w:ascii="Times New Roman" w:hAnsi="Times New Roman" w:eastAsia="宋体" w:cs="Times New Roman"/>
          <w:bCs/>
          <w:color w:val="auto"/>
          <w:kern w:val="0"/>
          <w:sz w:val="21"/>
          <w:szCs w:val="21"/>
        </w:rPr>
        <w:t>，同时，跟踪验证了该</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在</w:t>
      </w:r>
      <w:r>
        <w:rPr>
          <w:rFonts w:hint="default" w:ascii="Times New Roman" w:hAnsi="Times New Roman" w:eastAsia="宋体" w:cs="Times New Roman"/>
          <w:bCs/>
          <w:color w:val="auto"/>
          <w:kern w:val="0"/>
          <w:sz w:val="21"/>
          <w:szCs w:val="21"/>
          <w:lang w:val="en-US" w:eastAsia="zh-CN"/>
        </w:rPr>
        <w:t>一年来</w:t>
      </w:r>
      <w:r>
        <w:rPr>
          <w:rFonts w:hint="default" w:ascii="Times New Roman" w:hAnsi="Times New Roman" w:eastAsia="宋体" w:cs="Times New Roman"/>
          <w:bCs/>
          <w:color w:val="auto"/>
          <w:kern w:val="0"/>
          <w:sz w:val="21"/>
          <w:szCs w:val="21"/>
        </w:rPr>
        <w:t>对体系的运行监视、分析完善和持续改进等工作情况。</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测量管理体系的符合性、有效性及持续改进，符合GB/T 19022-2003标准要求，</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测量管理体系正常有</w:t>
      </w:r>
      <w:r>
        <w:rPr>
          <w:rFonts w:hint="default" w:ascii="Times New Roman" w:hAnsi="Times New Roman" w:eastAsia="宋体" w:cs="Times New Roman"/>
          <w:bCs/>
          <w:color w:val="auto"/>
          <w:kern w:val="0"/>
          <w:sz w:val="21"/>
          <w:szCs w:val="21"/>
          <w:lang w:val="en-US" w:eastAsia="zh-CN"/>
        </w:rPr>
        <w:t>效</w:t>
      </w:r>
      <w:r>
        <w:rPr>
          <w:rFonts w:hint="default" w:ascii="Times New Roman" w:hAnsi="Times New Roman" w:eastAsia="宋体" w:cs="Times New Roman"/>
          <w:bCs/>
          <w:color w:val="auto"/>
          <w:kern w:val="0"/>
          <w:sz w:val="21"/>
          <w:szCs w:val="21"/>
        </w:rPr>
        <w:t>运行，较好地满足了</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生产、销售和持续发展的需要。</w:t>
      </w:r>
    </w:p>
    <w:p>
      <w:pPr>
        <w:widowControl/>
        <w:spacing w:line="276" w:lineRule="auto"/>
        <w:rPr>
          <w:rFonts w:cs="宋体" w:asciiTheme="minorEastAsia" w:hAnsiTheme="minorEastAsia"/>
          <w:b/>
          <w:bCs w:val="0"/>
          <w:color w:val="0070C0"/>
          <w:kern w:val="0"/>
          <w:szCs w:val="21"/>
        </w:rPr>
      </w:pPr>
      <w:r>
        <w:rPr>
          <w:rFonts w:hint="eastAsia" w:ascii="宋体" w:hAnsi="宋体" w:cs="宋体"/>
          <w:b/>
          <w:bCs w:val="0"/>
          <w:color w:val="auto"/>
          <w:kern w:val="0"/>
          <w:szCs w:val="21"/>
        </w:rPr>
        <w:t>2.</w:t>
      </w:r>
      <w:r>
        <w:rPr>
          <w:rFonts w:hint="eastAsia" w:asciiTheme="minorEastAsia" w:hAnsiTheme="minorEastAsia"/>
          <w:b/>
          <w:bCs w:val="0"/>
          <w:color w:val="auto"/>
          <w:szCs w:val="21"/>
        </w:rPr>
        <w:t>内部审核和管理评审</w:t>
      </w:r>
      <w:r>
        <w:rPr>
          <w:rFonts w:cs="宋体" w:asciiTheme="minorEastAsia" w:hAnsiTheme="minorEastAsia"/>
          <w:b/>
          <w:bCs w:val="0"/>
          <w:color w:val="auto"/>
          <w:kern w:val="0"/>
          <w:szCs w:val="21"/>
        </w:rPr>
        <w:t>的情况：</w:t>
      </w:r>
    </w:p>
    <w:p>
      <w:pPr>
        <w:ind w:left="210" w:hanging="211" w:hangingChars="100"/>
        <w:rPr>
          <w:rStyle w:val="9"/>
          <w:rFonts w:hint="eastAsia" w:ascii="宋体" w:eastAsia="宋体"/>
          <w:color w:val="auto"/>
          <w:sz w:val="21"/>
          <w:szCs w:val="21"/>
        </w:rPr>
      </w:pPr>
      <w:r>
        <w:rPr>
          <w:rStyle w:val="9"/>
          <w:rFonts w:hint="eastAsia" w:ascii="宋体" w:eastAsia="宋体"/>
          <w:b/>
          <w:bCs/>
          <w:color w:val="auto"/>
          <w:sz w:val="21"/>
          <w:szCs w:val="21"/>
        </w:rPr>
        <w:t>2.1内审情况</w:t>
      </w:r>
      <w:r>
        <w:rPr>
          <w:rStyle w:val="9"/>
          <w:rFonts w:hint="eastAsia" w:ascii="宋体" w:eastAsia="宋体"/>
          <w:color w:val="auto"/>
          <w:sz w:val="21"/>
          <w:szCs w:val="21"/>
        </w:rPr>
        <w:t>：</w:t>
      </w:r>
    </w:p>
    <w:p>
      <w:pPr>
        <w:ind w:left="210" w:leftChars="100" w:firstLine="210" w:firstLineChars="100"/>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企业</w:t>
      </w:r>
      <w:r>
        <w:rPr>
          <w:rFonts w:hint="default" w:ascii="Times New Roman" w:hAnsi="Times New Roman" w:eastAsia="宋体" w:cs="Times New Roman"/>
          <w:bCs/>
          <w:color w:val="auto"/>
          <w:sz w:val="21"/>
          <w:szCs w:val="21"/>
          <w:highlight w:val="none"/>
        </w:rPr>
        <w:t>于</w:t>
      </w:r>
      <w:r>
        <w:rPr>
          <w:rFonts w:hint="default" w:ascii="Times New Roman" w:hAnsi="Times New Roman" w:eastAsia="宋体" w:cs="Times New Roman"/>
          <w:sz w:val="21"/>
          <w:szCs w:val="21"/>
          <w:highlight w:val="none"/>
        </w:rPr>
        <w:t>2022年3月</w:t>
      </w:r>
      <w:r>
        <w:rPr>
          <w:rFonts w:hint="eastAsia" w:ascii="Times New Roman" w:hAnsi="Times New Roman" w:eastAsia="宋体" w:cs="Times New Roman"/>
          <w:sz w:val="21"/>
          <w:szCs w:val="21"/>
          <w:highlight w:val="none"/>
          <w:lang w:val="en-US" w:eastAsia="zh-CN"/>
        </w:rPr>
        <w:t>27</w:t>
      </w:r>
      <w:r>
        <w:rPr>
          <w:rFonts w:hint="default" w:ascii="Times New Roman" w:hAnsi="Times New Roman" w:eastAsia="宋体" w:cs="Times New Roman"/>
          <w:sz w:val="21"/>
          <w:szCs w:val="21"/>
          <w:highlight w:val="none"/>
        </w:rPr>
        <w:t>日</w:t>
      </w:r>
      <w:r>
        <w:rPr>
          <w:rFonts w:hint="default" w:ascii="Times New Roman" w:hAnsi="Times New Roman" w:eastAsia="宋体" w:cs="Times New Roman"/>
          <w:bCs/>
          <w:color w:val="auto"/>
          <w:sz w:val="21"/>
          <w:szCs w:val="21"/>
          <w:highlight w:val="none"/>
          <w:lang w:val="en-US" w:eastAsia="zh-CN"/>
        </w:rPr>
        <w:t>单独组织了</w:t>
      </w:r>
      <w:r>
        <w:rPr>
          <w:rFonts w:hint="default" w:ascii="Times New Roman" w:hAnsi="Times New Roman" w:eastAsia="宋体" w:cs="Times New Roman"/>
          <w:bCs/>
          <w:color w:val="auto"/>
          <w:sz w:val="21"/>
          <w:szCs w:val="21"/>
          <w:highlight w:val="none"/>
        </w:rPr>
        <w:t>测量管理体系</w:t>
      </w:r>
      <w:r>
        <w:rPr>
          <w:rFonts w:hint="default" w:ascii="Times New Roman" w:hAnsi="Times New Roman" w:eastAsia="宋体" w:cs="Times New Roman"/>
          <w:bCs/>
          <w:color w:val="auto"/>
          <w:sz w:val="21"/>
          <w:szCs w:val="21"/>
          <w:highlight w:val="none"/>
          <w:lang w:val="en-US" w:eastAsia="zh-CN"/>
        </w:rPr>
        <w:t>内审</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对</w:t>
      </w:r>
      <w:r>
        <w:rPr>
          <w:rFonts w:hint="eastAsia" w:ascii="Times New Roman" w:hAnsi="Times New Roman" w:eastAsia="宋体" w:cs="Times New Roman"/>
          <w:bCs/>
          <w:color w:val="auto"/>
          <w:sz w:val="21"/>
          <w:szCs w:val="21"/>
          <w:highlight w:val="none"/>
          <w:lang w:val="en-US" w:eastAsia="zh-CN"/>
        </w:rPr>
        <w:t>3</w:t>
      </w:r>
      <w:r>
        <w:rPr>
          <w:rFonts w:hint="default" w:ascii="Times New Roman" w:hAnsi="Times New Roman" w:eastAsia="宋体" w:cs="Times New Roman"/>
          <w:bCs/>
          <w:color w:val="auto"/>
          <w:sz w:val="21"/>
          <w:szCs w:val="21"/>
          <w:highlight w:val="none"/>
          <w:lang w:val="en-US" w:eastAsia="zh-CN"/>
        </w:rPr>
        <w:t>个部门</w:t>
      </w:r>
      <w:r>
        <w:rPr>
          <w:rFonts w:hint="default" w:ascii="Times New Roman" w:hAnsi="Times New Roman" w:eastAsia="宋体" w:cs="Times New Roman"/>
          <w:bCs/>
          <w:color w:val="auto"/>
          <w:sz w:val="21"/>
          <w:szCs w:val="21"/>
          <w:highlight w:val="none"/>
        </w:rPr>
        <w:t>进行了全要素审核</w:t>
      </w:r>
      <w:r>
        <w:rPr>
          <w:rFonts w:hint="default" w:ascii="Times New Roman" w:hAnsi="Times New Roman" w:eastAsia="宋体" w:cs="Times New Roman"/>
          <w:bCs/>
          <w:color w:val="auto"/>
          <w:sz w:val="21"/>
          <w:szCs w:val="21"/>
          <w:highlight w:val="none"/>
          <w:lang w:eastAsia="zh-CN"/>
        </w:rPr>
        <w:t>。</w:t>
      </w:r>
    </w:p>
    <w:p>
      <w:pPr>
        <w:rPr>
          <w:rStyle w:val="9"/>
          <w:rFonts w:ascii="宋体" w:eastAsia="宋体"/>
          <w:color w:val="0070C0"/>
          <w:sz w:val="21"/>
          <w:szCs w:val="21"/>
        </w:rPr>
      </w:pPr>
      <w:r>
        <w:rPr>
          <w:rFonts w:hint="eastAsia" w:ascii="Times New Roman" w:hAnsi="Times New Roman" w:eastAsia="宋体" w:cs="Times New Roman"/>
          <w:bCs/>
          <w:color w:val="auto"/>
          <w:sz w:val="21"/>
          <w:szCs w:val="21"/>
          <w:highlight w:val="none"/>
          <w:lang w:val="en-US" w:eastAsia="zh-CN"/>
        </w:rPr>
        <w:t>有</w:t>
      </w:r>
      <w:r>
        <w:rPr>
          <w:rFonts w:hint="default" w:ascii="Times New Roman" w:hAnsi="Times New Roman" w:eastAsia="宋体" w:cs="Times New Roman"/>
          <w:bCs/>
          <w:color w:val="auto"/>
          <w:sz w:val="21"/>
          <w:szCs w:val="21"/>
          <w:highlight w:val="none"/>
          <w:lang w:val="en-US" w:eastAsia="zh-CN"/>
        </w:rPr>
        <w:t>内审</w:t>
      </w:r>
      <w:r>
        <w:rPr>
          <w:rFonts w:hint="eastAsia" w:ascii="Times New Roman" w:hAnsi="Times New Roman" w:eastAsia="宋体" w:cs="Times New Roman"/>
          <w:bCs/>
          <w:color w:val="auto"/>
          <w:sz w:val="21"/>
          <w:szCs w:val="21"/>
          <w:highlight w:val="none"/>
          <w:lang w:val="en-US" w:eastAsia="zh-CN"/>
        </w:rPr>
        <w:t>实施</w:t>
      </w:r>
      <w:r>
        <w:rPr>
          <w:rFonts w:hint="default" w:ascii="Times New Roman" w:hAnsi="Times New Roman" w:eastAsia="宋体" w:cs="Times New Roman"/>
          <w:bCs/>
          <w:color w:val="auto"/>
          <w:sz w:val="21"/>
          <w:szCs w:val="21"/>
          <w:highlight w:val="none"/>
          <w:lang w:val="en-US" w:eastAsia="zh-CN"/>
        </w:rPr>
        <w:t>计划、</w:t>
      </w:r>
      <w:r>
        <w:rPr>
          <w:rFonts w:hint="eastAsia" w:ascii="Times New Roman" w:hAnsi="Times New Roman" w:eastAsia="宋体" w:cs="Times New Roman"/>
          <w:bCs/>
          <w:color w:val="auto"/>
          <w:sz w:val="21"/>
          <w:szCs w:val="21"/>
          <w:highlight w:val="none"/>
          <w:lang w:val="en-US" w:eastAsia="zh-CN"/>
        </w:rPr>
        <w:t>签到表、现场检查表、内审</w:t>
      </w:r>
      <w:r>
        <w:rPr>
          <w:rFonts w:hint="default" w:ascii="Times New Roman" w:hAnsi="Times New Roman" w:eastAsia="宋体" w:cs="Times New Roman"/>
          <w:b w:val="0"/>
          <w:bCs/>
          <w:color w:val="auto"/>
          <w:sz w:val="21"/>
          <w:szCs w:val="21"/>
          <w:highlight w:val="none"/>
        </w:rPr>
        <w:t>报告</w:t>
      </w:r>
      <w:r>
        <w:rPr>
          <w:rFonts w:hint="default" w:ascii="Times New Roman" w:hAnsi="Times New Roman" w:eastAsia="宋体" w:cs="Times New Roman"/>
          <w:b w:val="0"/>
          <w:bCs/>
          <w:color w:val="auto"/>
          <w:sz w:val="21"/>
          <w:szCs w:val="21"/>
          <w:highlight w:val="none"/>
          <w:lang w:val="en-US" w:eastAsia="zh-CN"/>
        </w:rPr>
        <w:t>等记录资</w:t>
      </w:r>
      <w:r>
        <w:rPr>
          <w:rFonts w:hint="default" w:ascii="Times New Roman" w:hAnsi="Times New Roman" w:eastAsia="宋体" w:cs="Times New Roman"/>
          <w:bCs/>
          <w:color w:val="auto"/>
          <w:sz w:val="21"/>
          <w:szCs w:val="21"/>
          <w:highlight w:val="none"/>
          <w:lang w:val="en-US" w:eastAsia="zh-CN"/>
        </w:rPr>
        <w:t>料，信息填写完整</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内审</w:t>
      </w:r>
      <w:r>
        <w:rPr>
          <w:rFonts w:hint="eastAsia" w:ascii="Times New Roman" w:hAnsi="Times New Roman" w:eastAsia="宋体" w:cs="Times New Roman"/>
          <w:bCs/>
          <w:color w:val="auto"/>
          <w:sz w:val="21"/>
          <w:szCs w:val="21"/>
          <w:highlight w:val="none"/>
          <w:lang w:val="en-US" w:eastAsia="zh-CN"/>
        </w:rPr>
        <w:t>未出具</w:t>
      </w:r>
      <w:r>
        <w:rPr>
          <w:rFonts w:hint="default" w:ascii="Times New Roman" w:hAnsi="Times New Roman" w:eastAsia="宋体" w:cs="Times New Roman"/>
          <w:bCs/>
          <w:color w:val="auto"/>
          <w:sz w:val="21"/>
          <w:szCs w:val="21"/>
          <w:highlight w:val="none"/>
          <w:lang w:val="en-US" w:eastAsia="zh-CN"/>
        </w:rPr>
        <w:t>不符合项</w:t>
      </w:r>
      <w:r>
        <w:rPr>
          <w:rFonts w:hint="eastAsia" w:ascii="Times New Roman" w:hAnsi="Times New Roman" w:eastAsia="宋体" w:cs="Times New Roman"/>
          <w:bCs/>
          <w:color w:val="auto"/>
          <w:sz w:val="21"/>
          <w:szCs w:val="21"/>
          <w:highlight w:val="none"/>
          <w:lang w:val="en-US" w:eastAsia="zh-CN"/>
        </w:rPr>
        <w:t>，提出了两个建议整改项，</w:t>
      </w:r>
      <w:r>
        <w:rPr>
          <w:rFonts w:hint="default" w:ascii="Times New Roman" w:hAnsi="Times New Roman" w:eastAsia="宋体" w:cs="Times New Roman"/>
          <w:color w:val="auto"/>
          <w:sz w:val="21"/>
          <w:szCs w:val="21"/>
          <w:highlight w:val="none"/>
          <w:lang w:val="en-US" w:eastAsia="zh-CN"/>
        </w:rPr>
        <w:t>制定了纠正措施并完成了整改</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符合要求。</w:t>
      </w:r>
    </w:p>
    <w:p>
      <w:pPr>
        <w:spacing w:line="276" w:lineRule="auto"/>
        <w:ind w:left="210" w:hanging="211" w:hangingChars="100"/>
        <w:rPr>
          <w:rStyle w:val="9"/>
          <w:rFonts w:hint="eastAsia" w:ascii="宋体" w:eastAsia="宋体"/>
          <w:color w:val="auto"/>
          <w:sz w:val="21"/>
          <w:szCs w:val="21"/>
        </w:rPr>
      </w:pPr>
      <w:r>
        <w:rPr>
          <w:rStyle w:val="9"/>
          <w:rFonts w:hint="eastAsia" w:ascii="宋体" w:eastAsia="宋体"/>
          <w:b/>
          <w:bCs/>
          <w:color w:val="auto"/>
          <w:sz w:val="21"/>
          <w:szCs w:val="21"/>
        </w:rPr>
        <w:t>2.2管理评审情况</w:t>
      </w:r>
      <w:r>
        <w:rPr>
          <w:rStyle w:val="9"/>
          <w:rFonts w:hint="eastAsia" w:ascii="宋体" w:eastAsia="宋体"/>
          <w:color w:val="auto"/>
          <w:sz w:val="21"/>
          <w:szCs w:val="21"/>
        </w:rPr>
        <w:t>：</w:t>
      </w:r>
    </w:p>
    <w:p>
      <w:pPr>
        <w:spacing w:line="276" w:lineRule="auto"/>
        <w:ind w:left="210" w:leftChars="100" w:firstLine="210" w:firstLineChars="100"/>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企业于</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color w:val="auto"/>
          <w:sz w:val="21"/>
          <w:szCs w:val="21"/>
          <w:highlight w:val="none"/>
          <w:lang w:val="en-US" w:eastAsia="zh-CN"/>
        </w:rPr>
        <w:t>单独</w:t>
      </w:r>
      <w:r>
        <w:rPr>
          <w:rFonts w:hint="default" w:ascii="Times New Roman" w:hAnsi="Times New Roman" w:eastAsia="宋体" w:cs="Times New Roman"/>
          <w:color w:val="auto"/>
          <w:sz w:val="21"/>
          <w:szCs w:val="21"/>
          <w:lang w:val="en-US" w:eastAsia="zh-CN"/>
        </w:rPr>
        <w:t>召开</w:t>
      </w:r>
      <w:r>
        <w:rPr>
          <w:rFonts w:hint="default" w:ascii="Times New Roman" w:hAnsi="Times New Roman" w:eastAsia="宋体" w:cs="Times New Roman"/>
          <w:color w:val="auto"/>
          <w:sz w:val="21"/>
          <w:szCs w:val="21"/>
        </w:rPr>
        <w:t>了测量体系管理</w:t>
      </w:r>
      <w:r>
        <w:rPr>
          <w:rFonts w:hint="default" w:ascii="Times New Roman" w:hAnsi="Times New Roman" w:eastAsia="宋体" w:cs="Times New Roman"/>
          <w:color w:val="auto"/>
          <w:sz w:val="21"/>
          <w:szCs w:val="21"/>
          <w:lang w:val="en-US" w:eastAsia="zh-CN"/>
        </w:rPr>
        <w:t>体系</w:t>
      </w:r>
      <w:r>
        <w:rPr>
          <w:rFonts w:hint="default" w:ascii="Times New Roman" w:hAnsi="Times New Roman" w:eastAsia="宋体" w:cs="Times New Roman"/>
          <w:color w:val="auto"/>
          <w:sz w:val="21"/>
          <w:szCs w:val="21"/>
        </w:rPr>
        <w:t>评审</w:t>
      </w:r>
      <w:r>
        <w:rPr>
          <w:rFonts w:hint="default" w:ascii="Times New Roman" w:hAnsi="Times New Roman" w:eastAsia="宋体" w:cs="Times New Roman"/>
          <w:color w:val="auto"/>
          <w:sz w:val="21"/>
          <w:szCs w:val="21"/>
          <w:lang w:val="en-US" w:eastAsia="zh-CN"/>
        </w:rPr>
        <w:t>会议</w:t>
      </w:r>
      <w:r>
        <w:rPr>
          <w:rFonts w:hint="default" w:ascii="Times New Roman" w:hAnsi="Times New Roman" w:eastAsia="宋体" w:cs="Times New Roman"/>
          <w:color w:val="auto"/>
          <w:sz w:val="21"/>
          <w:szCs w:val="21"/>
        </w:rPr>
        <w:t>，会议由</w:t>
      </w:r>
      <w:r>
        <w:rPr>
          <w:rFonts w:hint="default" w:ascii="Times New Roman" w:hAnsi="Times New Roman" w:eastAsia="宋体" w:cs="Times New Roman"/>
          <w:color w:val="auto"/>
          <w:sz w:val="21"/>
          <w:szCs w:val="21"/>
          <w:lang w:val="en-US" w:eastAsia="zh-CN"/>
        </w:rPr>
        <w:t>总经理</w:t>
      </w:r>
      <w:r>
        <w:rPr>
          <w:rFonts w:hint="eastAsia" w:ascii="Times New Roman" w:hAnsi="Times New Roman" w:eastAsia="宋体" w:cs="Times New Roman"/>
          <w:color w:val="auto"/>
          <w:sz w:val="21"/>
          <w:szCs w:val="21"/>
          <w:lang w:val="en-US" w:eastAsia="zh-CN"/>
        </w:rPr>
        <w:t>胡春兰</w:t>
      </w:r>
    </w:p>
    <w:p>
      <w:pPr>
        <w:spacing w:line="276" w:lineRule="auto"/>
        <w:rPr>
          <w:rStyle w:val="9"/>
          <w:rFonts w:ascii="宋体" w:eastAsia="宋体"/>
          <w:color w:val="0070C0"/>
          <w:sz w:val="21"/>
          <w:szCs w:val="21"/>
        </w:rPr>
      </w:pPr>
      <w:r>
        <w:rPr>
          <w:rFonts w:hint="default" w:ascii="Times New Roman" w:hAnsi="Times New Roman" w:eastAsia="宋体" w:cs="Times New Roman"/>
          <w:color w:val="auto"/>
          <w:sz w:val="21"/>
          <w:szCs w:val="21"/>
          <w:lang w:val="en-US" w:eastAsia="zh-CN"/>
        </w:rPr>
        <w:t>主持，</w:t>
      </w:r>
      <w:r>
        <w:rPr>
          <w:rFonts w:hint="default" w:ascii="Times New Roman" w:hAnsi="Times New Roman" w:eastAsia="宋体" w:cs="Times New Roman"/>
          <w:color w:val="auto"/>
          <w:sz w:val="21"/>
          <w:szCs w:val="21"/>
          <w:highlight w:val="none"/>
          <w:lang w:val="en-US" w:eastAsia="zh-CN"/>
        </w:rPr>
        <w:t>管理者代表</w:t>
      </w:r>
      <w:r>
        <w:rPr>
          <w:rFonts w:hint="eastAsia" w:ascii="Times New Roman" w:hAnsi="Times New Roman" w:eastAsia="宋体" w:cs="Times New Roman"/>
          <w:sz w:val="21"/>
          <w:szCs w:val="21"/>
          <w:highlight w:val="none"/>
          <w:lang w:val="en-US" w:eastAsia="zh-CN"/>
        </w:rPr>
        <w:t>黄新献</w:t>
      </w:r>
      <w:r>
        <w:rPr>
          <w:rFonts w:hint="default" w:ascii="Times New Roman" w:hAnsi="Times New Roman" w:eastAsia="宋体" w:cs="Times New Roman"/>
          <w:color w:val="auto"/>
          <w:sz w:val="21"/>
          <w:szCs w:val="21"/>
          <w:highlight w:val="none"/>
          <w:lang w:val="en-US" w:eastAsia="zh-CN"/>
        </w:rPr>
        <w:t>及各</w:t>
      </w:r>
      <w:r>
        <w:rPr>
          <w:rFonts w:hint="default" w:ascii="Times New Roman" w:hAnsi="Times New Roman" w:eastAsia="宋体" w:cs="Times New Roman"/>
          <w:bCs/>
          <w:color w:val="auto"/>
          <w:sz w:val="21"/>
          <w:szCs w:val="21"/>
          <w:highlight w:val="none"/>
        </w:rPr>
        <w:t>部门负责人</w:t>
      </w:r>
      <w:r>
        <w:rPr>
          <w:rFonts w:hint="default" w:ascii="Times New Roman" w:hAnsi="Times New Roman" w:eastAsia="宋体" w:cs="Times New Roman"/>
          <w:bCs/>
          <w:color w:val="auto"/>
          <w:sz w:val="21"/>
          <w:szCs w:val="21"/>
          <w:highlight w:val="none"/>
          <w:lang w:val="en-US" w:eastAsia="zh-CN"/>
        </w:rPr>
        <w:t>分别</w:t>
      </w:r>
      <w:r>
        <w:rPr>
          <w:rFonts w:hint="default" w:ascii="Times New Roman" w:hAnsi="Times New Roman" w:eastAsia="宋体" w:cs="Times New Roman"/>
          <w:color w:val="auto"/>
          <w:sz w:val="21"/>
          <w:szCs w:val="21"/>
          <w:highlight w:val="none"/>
        </w:rPr>
        <w:t>汇报了体系运行情况。评审</w:t>
      </w:r>
      <w:r>
        <w:rPr>
          <w:rFonts w:hint="default" w:ascii="Times New Roman" w:hAnsi="Times New Roman" w:eastAsia="宋体" w:cs="Times New Roman"/>
          <w:color w:val="auto"/>
          <w:sz w:val="21"/>
          <w:szCs w:val="21"/>
          <w:highlight w:val="none"/>
          <w:lang w:val="en-US" w:eastAsia="zh-CN"/>
        </w:rPr>
        <w:t>内容有：</w:t>
      </w:r>
      <w:r>
        <w:rPr>
          <w:rFonts w:hint="default" w:ascii="Times New Roman" w:hAnsi="Times New Roman" w:eastAsia="宋体" w:cs="Times New Roman"/>
          <w:color w:val="000000"/>
          <w:sz w:val="21"/>
          <w:szCs w:val="21"/>
        </w:rPr>
        <w:t>测量管理体系内部审核的结果</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内</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外部顾客对企业产品/服务反馈的信息</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kern w:val="0"/>
          <w:sz w:val="21"/>
          <w:szCs w:val="21"/>
        </w:rPr>
        <w:t>包括现场不合格报告和分析</w:t>
      </w:r>
      <w:r>
        <w:rPr>
          <w:rFonts w:hint="eastAsia"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sz w:val="21"/>
          <w:szCs w:val="21"/>
        </w:rPr>
        <w:t>计量方针、</w:t>
      </w:r>
      <w:r>
        <w:rPr>
          <w:rFonts w:hint="eastAsia" w:ascii="Times New Roman" w:hAnsi="Times New Roman" w:eastAsia="宋体" w:cs="Times New Roman"/>
          <w:color w:val="000000"/>
          <w:sz w:val="21"/>
          <w:szCs w:val="21"/>
          <w:lang w:val="en-US" w:eastAsia="zh-CN"/>
        </w:rPr>
        <w:t>计量</w:t>
      </w:r>
      <w:r>
        <w:rPr>
          <w:rFonts w:hint="default" w:ascii="Times New Roman" w:hAnsi="Times New Roman" w:eastAsia="宋体" w:cs="Times New Roman"/>
          <w:color w:val="000000"/>
          <w:sz w:val="21"/>
          <w:szCs w:val="21"/>
        </w:rPr>
        <w:t>目标的可行性</w:t>
      </w:r>
      <w:r>
        <w:rPr>
          <w:rFonts w:hint="default" w:ascii="Times New Roman" w:hAnsi="Times New Roman" w:eastAsia="宋体" w:cs="Times New Roman"/>
          <w:color w:val="000000"/>
          <w:sz w:val="21"/>
          <w:szCs w:val="21"/>
          <w:lang w:val="en-US" w:eastAsia="zh-CN"/>
        </w:rPr>
        <w:t>等共六个方面的内容</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auto"/>
          <w:sz w:val="21"/>
          <w:szCs w:val="21"/>
          <w:lang w:val="en-US" w:eastAsia="zh-CN"/>
        </w:rPr>
        <w:t>会议形成的管理评审报告结论：</w:t>
      </w:r>
      <w:r>
        <w:rPr>
          <w:rFonts w:hint="default" w:ascii="Times New Roman" w:hAnsi="Times New Roman" w:eastAsia="宋体" w:cs="Times New Roman"/>
          <w:sz w:val="21"/>
          <w:szCs w:val="21"/>
        </w:rPr>
        <w:t>公司建立的测量管理体系质量方针目标策划到位，体系文件符合标准要求且有效运行，测量设备处于良好的</w:t>
      </w:r>
      <w:r>
        <w:rPr>
          <w:rFonts w:hint="eastAsia" w:ascii="Times New Roman" w:hAnsi="Times New Roman" w:eastAsia="宋体" w:cs="Times New Roman"/>
          <w:sz w:val="21"/>
          <w:szCs w:val="21"/>
          <w:lang w:val="en-US" w:eastAsia="zh-CN"/>
        </w:rPr>
        <w:t>使用</w:t>
      </w:r>
      <w:r>
        <w:rPr>
          <w:rFonts w:hint="default" w:ascii="Times New Roman" w:hAnsi="Times New Roman" w:eastAsia="宋体" w:cs="Times New Roman"/>
          <w:sz w:val="21"/>
          <w:szCs w:val="21"/>
        </w:rPr>
        <w:t>状态，测量过程有效</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测量结果准确、可靠，体系运行的过程受控，是适宜的、有效的，符合GB/T19022-2003标准、《中华人民共和国计量法》及国家相关的计量法令、法规规定的要求</w:t>
      </w:r>
      <w:r>
        <w:rPr>
          <w:rFonts w:hint="default" w:ascii="Times New Roman" w:hAnsi="Times New Roman" w:cs="Times New Roman"/>
          <w:sz w:val="21"/>
          <w:szCs w:val="21"/>
          <w:lang w:eastAsia="zh-CN"/>
        </w:rPr>
        <w:t>。</w:t>
      </w:r>
      <w:r>
        <w:rPr>
          <w:rFonts w:hint="default" w:ascii="Times New Roman" w:hAnsi="Times New Roman" w:eastAsia="宋体" w:cs="Times New Roman"/>
          <w:color w:val="auto"/>
          <w:sz w:val="21"/>
          <w:szCs w:val="21"/>
          <w:lang w:val="en-US" w:eastAsia="zh-CN"/>
        </w:rPr>
        <w:t>符合要求</w:t>
      </w:r>
      <w:r>
        <w:rPr>
          <w:rFonts w:hint="eastAsia" w:ascii="Times New Roman" w:hAnsi="Times New Roman" w:eastAsia="宋体" w:cs="Times New Roman"/>
          <w:color w:val="auto"/>
          <w:sz w:val="21"/>
          <w:szCs w:val="21"/>
          <w:lang w:val="en-US" w:eastAsia="zh-CN"/>
        </w:rPr>
        <w:t>。</w:t>
      </w:r>
    </w:p>
    <w:p>
      <w:pPr>
        <w:widowControl/>
        <w:spacing w:line="360" w:lineRule="auto"/>
        <w:rPr>
          <w:rFonts w:cs="宋体" w:asciiTheme="minorEastAsia" w:hAnsiTheme="minorEastAsia"/>
          <w:b/>
          <w:bCs w:val="0"/>
          <w:color w:val="auto"/>
          <w:kern w:val="0"/>
          <w:szCs w:val="21"/>
        </w:rPr>
      </w:pPr>
      <w:r>
        <w:rPr>
          <w:rFonts w:hint="eastAsia" w:cs="宋体" w:asciiTheme="minorEastAsia" w:hAnsiTheme="minorEastAsia"/>
          <w:b/>
          <w:bCs w:val="0"/>
          <w:color w:val="auto"/>
          <w:kern w:val="0"/>
          <w:szCs w:val="21"/>
        </w:rPr>
        <w:t>3.为持续改进而策划的活动的进展企业对识别的关键测量过程进行了持续的控制，</w:t>
      </w:r>
      <w:r>
        <w:rPr>
          <w:rFonts w:hint="eastAsia" w:cs="宋体" w:asciiTheme="minorEastAsia" w:hAnsiTheme="minorEastAsia"/>
          <w:b/>
          <w:bCs w:val="0"/>
          <w:color w:val="auto"/>
          <w:kern w:val="0"/>
          <w:szCs w:val="21"/>
          <w:lang w:val="en-US" w:eastAsia="zh-CN"/>
        </w:rPr>
        <w:t>无</w:t>
      </w:r>
      <w:r>
        <w:rPr>
          <w:rFonts w:hint="eastAsia" w:cs="宋体" w:asciiTheme="minorEastAsia" w:hAnsiTheme="minorEastAsia"/>
          <w:b/>
          <w:bCs w:val="0"/>
          <w:color w:val="auto"/>
          <w:kern w:val="0"/>
          <w:szCs w:val="21"/>
        </w:rPr>
        <w:t>新增关键测量过程：</w:t>
      </w:r>
    </w:p>
    <w:p>
      <w:pPr>
        <w:widowControl/>
        <w:ind w:firstLine="211" w:firstLineChars="100"/>
        <w:jc w:val="left"/>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a)计量要求的导出和验证</w:t>
      </w:r>
      <w:r>
        <w:rPr>
          <w:rFonts w:hint="eastAsia" w:cs="宋体" w:asciiTheme="minorEastAsia" w:hAnsiTheme="minorEastAsia"/>
          <w:bCs/>
          <w:color w:val="auto"/>
          <w:kern w:val="0"/>
          <w:szCs w:val="21"/>
        </w:rPr>
        <w:t>：查</w:t>
      </w:r>
      <w:r>
        <w:rPr>
          <w:rFonts w:hint="eastAsia" w:cs="宋体" w:asciiTheme="minorEastAsia" w:hAnsiTheme="minorEastAsia"/>
          <w:bCs/>
          <w:color w:val="auto"/>
          <w:kern w:val="0"/>
          <w:szCs w:val="21"/>
          <w:lang w:eastAsia="zh-CN"/>
        </w:rPr>
        <w:t>“</w:t>
      </w:r>
      <w:r>
        <w:rPr>
          <w:rFonts w:ascii="Times New Roman" w:hAnsi="Times New Roman" w:cs="Times New Roman"/>
          <w:color w:val="auto"/>
          <w:szCs w:val="21"/>
          <w:highlight w:val="none"/>
        </w:rPr>
        <w:t>打捞头洛氏硬度检测过程</w:t>
      </w:r>
      <w:r>
        <w:rPr>
          <w:rFonts w:hint="eastAsia" w:ascii="Times New Roman" w:hAnsi="Times New Roman" w:cs="Times New Roman"/>
          <w:color w:val="auto"/>
          <w:szCs w:val="21"/>
          <w:highlight w:val="none"/>
          <w:lang w:eastAsia="zh-CN"/>
        </w:rPr>
        <w:t>”</w:t>
      </w:r>
      <w:r>
        <w:rPr>
          <w:rFonts w:hint="eastAsia"/>
          <w:color w:val="auto"/>
        </w:rPr>
        <w:t>，计量要求导出方法正确，验证满足测量过程要求。</w:t>
      </w:r>
      <w:r>
        <w:rPr>
          <w:rFonts w:hint="eastAsia"/>
          <w:color w:val="auto"/>
          <w:lang w:val="en-US" w:eastAsia="zh-CN"/>
        </w:rPr>
        <w:t>详</w:t>
      </w:r>
      <w:r>
        <w:rPr>
          <w:rFonts w:hint="eastAsia"/>
          <w:color w:val="auto"/>
        </w:rPr>
        <w:t>见附件《计量要求导出</w:t>
      </w:r>
      <w:r>
        <w:rPr>
          <w:rFonts w:hint="eastAsia"/>
          <w:color w:val="auto"/>
          <w:lang w:val="en-US" w:eastAsia="zh-CN"/>
        </w:rPr>
        <w:t>和</w:t>
      </w:r>
      <w:r>
        <w:rPr>
          <w:rFonts w:hint="eastAsia"/>
          <w:color w:val="auto"/>
        </w:rPr>
        <w:t>验证记录表》</w:t>
      </w:r>
    </w:p>
    <w:p>
      <w:pPr>
        <w:widowControl/>
        <w:spacing w:line="276" w:lineRule="auto"/>
        <w:ind w:firstLine="211" w:firstLineChars="100"/>
        <w:rPr>
          <w:rFonts w:cs="宋体" w:asciiTheme="minorEastAsia" w:hAnsiTheme="minorEastAsia"/>
          <w:color w:val="auto"/>
          <w:kern w:val="0"/>
          <w:szCs w:val="21"/>
        </w:rPr>
      </w:pPr>
      <w:r>
        <w:rPr>
          <w:rFonts w:hint="eastAsia" w:cs="宋体" w:asciiTheme="minorEastAsia" w:hAnsiTheme="minorEastAsia"/>
          <w:b/>
          <w:bCs/>
          <w:color w:val="auto"/>
          <w:kern w:val="0"/>
          <w:szCs w:val="21"/>
        </w:rPr>
        <w:t>b)</w:t>
      </w:r>
      <w:r>
        <w:rPr>
          <w:rFonts w:cs="宋体" w:asciiTheme="minorEastAsia" w:hAnsiTheme="minorEastAsia"/>
          <w:b/>
          <w:bCs/>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ascii="Times New Roman" w:hAnsi="Times New Roman" w:cs="Times New Roman"/>
          <w:color w:val="auto"/>
          <w:szCs w:val="21"/>
          <w:highlight w:val="none"/>
        </w:rPr>
        <w:t>打捞头洛氏硬度检测过程</w:t>
      </w:r>
      <w:r>
        <w:rPr>
          <w:rFonts w:hint="eastAsia" w:ascii="Times New Roman" w:hAnsi="Times New Roman" w:cs="Times New Roman"/>
          <w:color w:val="auto"/>
          <w:szCs w:val="21"/>
          <w:highlight w:val="none"/>
          <w:lang w:eastAsia="zh-CN"/>
        </w:rPr>
        <w:t>”</w:t>
      </w:r>
      <w:r>
        <w:rPr>
          <w:rFonts w:hint="eastAsia"/>
          <w:color w:val="auto"/>
        </w:rPr>
        <w:t>，测量不确定度评定方法正确。</w:t>
      </w:r>
      <w:r>
        <w:rPr>
          <w:rFonts w:hint="eastAsia"/>
          <w:color w:val="auto"/>
          <w:lang w:val="en-US" w:eastAsia="zh-CN"/>
        </w:rPr>
        <w:t>详</w:t>
      </w:r>
      <w:r>
        <w:rPr>
          <w:rFonts w:hint="eastAsia"/>
          <w:color w:val="auto"/>
        </w:rPr>
        <w:t>见附件《测量不确定度评定》</w:t>
      </w:r>
    </w:p>
    <w:p>
      <w:pPr>
        <w:widowControl/>
        <w:spacing w:line="276" w:lineRule="auto"/>
        <w:ind w:firstLine="211" w:firstLineChars="100"/>
        <w:rPr>
          <w:rFonts w:cs="宋体" w:asciiTheme="minorEastAsia" w:hAnsiTheme="minorEastAsia"/>
          <w:color w:val="auto"/>
          <w:kern w:val="0"/>
          <w:szCs w:val="21"/>
        </w:rPr>
      </w:pPr>
      <w:r>
        <w:rPr>
          <w:rFonts w:hint="eastAsia" w:cs="宋体" w:asciiTheme="minorEastAsia" w:hAnsiTheme="minorEastAsia"/>
          <w:b/>
          <w:bCs/>
          <w:color w:val="auto"/>
          <w:kern w:val="0"/>
          <w:szCs w:val="21"/>
        </w:rPr>
        <w:t>c)有效性确认</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ascii="Times New Roman" w:hAnsi="Times New Roman" w:cs="Times New Roman"/>
          <w:color w:val="auto"/>
          <w:szCs w:val="21"/>
          <w:highlight w:val="none"/>
        </w:rPr>
        <w:t>打捞头洛氏硬度检测过程</w:t>
      </w:r>
      <w:r>
        <w:rPr>
          <w:rFonts w:hint="eastAsia" w:ascii="Times New Roman" w:hAnsi="Times New Roman" w:cs="Times New Roman"/>
          <w:color w:val="auto"/>
          <w:szCs w:val="21"/>
          <w:highlight w:val="none"/>
          <w:lang w:eastAsia="zh-CN"/>
        </w:rPr>
        <w:t>”</w:t>
      </w:r>
      <w:r>
        <w:rPr>
          <w:rFonts w:hint="eastAsia"/>
          <w:color w:val="auto"/>
        </w:rPr>
        <w:t>，采用比对</w:t>
      </w:r>
      <w:r>
        <w:rPr>
          <w:rFonts w:hint="eastAsia"/>
          <w:color w:val="auto"/>
          <w:lang w:val="en-US" w:eastAsia="zh-CN"/>
        </w:rPr>
        <w:t>法</w:t>
      </w:r>
      <w:r>
        <w:rPr>
          <w:rFonts w:hint="eastAsia"/>
          <w:color w:val="auto"/>
        </w:rPr>
        <w:t>进行有效性确认，满足要求。</w:t>
      </w:r>
      <w:r>
        <w:rPr>
          <w:rFonts w:hint="eastAsia"/>
          <w:color w:val="auto"/>
          <w:lang w:val="en-US" w:eastAsia="zh-CN"/>
        </w:rPr>
        <w:t>详</w:t>
      </w:r>
      <w:r>
        <w:rPr>
          <w:rFonts w:hint="eastAsia"/>
          <w:color w:val="auto"/>
        </w:rPr>
        <w:t>见附件《测量过程有效性确认》</w:t>
      </w:r>
    </w:p>
    <w:p>
      <w:pPr>
        <w:widowControl/>
        <w:spacing w:line="276" w:lineRule="auto"/>
        <w:ind w:firstLine="211" w:firstLineChars="100"/>
        <w:rPr>
          <w:rFonts w:cs="宋体" w:asciiTheme="minorEastAsia" w:hAnsiTheme="minorEastAsia"/>
          <w:color w:val="0070C0"/>
          <w:kern w:val="0"/>
          <w:szCs w:val="21"/>
        </w:rPr>
      </w:pPr>
      <w:r>
        <w:rPr>
          <w:rFonts w:hint="eastAsia" w:cs="宋体" w:asciiTheme="minorEastAsia" w:hAnsiTheme="minorEastAsia"/>
          <w:b/>
          <w:bCs/>
          <w:color w:val="auto"/>
          <w:kern w:val="0"/>
          <w:szCs w:val="21"/>
        </w:rPr>
        <w:t>d)</w:t>
      </w:r>
      <w:r>
        <w:rPr>
          <w:rFonts w:cs="宋体" w:asciiTheme="minorEastAsia" w:hAnsiTheme="minorEastAsia"/>
          <w:b/>
          <w:bCs/>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ascii="Times New Roman" w:hAnsi="Times New Roman" w:cs="Times New Roman"/>
          <w:color w:val="auto"/>
          <w:szCs w:val="21"/>
          <w:highlight w:val="none"/>
        </w:rPr>
        <w:t>打捞头洛氏硬度检测过程</w:t>
      </w:r>
      <w:r>
        <w:rPr>
          <w:rFonts w:hint="eastAsia" w:ascii="Times New Roman" w:hAnsi="Times New Roman" w:cs="Times New Roman"/>
          <w:color w:val="auto"/>
          <w:szCs w:val="21"/>
          <w:highlight w:val="none"/>
          <w:lang w:eastAsia="zh-CN"/>
        </w:rPr>
        <w:t>”</w:t>
      </w:r>
      <w:r>
        <w:rPr>
          <w:rFonts w:hint="eastAsia"/>
          <w:color w:val="auto"/>
        </w:rPr>
        <w:t>，编制了控制规范，对测量人员、测量设备、测量环境进行控制，满足要求。</w:t>
      </w:r>
    </w:p>
    <w:p>
      <w:pPr>
        <w:widowControl/>
        <w:spacing w:line="276" w:lineRule="auto"/>
        <w:ind w:firstLine="211" w:firstLineChars="100"/>
        <w:rPr>
          <w:rFonts w:cs="宋体" w:asciiTheme="minorEastAsia" w:hAnsiTheme="minorEastAsia"/>
          <w:color w:val="auto"/>
          <w:kern w:val="0"/>
          <w:szCs w:val="21"/>
        </w:rPr>
      </w:pPr>
      <w:r>
        <w:rPr>
          <w:rFonts w:hint="eastAsia" w:cs="宋体" w:asciiTheme="minorEastAsia" w:hAnsiTheme="minorEastAsia"/>
          <w:b/>
          <w:bCs/>
          <w:color w:val="auto"/>
          <w:kern w:val="0"/>
          <w:szCs w:val="21"/>
        </w:rPr>
        <w:t>e)</w:t>
      </w:r>
      <w:r>
        <w:rPr>
          <w:rFonts w:cs="宋体" w:asciiTheme="minorEastAsia" w:hAnsiTheme="minorEastAsia"/>
          <w:b/>
          <w:bCs/>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ascii="Times New Roman" w:hAnsi="Times New Roman" w:cs="Times New Roman"/>
          <w:color w:val="auto"/>
          <w:szCs w:val="21"/>
          <w:highlight w:val="none"/>
        </w:rPr>
        <w:t>打捞头洛氏硬度检测过程</w:t>
      </w:r>
      <w:r>
        <w:rPr>
          <w:rFonts w:hint="eastAsia" w:ascii="Times New Roman" w:hAnsi="Times New Roman" w:cs="Times New Roman"/>
          <w:color w:val="auto"/>
          <w:szCs w:val="21"/>
          <w:highlight w:val="none"/>
          <w:lang w:eastAsia="zh-CN"/>
        </w:rPr>
        <w:t>”</w:t>
      </w:r>
      <w:r>
        <w:rPr>
          <w:rFonts w:hint="eastAsia"/>
          <w:color w:val="auto"/>
        </w:rPr>
        <w:t>，</w:t>
      </w:r>
      <w:r>
        <w:rPr>
          <w:rFonts w:hint="eastAsia" w:cs="宋体" w:asciiTheme="minorEastAsia" w:hAnsiTheme="minorEastAsia"/>
          <w:color w:val="auto"/>
          <w:kern w:val="0"/>
          <w:szCs w:val="21"/>
        </w:rPr>
        <w:t>采用统计技术进行控制和监视测量过程。</w:t>
      </w:r>
      <w:r>
        <w:rPr>
          <w:rFonts w:hint="eastAsia" w:cs="宋体" w:asciiTheme="minorEastAsia" w:hAnsiTheme="minorEastAsia"/>
          <w:color w:val="auto"/>
          <w:kern w:val="0"/>
          <w:szCs w:val="21"/>
          <w:lang w:val="en-US" w:eastAsia="zh-CN"/>
        </w:rPr>
        <w:t>详</w:t>
      </w:r>
      <w:r>
        <w:rPr>
          <w:rFonts w:hint="eastAsia" w:cs="宋体" w:asciiTheme="minorEastAsia" w:hAnsiTheme="minorEastAsia"/>
          <w:color w:val="auto"/>
          <w:kern w:val="0"/>
          <w:szCs w:val="21"/>
        </w:rPr>
        <w:t>见《测量过程监视记录</w:t>
      </w:r>
      <w:r>
        <w:rPr>
          <w:rFonts w:hint="eastAsia" w:cs="宋体" w:asciiTheme="minorEastAsia" w:hAnsiTheme="minorEastAsia"/>
          <w:color w:val="auto"/>
          <w:kern w:val="0"/>
          <w:szCs w:val="21"/>
          <w:lang w:val="en-US" w:eastAsia="zh-CN"/>
        </w:rPr>
        <w:t>及控制图</w:t>
      </w:r>
      <w:r>
        <w:rPr>
          <w:rFonts w:hint="eastAsia" w:cs="宋体" w:asciiTheme="minorEastAsia" w:hAnsiTheme="minorEastAsia"/>
          <w:color w:val="auto"/>
          <w:kern w:val="0"/>
          <w:szCs w:val="21"/>
        </w:rPr>
        <w:t>》</w:t>
      </w:r>
    </w:p>
    <w:p>
      <w:pPr>
        <w:widowControl/>
        <w:spacing w:line="276" w:lineRule="auto"/>
        <w:ind w:firstLine="211" w:firstLineChars="100"/>
        <w:rPr>
          <w:color w:val="auto"/>
          <w:szCs w:val="21"/>
          <w:highlight w:val="none"/>
        </w:rPr>
      </w:pPr>
      <w:r>
        <w:rPr>
          <w:rFonts w:hint="eastAsia" w:cs="宋体" w:asciiTheme="minorEastAsia" w:hAnsiTheme="minorEastAsia"/>
          <w:b/>
          <w:bCs/>
          <w:color w:val="auto"/>
          <w:kern w:val="0"/>
          <w:sz w:val="21"/>
          <w:szCs w:val="21"/>
        </w:rPr>
        <w:t>f)测量设备的溯源</w:t>
      </w:r>
      <w:r>
        <w:rPr>
          <w:rFonts w:hint="eastAsia" w:cs="宋体" w:asciiTheme="minorEastAsia" w:hAnsiTheme="minorEastAsia"/>
          <w:color w:val="auto"/>
          <w:kern w:val="0"/>
          <w:sz w:val="21"/>
          <w:szCs w:val="21"/>
        </w:rPr>
        <w:t>：</w:t>
      </w:r>
      <w:r>
        <w:rPr>
          <w:rFonts w:hint="eastAsia" w:cs="宋体" w:asciiTheme="minorEastAsia" w:hAnsiTheme="minorEastAsia"/>
          <w:color w:val="auto"/>
          <w:kern w:val="0"/>
          <w:sz w:val="21"/>
          <w:szCs w:val="21"/>
          <w:lang w:val="en-US" w:eastAsia="zh-CN"/>
        </w:rPr>
        <w:t>企业</w:t>
      </w:r>
      <w:r>
        <w:rPr>
          <w:rFonts w:hint="eastAsia" w:ascii="宋体" w:hAnsi="宋体" w:eastAsia="宋体"/>
          <w:bCs/>
          <w:color w:val="auto"/>
          <w:sz w:val="21"/>
          <w:szCs w:val="21"/>
          <w:lang w:val="en-US" w:eastAsia="zh-CN"/>
        </w:rPr>
        <w:t>未</w:t>
      </w:r>
      <w:r>
        <w:rPr>
          <w:rFonts w:hint="eastAsia" w:ascii="宋体" w:hAnsi="宋体" w:eastAsia="宋体"/>
          <w:bCs/>
          <w:color w:val="auto"/>
          <w:sz w:val="21"/>
          <w:szCs w:val="21"/>
        </w:rPr>
        <w:t>建立最高</w:t>
      </w:r>
      <w:r>
        <w:rPr>
          <w:rFonts w:hint="eastAsia" w:ascii="宋体" w:hAnsi="宋体" w:eastAsia="宋体"/>
          <w:bCs/>
          <w:color w:val="auto"/>
          <w:sz w:val="21"/>
          <w:szCs w:val="21"/>
          <w:lang w:val="en-US" w:eastAsia="zh-CN"/>
        </w:rPr>
        <w:t>计量</w:t>
      </w:r>
      <w:r>
        <w:rPr>
          <w:rFonts w:hint="eastAsia" w:ascii="宋体" w:hAnsi="宋体" w:eastAsia="宋体"/>
          <w:bCs/>
          <w:color w:val="auto"/>
          <w:sz w:val="21"/>
          <w:szCs w:val="21"/>
        </w:rPr>
        <w:t>标准，测量设备</w:t>
      </w:r>
      <w:r>
        <w:rPr>
          <w:rFonts w:hint="eastAsia" w:ascii="宋体" w:hAnsi="宋体" w:eastAsia="宋体"/>
          <w:bCs/>
          <w:color w:val="auto"/>
          <w:sz w:val="21"/>
          <w:szCs w:val="21"/>
          <w:lang w:val="en-US" w:eastAsia="zh-CN"/>
        </w:rPr>
        <w:t>全部</w:t>
      </w:r>
      <w:r>
        <w:rPr>
          <w:rFonts w:hint="eastAsia" w:ascii="宋体" w:hAnsi="宋体" w:eastAsia="宋体"/>
          <w:bCs/>
          <w:color w:val="auto"/>
          <w:sz w:val="21"/>
          <w:szCs w:val="21"/>
        </w:rPr>
        <w:t>送</w:t>
      </w:r>
      <w:r>
        <w:rPr>
          <w:rFonts w:hint="eastAsia" w:ascii="宋体" w:hAnsi="宋体" w:eastAsia="宋体"/>
          <w:bCs/>
          <w:color w:val="auto"/>
          <w:sz w:val="21"/>
          <w:szCs w:val="21"/>
          <w:highlight w:val="none"/>
        </w:rPr>
        <w:t>方圆检测认证有限公司</w:t>
      </w:r>
      <w:r>
        <w:rPr>
          <w:rFonts w:hint="eastAsia" w:ascii="宋体" w:hAnsi="宋体" w:eastAsia="宋体"/>
          <w:bCs/>
          <w:color w:val="auto"/>
          <w:sz w:val="21"/>
          <w:szCs w:val="21"/>
          <w:highlight w:val="none"/>
          <w:lang w:eastAsia="zh-CN"/>
        </w:rPr>
        <w:t>、</w:t>
      </w:r>
      <w:r>
        <w:rPr>
          <w:rFonts w:hint="default" w:ascii="Times New Roman" w:hAnsi="Times New Roman" w:eastAsia="宋体" w:cs="Times New Roman"/>
          <w:sz w:val="21"/>
          <w:szCs w:val="21"/>
        </w:rPr>
        <w:t>宝鸡市宝石石油量规检测中心</w:t>
      </w:r>
      <w:r>
        <w:rPr>
          <w:rFonts w:hint="eastAsia"/>
          <w:color w:val="auto"/>
          <w:sz w:val="21"/>
          <w:szCs w:val="21"/>
          <w:highlight w:val="none"/>
        </w:rPr>
        <w:t>校准。抽查</w:t>
      </w:r>
      <w:r>
        <w:rPr>
          <w:rFonts w:hint="eastAsia"/>
          <w:color w:val="auto"/>
          <w:sz w:val="21"/>
          <w:szCs w:val="21"/>
          <w:highlight w:val="none"/>
          <w:lang w:val="en-US" w:eastAsia="zh-CN"/>
        </w:rPr>
        <w:t>6</w:t>
      </w:r>
      <w:r>
        <w:rPr>
          <w:rFonts w:hint="eastAsia"/>
          <w:color w:val="auto"/>
          <w:szCs w:val="21"/>
          <w:highlight w:val="none"/>
        </w:rPr>
        <w:t>台测量设备</w:t>
      </w:r>
      <w:r>
        <w:rPr>
          <w:rFonts w:hint="eastAsia"/>
          <w:color w:val="auto"/>
          <w:szCs w:val="21"/>
          <w:highlight w:val="none"/>
          <w:lang w:val="en-US" w:eastAsia="zh-CN"/>
        </w:rPr>
        <w:t>的</w:t>
      </w:r>
      <w:r>
        <w:rPr>
          <w:rFonts w:hint="eastAsia"/>
          <w:color w:val="auto"/>
          <w:szCs w:val="21"/>
          <w:highlight w:val="none"/>
        </w:rPr>
        <w:t>校准证书</w:t>
      </w:r>
      <w:r>
        <w:rPr>
          <w:rFonts w:hint="eastAsia"/>
          <w:color w:val="auto"/>
          <w:szCs w:val="21"/>
          <w:highlight w:val="none"/>
          <w:lang w:eastAsia="zh-CN"/>
        </w:rPr>
        <w:t>，</w:t>
      </w:r>
      <w:r>
        <w:rPr>
          <w:rFonts w:hint="eastAsia"/>
          <w:color w:val="auto"/>
          <w:szCs w:val="21"/>
          <w:highlight w:val="none"/>
          <w:lang w:val="en-US" w:eastAsia="zh-CN"/>
        </w:rPr>
        <w:t>均在有效期内使用</w:t>
      </w:r>
      <w:r>
        <w:rPr>
          <w:rFonts w:hint="eastAsia"/>
          <w:color w:val="auto"/>
          <w:szCs w:val="21"/>
          <w:highlight w:val="none"/>
        </w:rPr>
        <w:t>，溯源满足要求。</w:t>
      </w:r>
      <w:r>
        <w:rPr>
          <w:rFonts w:hint="eastAsia"/>
          <w:color w:val="auto"/>
          <w:szCs w:val="21"/>
          <w:highlight w:val="none"/>
          <w:lang w:val="en-US" w:eastAsia="zh-CN"/>
        </w:rPr>
        <w:t>详</w:t>
      </w:r>
      <w:r>
        <w:rPr>
          <w:rFonts w:hint="eastAsia"/>
          <w:color w:val="auto"/>
          <w:szCs w:val="21"/>
          <w:highlight w:val="none"/>
        </w:rPr>
        <w:t>见《测量设备溯源</w:t>
      </w:r>
      <w:r>
        <w:rPr>
          <w:rFonts w:hint="eastAsia"/>
          <w:color w:val="auto"/>
          <w:szCs w:val="21"/>
          <w:highlight w:val="none"/>
          <w:lang w:val="en-US" w:eastAsia="zh-CN"/>
        </w:rPr>
        <w:t>抽查</w:t>
      </w:r>
      <w:r>
        <w:rPr>
          <w:rFonts w:hint="eastAsia"/>
          <w:color w:val="auto"/>
          <w:szCs w:val="21"/>
          <w:highlight w:val="none"/>
        </w:rPr>
        <w:t>表》</w:t>
      </w:r>
    </w:p>
    <w:p>
      <w:pPr>
        <w:widowControl/>
        <w:spacing w:line="276" w:lineRule="auto"/>
        <w:rPr>
          <w:b/>
          <w:bCs/>
          <w:color w:val="auto"/>
          <w:szCs w:val="21"/>
        </w:rPr>
      </w:pPr>
      <w:r>
        <w:rPr>
          <w:rFonts w:hint="eastAsia"/>
          <w:b/>
          <w:bCs/>
          <w:color w:val="auto"/>
          <w:szCs w:val="21"/>
        </w:rPr>
        <w:t>4.能源管理情况：</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企业主要耗能</w:t>
      </w:r>
      <w:r>
        <w:rPr>
          <w:rFonts w:hint="default" w:ascii="Times New Roman" w:hAnsi="Times New Roman" w:eastAsia="宋体" w:cs="Times New Roman"/>
          <w:color w:val="auto"/>
          <w:sz w:val="21"/>
          <w:szCs w:val="21"/>
          <w:highlight w:val="none"/>
          <w:lang w:val="en-US" w:eastAsia="zh-CN"/>
        </w:rPr>
        <w:t>品种</w:t>
      </w:r>
      <w:r>
        <w:rPr>
          <w:rFonts w:hint="default" w:ascii="Times New Roman" w:hAnsi="Times New Roman" w:eastAsia="宋体" w:cs="Times New Roman"/>
          <w:color w:val="auto"/>
          <w:sz w:val="21"/>
          <w:szCs w:val="21"/>
          <w:highlight w:val="none"/>
        </w:rPr>
        <w:t>为</w:t>
      </w:r>
      <w:r>
        <w:rPr>
          <w:rFonts w:hint="default" w:ascii="Times New Roman" w:hAnsi="Times New Roman" w:eastAsia="宋体" w:cs="Times New Roman"/>
          <w:color w:val="auto"/>
          <w:sz w:val="21"/>
          <w:szCs w:val="21"/>
          <w:highlight w:val="none"/>
          <w:lang w:val="en-US" w:eastAsia="zh-CN"/>
        </w:rPr>
        <w:t>水和</w:t>
      </w:r>
      <w:r>
        <w:rPr>
          <w:rFonts w:hint="default" w:ascii="Times New Roman" w:hAnsi="Times New Roman" w:eastAsia="宋体" w:cs="Times New Roman"/>
          <w:color w:val="auto"/>
          <w:sz w:val="21"/>
          <w:szCs w:val="21"/>
          <w:highlight w:val="none"/>
        </w:rPr>
        <w:t>电；202</w:t>
      </w:r>
      <w:r>
        <w:rPr>
          <w:rFonts w:hint="default" w:ascii="Times New Roman" w:hAnsi="Times New Roman" w:eastAsia="宋体" w:cs="Times New Roman"/>
          <w:color w:val="auto"/>
          <w:sz w:val="21"/>
          <w:szCs w:val="21"/>
          <w:highlight w:val="none"/>
          <w:lang w:val="en-US" w:eastAsia="zh-CN"/>
        </w:rPr>
        <w:t>1年共用水</w:t>
      </w:r>
      <w:r>
        <w:rPr>
          <w:rFonts w:hint="eastAsia" w:ascii="Times New Roman" w:hAnsi="Times New Roman" w:eastAsia="宋体" w:cs="Times New Roman"/>
          <w:color w:val="auto"/>
          <w:sz w:val="21"/>
          <w:szCs w:val="21"/>
          <w:highlight w:val="none"/>
          <w:lang w:val="en-US" w:eastAsia="zh-CN"/>
        </w:rPr>
        <w:t>1552吨</w:t>
      </w:r>
      <w:r>
        <w:rPr>
          <w:rFonts w:hint="default" w:ascii="Times New Roman" w:hAnsi="Times New Roman" w:eastAsia="宋体" w:cs="Times New Roman"/>
          <w:color w:val="auto"/>
          <w:sz w:val="21"/>
          <w:szCs w:val="21"/>
          <w:highlight w:val="none"/>
          <w:lang w:val="en-US" w:eastAsia="zh-CN"/>
        </w:rPr>
        <w:t>，用电</w:t>
      </w:r>
      <w:r>
        <w:rPr>
          <w:rFonts w:hint="eastAsia" w:ascii="Times New Roman" w:hAnsi="Times New Roman" w:eastAsia="宋体" w:cs="Times New Roman"/>
          <w:color w:val="auto"/>
          <w:sz w:val="21"/>
          <w:szCs w:val="21"/>
          <w:highlight w:val="none"/>
          <w:lang w:val="en-US" w:eastAsia="zh-CN"/>
        </w:rPr>
        <w:t>372941千瓦时</w:t>
      </w:r>
      <w:r>
        <w:rPr>
          <w:rFonts w:hint="default" w:ascii="Times New Roman" w:hAnsi="Times New Roman" w:eastAsia="宋体" w:cs="Times New Roman"/>
          <w:color w:val="auto"/>
          <w:sz w:val="21"/>
          <w:szCs w:val="21"/>
          <w:highlight w:val="none"/>
          <w:lang w:val="en-US" w:eastAsia="zh-CN"/>
        </w:rPr>
        <w:t>。折合</w:t>
      </w:r>
      <w:r>
        <w:rPr>
          <w:rFonts w:hint="eastAsia" w:ascii="Times New Roman" w:hAnsi="Times New Roman" w:eastAsia="宋体" w:cs="Times New Roman"/>
          <w:color w:val="auto"/>
          <w:sz w:val="21"/>
          <w:szCs w:val="21"/>
          <w:highlight w:val="none"/>
          <w:lang w:val="en-US" w:eastAsia="zh-CN"/>
        </w:rPr>
        <w:t>45.96</w:t>
      </w:r>
      <w:r>
        <w:rPr>
          <w:rFonts w:hint="default" w:ascii="Times New Roman" w:hAnsi="Times New Roman" w:eastAsia="宋体" w:cs="Times New Roman"/>
          <w:color w:val="auto"/>
          <w:sz w:val="21"/>
          <w:szCs w:val="21"/>
          <w:highlight w:val="none"/>
        </w:rPr>
        <w:t>吨标煤</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企业</w:t>
      </w:r>
      <w:r>
        <w:rPr>
          <w:rFonts w:hint="default" w:ascii="Times New Roman" w:hAnsi="Times New Roman" w:eastAsia="宋体" w:cs="Times New Roman"/>
          <w:color w:val="auto"/>
          <w:sz w:val="21"/>
          <w:szCs w:val="21"/>
          <w:highlight w:val="none"/>
        </w:rPr>
        <w:t>不是重点</w:t>
      </w:r>
      <w:r>
        <w:rPr>
          <w:rFonts w:hint="default" w:ascii="Times New Roman" w:hAnsi="Times New Roman"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rPr>
        <w:t>能</w:t>
      </w:r>
      <w:r>
        <w:rPr>
          <w:rFonts w:hint="default" w:ascii="Times New Roman" w:hAnsi="Times New Roman" w:eastAsia="宋体" w:cs="Times New Roman"/>
          <w:color w:val="auto"/>
          <w:sz w:val="21"/>
          <w:szCs w:val="21"/>
          <w:highlight w:val="none"/>
          <w:lang w:val="en-US" w:eastAsia="zh-CN"/>
        </w:rPr>
        <w:t>单位</w:t>
      </w:r>
      <w:r>
        <w:rPr>
          <w:rFonts w:hint="default" w:ascii="Times New Roman" w:hAnsi="Times New Roman" w:eastAsia="宋体" w:cs="Times New Roman"/>
          <w:color w:val="auto"/>
          <w:sz w:val="21"/>
          <w:szCs w:val="21"/>
          <w:highlight w:val="none"/>
        </w:rPr>
        <w:t>。</w:t>
      </w:r>
    </w:p>
    <w:p>
      <w:pPr>
        <w:widowControl/>
        <w:spacing w:line="276" w:lineRule="auto"/>
        <w:rPr>
          <w:rFonts w:cs="宋体" w:asciiTheme="minorEastAsia" w:hAnsiTheme="minorEastAsia"/>
          <w:color w:val="auto"/>
          <w:kern w:val="0"/>
          <w:szCs w:val="21"/>
        </w:rPr>
      </w:pPr>
      <w:r>
        <w:rPr>
          <w:rFonts w:hint="eastAsia" w:asciiTheme="minorEastAsia" w:hAnsiTheme="minorEastAsia"/>
          <w:b/>
          <w:bCs w:val="0"/>
          <w:color w:val="auto"/>
          <w:szCs w:val="21"/>
        </w:rPr>
        <w:t>5.对认证审核时提出的的不符合项的纠正措施情况有表述</w:t>
      </w:r>
      <w:r>
        <w:rPr>
          <w:rFonts w:cs="宋体" w:asciiTheme="minorEastAsia" w:hAnsiTheme="minorEastAsia"/>
          <w:b/>
          <w:bCs w:val="0"/>
          <w:color w:val="auto"/>
          <w:kern w:val="0"/>
          <w:szCs w:val="21"/>
        </w:rPr>
        <w:t>：</w:t>
      </w:r>
      <w:r>
        <w:rPr>
          <w:rFonts w:cs="宋体" w:asciiTheme="minorEastAsia" w:hAnsiTheme="minorEastAsia"/>
          <w:color w:val="auto"/>
          <w:kern w:val="0"/>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企业上年度</w:t>
      </w:r>
      <w:r>
        <w:rPr>
          <w:rFonts w:hint="eastAsia" w:ascii="Times New Roman" w:hAnsi="Times New Roman" w:eastAsia="宋体" w:cs="Times New Roman"/>
          <w:b w:val="0"/>
          <w:bCs/>
          <w:color w:val="auto"/>
          <w:sz w:val="21"/>
          <w:szCs w:val="21"/>
          <w:highlight w:val="none"/>
          <w:lang w:val="en-US" w:eastAsia="zh-CN"/>
        </w:rPr>
        <w:t>监督审核</w:t>
      </w:r>
      <w:r>
        <w:rPr>
          <w:rFonts w:hint="default" w:ascii="Times New Roman" w:hAnsi="Times New Roman" w:eastAsia="宋体" w:cs="Times New Roman"/>
          <w:b w:val="0"/>
          <w:bCs/>
          <w:color w:val="auto"/>
          <w:sz w:val="21"/>
          <w:szCs w:val="21"/>
          <w:highlight w:val="none"/>
          <w:lang w:val="en-US" w:eastAsia="zh-CN"/>
        </w:rPr>
        <w:t>出具的</w:t>
      </w:r>
      <w:r>
        <w:rPr>
          <w:rFonts w:hint="eastAsia" w:ascii="Times New Roman" w:hAnsi="Times New Roman" w:eastAsia="宋体" w:cs="Times New Roman"/>
          <w:b w:val="0"/>
          <w:bCs/>
          <w:color w:val="auto"/>
          <w:sz w:val="21"/>
          <w:szCs w:val="21"/>
          <w:highlight w:val="none"/>
          <w:lang w:val="en-US" w:eastAsia="zh-CN"/>
        </w:rPr>
        <w:t>2</w:t>
      </w:r>
      <w:r>
        <w:rPr>
          <w:rFonts w:hint="default" w:ascii="Times New Roman" w:hAnsi="Times New Roman" w:eastAsia="宋体" w:cs="Times New Roman"/>
          <w:b w:val="0"/>
          <w:bCs/>
          <w:color w:val="auto"/>
          <w:sz w:val="21"/>
          <w:szCs w:val="21"/>
          <w:highlight w:val="none"/>
          <w:lang w:val="en-US" w:eastAsia="zh-CN"/>
        </w:rPr>
        <w:t>个不符合项为：</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2" w:firstLineChars="200"/>
        <w:textAlignment w:val="auto"/>
        <w:rPr>
          <w:rFonts w:hint="eastAsia" w:ascii="Times New Roman" w:hAnsi="Times New Roman"/>
          <w:bCs/>
          <w:kern w:val="0"/>
          <w:szCs w:val="21"/>
          <w:u w:val="none"/>
          <w:lang w:eastAsia="zh-CN"/>
        </w:rPr>
      </w:pPr>
      <w:r>
        <w:rPr>
          <w:rFonts w:hint="eastAsia" w:ascii="Times New Roman" w:hAnsi="Times New Roman"/>
          <w:b/>
          <w:bCs w:val="0"/>
          <w:szCs w:val="21"/>
          <w:lang w:val="en-US" w:eastAsia="zh-CN"/>
        </w:rPr>
        <w:t>01、</w:t>
      </w:r>
      <w:r>
        <w:rPr>
          <w:rFonts w:ascii="Times New Roman" w:hAnsi="Times New Roman"/>
          <w:bCs/>
          <w:szCs w:val="21"/>
        </w:rPr>
        <w:t>查企业提供的2021年度《计量人员培训计划》的培训项目为“测量设备的上岗培训”，培训人员（6-8）名，查综合部未提供出该培训项目完成评价的见证性记录</w:t>
      </w:r>
      <w:r>
        <w:rPr>
          <w:rFonts w:hint="eastAsia" w:ascii="Times New Roman" w:hAnsi="Times New Roman"/>
          <w:bCs/>
          <w:szCs w:val="21"/>
          <w:lang w:eastAsia="zh-CN"/>
        </w:rPr>
        <w:t>。</w:t>
      </w: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9"/>
          <w:rFonts w:ascii="宋体" w:hAnsi="宋体" w:eastAsia="宋体"/>
          <w:sz w:val="21"/>
          <w:szCs w:val="21"/>
          <w:lang w:val="zh-CN"/>
        </w:rPr>
        <w:t>审核准则</w:t>
      </w:r>
      <w:r>
        <w:rPr>
          <w:rFonts w:ascii="宋体" w:hAnsi="宋体" w:eastAsia="宋体" w:cs="宋体"/>
          <w:kern w:val="0"/>
          <w:szCs w:val="21"/>
        </w:rPr>
        <w:t>条</w:t>
      </w:r>
      <w:r>
        <w:rPr>
          <w:rFonts w:ascii="宋体" w:hAnsi="宋体" w:cs="宋体"/>
          <w:kern w:val="0"/>
          <w:szCs w:val="21"/>
        </w:rPr>
        <w:t>款号：</w:t>
      </w:r>
      <w:r>
        <w:rPr>
          <w:rFonts w:ascii="Times New Roman" w:hAnsi="Times New Roman"/>
          <w:bCs/>
          <w:kern w:val="0"/>
          <w:szCs w:val="21"/>
          <w:u w:val="none"/>
        </w:rPr>
        <w:t>6. 1.2能力和培训</w:t>
      </w:r>
      <w:r>
        <w:rPr>
          <w:rFonts w:hint="eastAsia" w:ascii="Times New Roman" w:hAnsi="Times New Roman"/>
          <w:bCs/>
          <w:kern w:val="0"/>
          <w:szCs w:val="21"/>
          <w:u w:val="none"/>
          <w:lang w:eastAsia="zh-CN"/>
        </w:rPr>
        <w:t>。</w:t>
      </w:r>
    </w:p>
    <w:p>
      <w:pPr>
        <w:widowControl/>
        <w:spacing w:line="276" w:lineRule="auto"/>
        <w:ind w:firstLine="422" w:firstLineChars="200"/>
        <w:rPr>
          <w:rFonts w:hint="eastAsia" w:ascii="宋体" w:hAnsi="宋体"/>
          <w:szCs w:val="21"/>
          <w:u w:val="none"/>
          <w:lang w:eastAsia="zh-CN"/>
        </w:rPr>
      </w:pPr>
      <w:r>
        <w:rPr>
          <w:rFonts w:hint="eastAsia" w:ascii="Times New Roman" w:hAnsi="Times New Roman"/>
          <w:b/>
          <w:bCs w:val="0"/>
          <w:kern w:val="0"/>
          <w:szCs w:val="21"/>
          <w:u w:val="none"/>
          <w:lang w:val="en-US" w:eastAsia="zh-CN"/>
        </w:rPr>
        <w:t>02、</w:t>
      </w:r>
      <w:r>
        <w:rPr>
          <w:rFonts w:ascii="宋体" w:hAnsi="宋体"/>
          <w:bCs/>
          <w:szCs w:val="21"/>
        </w:rPr>
        <w:t>抽查</w:t>
      </w:r>
      <w:r>
        <w:rPr>
          <w:rFonts w:hint="eastAsia" w:ascii="宋体" w:hAnsi="宋体"/>
          <w:bCs/>
          <w:szCs w:val="21"/>
        </w:rPr>
        <w:t>生产技术部提供的“超声波探伤仪”校准证书</w:t>
      </w:r>
      <w:r>
        <w:rPr>
          <w:rFonts w:ascii="宋体" w:hAnsi="宋体"/>
          <w:bCs/>
          <w:szCs w:val="21"/>
        </w:rPr>
        <w:t>，</w:t>
      </w:r>
      <w:r>
        <w:rPr>
          <w:rFonts w:hint="eastAsia" w:ascii="宋体" w:hAnsi="宋体"/>
          <w:bCs/>
          <w:szCs w:val="21"/>
        </w:rPr>
        <w:t>校准使用的主要测量标准为“超声波质量检测仪校准装置”的技术特征一栏为“空白”，未能溯源到I</w:t>
      </w:r>
      <w:r>
        <w:rPr>
          <w:rFonts w:ascii="宋体" w:hAnsi="宋体"/>
          <w:bCs/>
          <w:szCs w:val="21"/>
        </w:rPr>
        <w:t>S</w:t>
      </w:r>
      <w:r>
        <w:rPr>
          <w:rFonts w:hint="eastAsia" w:ascii="宋体" w:hAnsi="宋体"/>
          <w:bCs/>
          <w:szCs w:val="21"/>
        </w:rPr>
        <w:t>单位标准。</w:t>
      </w: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9"/>
          <w:rFonts w:ascii="宋体" w:hAnsi="宋体" w:eastAsia="宋体"/>
          <w:sz w:val="21"/>
          <w:szCs w:val="21"/>
          <w:lang w:val="zh-CN"/>
        </w:rPr>
        <w:t>审核准则</w:t>
      </w:r>
      <w:r>
        <w:rPr>
          <w:rFonts w:ascii="宋体" w:hAnsi="宋体" w:eastAsia="宋体" w:cs="宋体"/>
          <w:kern w:val="0"/>
          <w:szCs w:val="21"/>
        </w:rPr>
        <w:t>条</w:t>
      </w:r>
      <w:r>
        <w:rPr>
          <w:rFonts w:ascii="宋体" w:hAnsi="宋体" w:cs="宋体"/>
          <w:kern w:val="0"/>
          <w:szCs w:val="21"/>
        </w:rPr>
        <w:t>款号：</w:t>
      </w:r>
      <w:r>
        <w:rPr>
          <w:rFonts w:ascii="宋体" w:hAnsi="宋体"/>
          <w:szCs w:val="21"/>
          <w:u w:val="none"/>
        </w:rPr>
        <w:t>7.3.2溯源性</w:t>
      </w:r>
      <w:r>
        <w:rPr>
          <w:rFonts w:hint="eastAsia" w:ascii="宋体" w:hAnsi="宋体"/>
          <w:szCs w:val="21"/>
          <w:u w:val="none"/>
          <w:lang w:eastAsia="zh-CN"/>
        </w:rPr>
        <w:t>。</w:t>
      </w:r>
    </w:p>
    <w:p>
      <w:pPr>
        <w:widowControl/>
        <w:spacing w:line="276" w:lineRule="auto"/>
        <w:ind w:firstLine="420" w:firstLineChars="200"/>
        <w:rPr>
          <w:rFonts w:cs="宋体" w:asciiTheme="minorEastAsia" w:hAnsiTheme="minorEastAsia"/>
          <w:color w:val="auto"/>
          <w:kern w:val="0"/>
          <w:szCs w:val="21"/>
        </w:rPr>
      </w:pPr>
      <w:r>
        <w:rPr>
          <w:rFonts w:hint="eastAsia" w:ascii="宋体" w:hAnsi="宋体" w:cs="宋体"/>
          <w:bCs/>
          <w:color w:val="auto"/>
          <w:kern w:val="0"/>
          <w:szCs w:val="21"/>
        </w:rPr>
        <w:t>企业对</w:t>
      </w:r>
      <w:r>
        <w:rPr>
          <w:rFonts w:hint="eastAsia" w:ascii="宋体" w:hAnsi="宋体" w:cs="宋体"/>
          <w:bCs/>
          <w:color w:val="auto"/>
          <w:kern w:val="0"/>
          <w:szCs w:val="21"/>
          <w:lang w:val="en-US" w:eastAsia="zh-CN"/>
        </w:rPr>
        <w:t>上述2项不符合</w:t>
      </w:r>
      <w:r>
        <w:rPr>
          <w:rFonts w:hint="eastAsia" w:ascii="宋体" w:hAnsi="宋体" w:cs="宋体"/>
          <w:bCs/>
          <w:color w:val="auto"/>
          <w:kern w:val="0"/>
          <w:szCs w:val="21"/>
        </w:rPr>
        <w:t>组织了纠正</w:t>
      </w:r>
      <w:r>
        <w:rPr>
          <w:rFonts w:hint="eastAsia" w:ascii="宋体" w:hAnsi="宋体" w:cs="宋体"/>
          <w:bCs/>
          <w:color w:val="auto"/>
          <w:kern w:val="0"/>
          <w:szCs w:val="21"/>
          <w:lang w:eastAsia="zh-CN"/>
        </w:rPr>
        <w:t>，</w:t>
      </w:r>
      <w:r>
        <w:rPr>
          <w:rFonts w:hint="eastAsia" w:ascii="宋体" w:hAnsi="宋体" w:cs="宋体"/>
          <w:bCs/>
          <w:color w:val="auto"/>
          <w:kern w:val="0"/>
          <w:szCs w:val="21"/>
        </w:rPr>
        <w:t>避免相同问题重复发生。</w:t>
      </w:r>
      <w:r>
        <w:rPr>
          <w:rFonts w:hint="eastAsia" w:ascii="宋体" w:hAnsi="宋体" w:cs="宋体"/>
          <w:bCs/>
          <w:color w:val="auto"/>
          <w:kern w:val="0"/>
          <w:szCs w:val="21"/>
          <w:lang w:val="en-US" w:eastAsia="zh-CN"/>
        </w:rPr>
        <w:t>经</w:t>
      </w:r>
      <w:r>
        <w:rPr>
          <w:rFonts w:hint="eastAsia" w:ascii="宋体" w:hAnsi="宋体" w:cs="宋体"/>
          <w:bCs/>
          <w:color w:val="auto"/>
          <w:kern w:val="0"/>
          <w:szCs w:val="21"/>
        </w:rPr>
        <w:t>验证该不符合项纠正措施有效，同意关闭。</w:t>
      </w:r>
    </w:p>
    <w:p>
      <w:pPr>
        <w:widowControl/>
        <w:numPr>
          <w:ilvl w:val="0"/>
          <w:numId w:val="1"/>
        </w:numPr>
        <w:spacing w:line="276" w:lineRule="auto"/>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对</w:t>
      </w:r>
      <w:r>
        <w:rPr>
          <w:rFonts w:hint="eastAsia" w:asciiTheme="minorEastAsia" w:hAnsiTheme="minorEastAsia"/>
          <w:b/>
          <w:bCs/>
          <w:color w:val="auto"/>
          <w:szCs w:val="21"/>
        </w:rPr>
        <w:t>投诉的处理</w:t>
      </w:r>
      <w:r>
        <w:rPr>
          <w:rFonts w:cs="宋体" w:asciiTheme="minorEastAsia" w:hAnsiTheme="minorEastAsia"/>
          <w:b/>
          <w:bCs/>
          <w:color w:val="auto"/>
          <w:kern w:val="0"/>
          <w:szCs w:val="21"/>
        </w:rPr>
        <w:t>情况：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ascii="宋体" w:hAnsi="宋体" w:cs="宋体"/>
          <w:bCs/>
          <w:color w:val="0070C0"/>
          <w:kern w:val="0"/>
          <w:szCs w:val="21"/>
        </w:rPr>
      </w:pPr>
      <w:r>
        <w:rPr>
          <w:rFonts w:hint="eastAsia" w:cs="宋体" w:asciiTheme="minorEastAsia" w:hAnsiTheme="minorEastAsia"/>
          <w:bCs/>
          <w:color w:val="auto"/>
          <w:kern w:val="0"/>
          <w:szCs w:val="21"/>
        </w:rPr>
        <w:t>企业</w:t>
      </w:r>
      <w:r>
        <w:rPr>
          <w:rFonts w:hint="eastAsia" w:cs="宋体" w:asciiTheme="minorEastAsia" w:hAnsiTheme="minorEastAsia"/>
          <w:bCs/>
          <w:color w:val="auto"/>
          <w:kern w:val="0"/>
          <w:szCs w:val="21"/>
          <w:lang w:val="en-US" w:eastAsia="zh-CN"/>
        </w:rPr>
        <w:t>从上次监督审核至今，在</w:t>
      </w:r>
      <w:r>
        <w:rPr>
          <w:rFonts w:hint="default" w:ascii="Times New Roman" w:hAnsi="Times New Roman" w:eastAsia="宋体" w:cs="Times New Roman"/>
          <w:color w:val="auto"/>
          <w:sz w:val="21"/>
          <w:szCs w:val="21"/>
          <w:highlight w:val="none"/>
          <w:lang w:val="en-US" w:eastAsia="zh-CN"/>
        </w:rPr>
        <w:t>产品质量、物料交接、能源、安全、现场管理等方面没</w:t>
      </w:r>
      <w:r>
        <w:rPr>
          <w:rFonts w:hint="eastAsia" w:ascii="Times New Roman" w:hAnsi="Times New Roman" w:eastAsia="宋体" w:cs="Times New Roman"/>
          <w:color w:val="auto"/>
          <w:sz w:val="21"/>
          <w:szCs w:val="21"/>
          <w:highlight w:val="none"/>
          <w:lang w:val="en-US" w:eastAsia="zh-CN"/>
        </w:rPr>
        <w:t>未有</w:t>
      </w:r>
      <w:r>
        <w:rPr>
          <w:rFonts w:hint="default" w:ascii="Times New Roman" w:hAnsi="Times New Roman" w:eastAsia="宋体" w:cs="Times New Roman"/>
          <w:color w:val="auto"/>
          <w:sz w:val="21"/>
          <w:szCs w:val="21"/>
          <w:highlight w:val="none"/>
          <w:lang w:val="en-US" w:eastAsia="zh-CN"/>
        </w:rPr>
        <w:t>顾客投诉、纠纷、处理等情况发生</w:t>
      </w:r>
      <w:r>
        <w:rPr>
          <w:rFonts w:hint="eastAsia" w:ascii="Times New Roman" w:hAnsi="Times New Roman" w:eastAsia="宋体" w:cs="Times New Roman"/>
          <w:color w:val="auto"/>
          <w:sz w:val="21"/>
          <w:szCs w:val="21"/>
          <w:highlight w:val="none"/>
          <w:lang w:val="en-US" w:eastAsia="zh-CN"/>
        </w:rPr>
        <w:t>，</w:t>
      </w:r>
      <w:r>
        <w:rPr>
          <w:rFonts w:hint="eastAsia"/>
          <w:bCs/>
          <w:color w:val="auto"/>
          <w:szCs w:val="21"/>
        </w:rPr>
        <w:t>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r>
        <w:rPr>
          <w:rFonts w:hint="eastAsia" w:ascii="宋体" w:hAnsi="宋体" w:cs="宋体"/>
          <w:bCs/>
          <w:color w:val="auto"/>
          <w:kern w:val="0"/>
          <w:szCs w:val="21"/>
          <w:lang w:eastAsia="zh-CN"/>
        </w:rPr>
        <w:t>。</w:t>
      </w: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
          <w:bCs w:val="0"/>
          <w:color w:val="auto"/>
          <w:szCs w:val="21"/>
          <w:lang w:val="en-US" w:eastAsia="zh-CN"/>
        </w:rPr>
        <w:t>7.</w:t>
      </w:r>
      <w:r>
        <w:rPr>
          <w:rFonts w:hint="eastAsia" w:asciiTheme="minorEastAsia" w:hAnsiTheme="minorEastAsia"/>
          <w:b/>
          <w:bCs w:val="0"/>
          <w:color w:val="auto"/>
          <w:szCs w:val="21"/>
        </w:rPr>
        <w:t>测量管理体系在实现获证客户目标方面的有效性及持续的运作控制</w:t>
      </w:r>
      <w:r>
        <w:rPr>
          <w:rFonts w:cs="宋体" w:asciiTheme="minorEastAsia" w:hAnsiTheme="minorEastAsia"/>
          <w:b/>
          <w:bCs w:val="0"/>
          <w:color w:val="auto"/>
          <w:kern w:val="0"/>
          <w:szCs w:val="21"/>
        </w:rPr>
        <w:t>情况：</w:t>
      </w:r>
    </w:p>
    <w:p>
      <w:pPr>
        <w:widowControl/>
        <w:spacing w:line="276" w:lineRule="auto"/>
        <w:ind w:firstLine="422" w:firstLineChars="2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bCs/>
          <w:color w:val="auto"/>
          <w:sz w:val="21"/>
          <w:szCs w:val="21"/>
        </w:rPr>
        <w:t>领导层重视测量管理体系各项工作，职能部门</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职能作用发挥较好，测量管理体系运行正常，并持续符合相关法律、法规的要求。</w:t>
      </w:r>
      <w:r>
        <w:rPr>
          <w:rFonts w:hint="eastAsia" w:ascii="Times New Roman" w:hAnsi="Times New Roman" w:eastAsia="宋体" w:cs="Times New Roman"/>
          <w:bCs/>
          <w:color w:val="auto"/>
          <w:sz w:val="21"/>
          <w:szCs w:val="21"/>
          <w:lang w:val="en-US" w:eastAsia="zh-CN"/>
        </w:rPr>
        <w:t>符合要求。</w:t>
      </w:r>
    </w:p>
    <w:p>
      <w:pPr>
        <w:widowControl/>
        <w:spacing w:line="276" w:lineRule="auto"/>
        <w:ind w:firstLine="420" w:firstLineChars="200"/>
        <w:rPr>
          <w:rFonts w:cs="宋体" w:asciiTheme="minorEastAsia" w:hAnsiTheme="minorEastAsia"/>
          <w:bCs/>
          <w:color w:val="auto"/>
          <w:kern w:val="0"/>
          <w:szCs w:val="21"/>
          <w:highlight w:val="none"/>
        </w:rPr>
      </w:pPr>
      <w:r>
        <w:rPr>
          <w:rFonts w:hint="eastAsia" w:ascii="Times New Roman" w:hAnsi="Times New Roman" w:eastAsia="宋体" w:cs="Times New Roman"/>
          <w:b w:val="0"/>
          <w:bCs/>
          <w:color w:val="auto"/>
          <w:sz w:val="21"/>
          <w:szCs w:val="21"/>
          <w:lang w:val="en-US" w:eastAsia="zh-CN"/>
        </w:rPr>
        <w:t>7.2.</w:t>
      </w:r>
      <w:r>
        <w:rPr>
          <w:rFonts w:hint="default" w:ascii="Times New Roman" w:hAnsi="Times New Roman" w:eastAsia="宋体" w:cs="Times New Roman"/>
          <w:b w:val="0"/>
          <w:bCs/>
          <w:color w:val="auto"/>
          <w:sz w:val="21"/>
          <w:szCs w:val="21"/>
        </w:rPr>
        <w:t>企业制定</w:t>
      </w:r>
      <w:r>
        <w:rPr>
          <w:rFonts w:hint="default" w:ascii="Times New Roman" w:hAnsi="Times New Roman" w:eastAsia="宋体" w:cs="Times New Roman"/>
          <w:b w:val="0"/>
          <w:bCs/>
          <w:color w:val="auto"/>
          <w:sz w:val="21"/>
          <w:szCs w:val="21"/>
          <w:lang w:val="en-US" w:eastAsia="zh-CN"/>
        </w:rPr>
        <w:t>了</w:t>
      </w:r>
      <w:r>
        <w:rPr>
          <w:rFonts w:hint="eastAsia"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 w:val="0"/>
          <w:bCs/>
          <w:color w:val="auto"/>
          <w:sz w:val="21"/>
          <w:szCs w:val="21"/>
          <w:lang w:val="en-US" w:eastAsia="zh-CN"/>
        </w:rPr>
        <w:t>项</w:t>
      </w:r>
      <w:r>
        <w:rPr>
          <w:rFonts w:hint="default" w:ascii="Times New Roman" w:hAnsi="Times New Roman" w:eastAsia="宋体" w:cs="Times New Roman"/>
          <w:b w:val="0"/>
          <w:bCs/>
          <w:color w:val="auto"/>
          <w:kern w:val="1"/>
          <w:sz w:val="21"/>
          <w:szCs w:val="21"/>
          <w:lang w:val="en-US" w:eastAsia="zh-CN"/>
        </w:rPr>
        <w:t>有具体指标</w:t>
      </w:r>
      <w:r>
        <w:rPr>
          <w:rFonts w:hint="eastAsia" w:ascii="Times New Roman" w:hAnsi="Times New Roman" w:eastAsia="宋体" w:cs="Times New Roman"/>
          <w:b w:val="0"/>
          <w:bCs/>
          <w:color w:val="auto"/>
          <w:kern w:val="1"/>
          <w:sz w:val="21"/>
          <w:szCs w:val="21"/>
          <w:lang w:val="en-US" w:eastAsia="zh-CN"/>
        </w:rPr>
        <w:t>、</w:t>
      </w:r>
      <w:r>
        <w:rPr>
          <w:rFonts w:hint="default" w:ascii="Times New Roman" w:hAnsi="Times New Roman" w:eastAsia="宋体" w:cs="Times New Roman"/>
          <w:b w:val="0"/>
          <w:bCs/>
          <w:color w:val="auto"/>
          <w:kern w:val="1"/>
          <w:sz w:val="21"/>
          <w:szCs w:val="21"/>
          <w:lang w:val="en-US" w:eastAsia="zh-CN"/>
        </w:rPr>
        <w:t>可测量</w:t>
      </w:r>
      <w:r>
        <w:rPr>
          <w:rFonts w:hint="eastAsia" w:ascii="Times New Roman" w:hAnsi="Times New Roman" w:eastAsia="宋体" w:cs="Times New Roman"/>
          <w:b w:val="0"/>
          <w:bCs/>
          <w:color w:val="auto"/>
          <w:kern w:val="1"/>
          <w:sz w:val="21"/>
          <w:szCs w:val="21"/>
          <w:highlight w:val="none"/>
          <w:lang w:val="en-US" w:eastAsia="zh-CN"/>
        </w:rPr>
        <w:t>的</w:t>
      </w:r>
      <w:r>
        <w:rPr>
          <w:rFonts w:hint="default" w:ascii="Times New Roman" w:hAnsi="Times New Roman" w:eastAsia="宋体" w:cs="Times New Roman"/>
          <w:b w:val="0"/>
          <w:bCs/>
          <w:color w:val="auto"/>
          <w:sz w:val="21"/>
          <w:szCs w:val="21"/>
          <w:highlight w:val="none"/>
          <w:lang w:val="en-US" w:eastAsia="zh-CN"/>
        </w:rPr>
        <w:t>质量目标</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kern w:val="1"/>
          <w:sz w:val="21"/>
          <w:szCs w:val="21"/>
          <w:highlight w:val="none"/>
          <w:lang w:val="en-US" w:eastAsia="zh-CN"/>
        </w:rPr>
        <w:t>并分解到</w:t>
      </w:r>
      <w:r>
        <w:rPr>
          <w:rFonts w:hint="eastAsia" w:ascii="Times New Roman" w:hAnsi="Times New Roman" w:eastAsia="宋体" w:cs="Times New Roman"/>
          <w:b w:val="0"/>
          <w:bCs/>
          <w:color w:val="auto"/>
          <w:kern w:val="1"/>
          <w:sz w:val="21"/>
          <w:szCs w:val="21"/>
          <w:highlight w:val="none"/>
          <w:lang w:val="en-US" w:eastAsia="zh-CN"/>
        </w:rPr>
        <w:t>了3个</w:t>
      </w:r>
      <w:r>
        <w:rPr>
          <w:rFonts w:hint="default" w:ascii="Times New Roman" w:hAnsi="Times New Roman" w:eastAsia="宋体" w:cs="Times New Roman"/>
          <w:b w:val="0"/>
          <w:bCs/>
          <w:color w:val="auto"/>
          <w:kern w:val="1"/>
          <w:sz w:val="21"/>
          <w:szCs w:val="21"/>
          <w:highlight w:val="none"/>
          <w:lang w:val="en-US" w:eastAsia="zh-CN"/>
        </w:rPr>
        <w:t>部门</w:t>
      </w:r>
      <w:r>
        <w:rPr>
          <w:rFonts w:hint="eastAsia" w:ascii="Times New Roman" w:hAnsi="Times New Roman" w:eastAsia="宋体" w:cs="Times New Roman"/>
          <w:b w:val="0"/>
          <w:bCs/>
          <w:color w:val="auto"/>
          <w:kern w:val="1"/>
          <w:sz w:val="21"/>
          <w:szCs w:val="21"/>
          <w:highlight w:val="none"/>
          <w:lang w:val="en-US" w:eastAsia="zh-CN"/>
        </w:rPr>
        <w:t>，生产技术</w:t>
      </w:r>
      <w:r>
        <w:rPr>
          <w:rFonts w:hint="default" w:ascii="Times New Roman" w:hAnsi="Times New Roman" w:eastAsia="宋体" w:cs="Times New Roman"/>
          <w:b w:val="0"/>
          <w:bCs/>
          <w:color w:val="auto"/>
          <w:kern w:val="1"/>
          <w:sz w:val="21"/>
          <w:szCs w:val="21"/>
          <w:highlight w:val="none"/>
          <w:lang w:val="en-US" w:eastAsia="zh-CN"/>
        </w:rPr>
        <w:t>部负责考核</w:t>
      </w:r>
      <w:r>
        <w:rPr>
          <w:rFonts w:hint="eastAsia" w:ascii="Times New Roman" w:hAnsi="Times New Roman" w:eastAsia="宋体" w:cs="Times New Roman"/>
          <w:b w:val="0"/>
          <w:bCs/>
          <w:color w:val="auto"/>
          <w:kern w:val="1"/>
          <w:sz w:val="21"/>
          <w:szCs w:val="21"/>
          <w:highlight w:val="none"/>
          <w:lang w:val="en-US" w:eastAsia="zh-CN"/>
        </w:rPr>
        <w:t>统计</w:t>
      </w:r>
      <w:r>
        <w:rPr>
          <w:rFonts w:hint="default" w:ascii="Times New Roman" w:hAnsi="Times New Roman" w:eastAsia="宋体" w:cs="Times New Roman"/>
          <w:b w:val="0"/>
          <w:bCs/>
          <w:color w:val="auto"/>
          <w:kern w:val="1"/>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查《测量管理体系目标完成情况统计表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,按月统计，</w:t>
      </w:r>
      <w:r>
        <w:rPr>
          <w:rFonts w:hint="default" w:ascii="Times New Roman" w:hAnsi="Times New Roman" w:eastAsia="宋体" w:cs="Times New Roman"/>
          <w:color w:val="auto"/>
          <w:sz w:val="21"/>
          <w:szCs w:val="21"/>
          <w:highlight w:val="none"/>
          <w:lang w:val="en-US" w:eastAsia="zh-CN"/>
        </w:rPr>
        <w:t>有目标</w:t>
      </w:r>
      <w:r>
        <w:rPr>
          <w:rFonts w:hint="eastAsia" w:ascii="Times New Roman" w:hAnsi="Times New Roman" w:eastAsia="宋体" w:cs="Times New Roman"/>
          <w:color w:val="auto"/>
          <w:sz w:val="21"/>
          <w:szCs w:val="21"/>
          <w:highlight w:val="none"/>
          <w:lang w:val="en-US" w:eastAsia="zh-CN"/>
        </w:rPr>
        <w:t>计划</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实施结果</w:t>
      </w:r>
      <w:r>
        <w:rPr>
          <w:rFonts w:hint="default" w:ascii="Times New Roman" w:hAnsi="Times New Roman" w:eastAsia="宋体" w:cs="Times New Roman"/>
          <w:color w:val="auto"/>
          <w:sz w:val="21"/>
          <w:szCs w:val="21"/>
          <w:highlight w:val="none"/>
          <w:lang w:val="en-US" w:eastAsia="zh-CN"/>
        </w:rPr>
        <w:t>信息</w:t>
      </w:r>
      <w:r>
        <w:rPr>
          <w:rFonts w:hint="eastAsia" w:ascii="Times New Roman" w:hAnsi="Times New Roman" w:eastAsia="宋体" w:cs="Times New Roman"/>
          <w:color w:val="auto"/>
          <w:sz w:val="21"/>
          <w:szCs w:val="21"/>
          <w:highlight w:val="none"/>
          <w:lang w:val="en-US" w:eastAsia="zh-CN"/>
        </w:rPr>
        <w:t>，各部门每月的质量目标</w:t>
      </w:r>
      <w:r>
        <w:rPr>
          <w:rFonts w:hint="default" w:ascii="Times New Roman" w:hAnsi="Times New Roman" w:eastAsia="宋体" w:cs="Times New Roman"/>
          <w:bCs/>
          <w:color w:val="auto"/>
          <w:sz w:val="21"/>
          <w:szCs w:val="21"/>
          <w:highlight w:val="none"/>
          <w:lang w:val="en-US" w:eastAsia="zh-CN"/>
        </w:rPr>
        <w:t>均已完成</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符合要求。</w:t>
      </w:r>
    </w:p>
    <w:p>
      <w:pPr>
        <w:widowControl/>
        <w:numPr>
          <w:ilvl w:val="0"/>
          <w:numId w:val="0"/>
        </w:numPr>
        <w:spacing w:line="276" w:lineRule="auto"/>
        <w:rPr>
          <w:rFonts w:asciiTheme="minorEastAsia" w:hAnsiTheme="minorEastAsia"/>
          <w:b/>
          <w:bCs w:val="0"/>
          <w:color w:val="auto"/>
          <w:szCs w:val="21"/>
          <w:highlight w:val="none"/>
        </w:rPr>
      </w:pPr>
      <w:r>
        <w:rPr>
          <w:rFonts w:hint="eastAsia" w:asciiTheme="minorEastAsia" w:hAnsiTheme="minorEastAsia"/>
          <w:b/>
          <w:bCs w:val="0"/>
          <w:color w:val="auto"/>
          <w:szCs w:val="21"/>
          <w:highlight w:val="none"/>
          <w:lang w:val="en-US" w:eastAsia="zh-CN"/>
        </w:rPr>
        <w:t>8.</w:t>
      </w:r>
      <w:r>
        <w:rPr>
          <w:rFonts w:hint="eastAsia" w:asciiTheme="minorEastAsia" w:hAnsiTheme="minorEastAsia"/>
          <w:b/>
          <w:bCs w:val="0"/>
          <w:color w:val="auto"/>
          <w:szCs w:val="21"/>
          <w:highlight w:val="none"/>
        </w:rPr>
        <w:t>对企业组织任何变更的审核</w:t>
      </w:r>
    </w:p>
    <w:p>
      <w:pPr>
        <w:widowControl/>
        <w:spacing w:line="276" w:lineRule="auto"/>
        <w:ind w:firstLine="420" w:firstLineChars="200"/>
        <w:rPr>
          <w:rFonts w:asciiTheme="minorEastAsia" w:hAnsiTheme="minorEastAsia"/>
          <w:bCs/>
          <w:color w:val="0070C0"/>
          <w:szCs w:val="21"/>
        </w:rPr>
      </w:pPr>
      <w:r>
        <w:rPr>
          <w:rFonts w:hint="eastAsia" w:asciiTheme="minorEastAsia" w:hAnsiTheme="minorEastAsia"/>
          <w:bCs/>
          <w:color w:val="auto"/>
          <w:szCs w:val="21"/>
        </w:rPr>
        <w:t>企业营业执照和组织机构未发生变化。</w:t>
      </w:r>
    </w:p>
    <w:p>
      <w:pPr>
        <w:widowControl/>
        <w:numPr>
          <w:ilvl w:val="0"/>
          <w:numId w:val="0"/>
        </w:numPr>
        <w:spacing w:line="276" w:lineRule="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9.</w:t>
      </w:r>
      <w:r>
        <w:rPr>
          <w:rFonts w:hint="eastAsia" w:asciiTheme="minorEastAsia" w:hAnsiTheme="minorEastAsia"/>
          <w:b/>
          <w:bCs w:val="0"/>
          <w:color w:val="auto"/>
          <w:szCs w:val="21"/>
        </w:rPr>
        <w:t>标志的使用和（或）任何其他对认证资</w:t>
      </w:r>
      <w:r>
        <w:rPr>
          <w:rFonts w:hint="eastAsia"/>
          <w:b/>
          <w:bCs w:val="0"/>
          <w:color w:val="auto"/>
        </w:rPr>
        <w:t>格引用</w:t>
      </w:r>
      <w:r>
        <w:rPr>
          <w:rFonts w:cs="宋体" w:asciiTheme="minorEastAsia" w:hAnsiTheme="minorEastAsia"/>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12" w:lineRule="auto"/>
        <w:ind w:firstLine="210" w:firstLineChars="1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210" w:firstLineChars="1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12" w:lineRule="auto"/>
        <w:ind w:right="-512" w:rightChars="-244" w:firstLine="210" w:firstLineChars="10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9.3企业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 w:val="0"/>
          <w:bCs/>
          <w:color w:val="auto"/>
          <w:sz w:val="21"/>
          <w:szCs w:val="21"/>
          <w:highlight w:val="none"/>
          <w:lang w:val="en-US" w:eastAsia="zh-CN"/>
        </w:rPr>
        <w:t>查生产技术部：未提供出对测量设备的检定校准服务供方“方圆检测认证有限公司”的评价记录。经确认，未进行评价。不符合GB/T19022-2003标准“6.4外部供方”条款要求。</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val="0"/>
          <w:color w:val="auto"/>
          <w:sz w:val="21"/>
          <w:szCs w:val="21"/>
          <w:highlight w:val="none"/>
          <w:lang w:val="en-US" w:eastAsia="zh-CN"/>
        </w:rPr>
        <w:t>对认证范围中提供服务的审核情况</w:t>
      </w:r>
      <w:r>
        <w:rPr>
          <w:rFonts w:hint="default" w:ascii="Times New Roman" w:hAnsi="Times New Roman" w:eastAsia="宋体" w:cs="Times New Roman"/>
          <w:b/>
          <w:bCs/>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both"/>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rPr>
        <w:t>抽查</w:t>
      </w:r>
      <w:r>
        <w:rPr>
          <w:rFonts w:hint="eastAsia" w:ascii="Times New Roman" w:hAnsi="Times New Roman" w:eastAsia="宋体" w:cs="Times New Roman"/>
          <w:color w:val="auto"/>
          <w:sz w:val="21"/>
          <w:szCs w:val="21"/>
          <w:highlight w:val="none"/>
          <w:lang w:val="en-US" w:eastAsia="zh-CN"/>
        </w:rPr>
        <w:t>技术服务部提供的</w:t>
      </w:r>
      <w:r>
        <w:rPr>
          <w:rFonts w:hint="default" w:ascii="Times New Roman" w:hAnsi="Times New Roman" w:eastAsia="宋体" w:cs="Times New Roman"/>
          <w:color w:val="auto"/>
          <w:sz w:val="21"/>
          <w:szCs w:val="21"/>
          <w:highlight w:val="none"/>
        </w:rPr>
        <w:t>的销售合同1份，合同编号为</w:t>
      </w:r>
      <w:r>
        <w:rPr>
          <w:rFonts w:hint="eastAsia" w:ascii="Times New Roman" w:hAnsi="Times New Roman" w:eastAsia="宋体" w:cs="Times New Roman"/>
          <w:color w:val="auto"/>
          <w:sz w:val="21"/>
          <w:szCs w:val="21"/>
          <w:highlight w:val="none"/>
          <w:lang w:val="en-US" w:eastAsia="zh-CN"/>
        </w:rPr>
        <w:t>Q/HGR-05.04-2022-001,</w:t>
      </w:r>
      <w:r>
        <w:rPr>
          <w:rFonts w:hint="default" w:ascii="Times New Roman" w:hAnsi="Times New Roman" w:eastAsia="宋体" w:cs="Times New Roman"/>
          <w:color w:val="auto"/>
          <w:sz w:val="21"/>
          <w:szCs w:val="21"/>
          <w:highlight w:val="none"/>
        </w:rPr>
        <w:t>产品为“</w:t>
      </w:r>
      <w:r>
        <w:rPr>
          <w:rFonts w:hint="eastAsia" w:ascii="DFKai-SB" w:hAnsi="DFKai-SB"/>
          <w:szCs w:val="21"/>
          <w:highlight w:val="none"/>
          <w:lang w:val="en-US" w:eastAsia="zh-CN"/>
        </w:rPr>
        <w:t>套管无缝双公短节</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签订日期：2022年1月12日，合同</w:t>
      </w:r>
      <w:r>
        <w:rPr>
          <w:rFonts w:hint="default" w:ascii="Times New Roman" w:hAnsi="Times New Roman" w:eastAsia="宋体" w:cs="Times New Roman"/>
          <w:color w:val="auto"/>
          <w:sz w:val="21"/>
          <w:szCs w:val="21"/>
          <w:highlight w:val="none"/>
        </w:rPr>
        <w:t>交货日期为</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31</w:t>
      </w:r>
      <w:r>
        <w:rPr>
          <w:rFonts w:hint="default" w:ascii="Times New Roman" w:hAnsi="Times New Roman" w:eastAsia="宋体" w:cs="Times New Roman"/>
          <w:color w:val="auto"/>
          <w:sz w:val="21"/>
          <w:szCs w:val="21"/>
          <w:highlight w:val="none"/>
          <w:lang w:val="en-US" w:eastAsia="zh-CN"/>
        </w:rPr>
        <w:t>日</w:t>
      </w:r>
      <w:r>
        <w:rPr>
          <w:rFonts w:hint="eastAsia" w:ascii="Times New Roman" w:hAnsi="Times New Roman" w:eastAsia="宋体" w:cs="Times New Roman"/>
          <w:color w:val="auto"/>
          <w:sz w:val="21"/>
          <w:szCs w:val="21"/>
          <w:highlight w:val="none"/>
          <w:lang w:val="en-US" w:eastAsia="zh-CN"/>
        </w:rPr>
        <w:t>，实际交货日期为</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lang w:val="en-US" w:eastAsia="zh-CN"/>
        </w:rPr>
        <w:t>日</w:t>
      </w:r>
      <w:r>
        <w:rPr>
          <w:rFonts w:hint="eastAsia" w:ascii="Times New Roman" w:hAnsi="Times New Roman" w:eastAsia="宋体" w:cs="Times New Roman"/>
          <w:color w:val="auto"/>
          <w:sz w:val="21"/>
          <w:szCs w:val="21"/>
          <w:highlight w:val="none"/>
          <w:lang w:val="en-US" w:eastAsia="zh-CN"/>
        </w:rPr>
        <w:t>。企业提供的服务包括技术培训等。查“技术培训交底书”1份，已经完成了培训。查《质量证明书》1份，本合同涉及的产品检验项目包括：水压试验、通径试验、成份检测、力学性能试验、外形尺寸检验等</w:t>
      </w:r>
      <w:r>
        <w:rPr>
          <w:rFonts w:hint="default" w:ascii="Times New Roman" w:hAnsi="Times New Roman" w:eastAsia="宋体" w:cs="Times New Roman"/>
          <w:color w:val="auto"/>
          <w:sz w:val="21"/>
          <w:szCs w:val="21"/>
          <w:highlight w:val="none"/>
        </w:rPr>
        <w:t>，检验结论为合格。</w:t>
      </w:r>
      <w:r>
        <w:rPr>
          <w:rFonts w:hint="eastAsia" w:ascii="Times New Roman" w:hAnsi="Times New Roman"/>
          <w:szCs w:val="21"/>
          <w:highlight w:val="none"/>
        </w:rPr>
        <w:t>查《售后服务记录表》，2</w:t>
      </w:r>
      <w:r>
        <w:rPr>
          <w:rFonts w:ascii="Times New Roman" w:hAnsi="Times New Roman"/>
          <w:szCs w:val="21"/>
          <w:highlight w:val="none"/>
        </w:rPr>
        <w:t>02</w:t>
      </w:r>
      <w:r>
        <w:rPr>
          <w:rFonts w:hint="eastAsia" w:ascii="Times New Roman" w:hAnsi="Times New Roman"/>
          <w:szCs w:val="21"/>
          <w:highlight w:val="none"/>
          <w:lang w:val="en-US" w:eastAsia="zh-CN"/>
        </w:rPr>
        <w:t>2</w:t>
      </w:r>
      <w:r>
        <w:rPr>
          <w:rFonts w:hint="eastAsia" w:ascii="Times New Roman" w:hAnsi="Times New Roman"/>
          <w:szCs w:val="21"/>
          <w:highlight w:val="none"/>
        </w:rPr>
        <w:t>年</w:t>
      </w:r>
      <w:r>
        <w:rPr>
          <w:rFonts w:hint="eastAsia" w:ascii="Times New Roman" w:hAnsi="Times New Roman"/>
          <w:szCs w:val="21"/>
          <w:highlight w:val="none"/>
          <w:lang w:val="en-US" w:eastAsia="zh-CN"/>
        </w:rPr>
        <w:t>1月至10月</w:t>
      </w:r>
      <w:r>
        <w:rPr>
          <w:rFonts w:hint="eastAsia" w:ascii="Times New Roman" w:hAnsi="Times New Roman"/>
          <w:szCs w:val="21"/>
          <w:highlight w:val="none"/>
        </w:rPr>
        <w:t>共提供产品售后服务</w:t>
      </w:r>
      <w:r>
        <w:rPr>
          <w:rFonts w:hint="eastAsia" w:ascii="Times New Roman" w:hAnsi="Times New Roman"/>
          <w:szCs w:val="21"/>
          <w:highlight w:val="none"/>
          <w:lang w:val="en-US" w:eastAsia="zh-CN"/>
        </w:rPr>
        <w:t>3</w:t>
      </w:r>
      <w:r>
        <w:rPr>
          <w:rFonts w:hint="eastAsia" w:ascii="Times New Roman" w:hAnsi="Times New Roman"/>
          <w:szCs w:val="21"/>
          <w:highlight w:val="none"/>
        </w:rPr>
        <w:t>次，已进行问题分析和验证，满足客户要求，项目均已完成，不涉及测量过程和测量设备。</w:t>
      </w:r>
      <w:r>
        <w:rPr>
          <w:rFonts w:hint="eastAsia" w:ascii="Times New Roman" w:hAnsi="Times New Roman"/>
          <w:szCs w:val="21"/>
          <w:highlight w:val="none"/>
          <w:lang w:val="en-US" w:eastAsia="zh-CN"/>
        </w:rPr>
        <w:t>符合要求。</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firstLineChars="200"/>
        <w:jc w:val="both"/>
        <w:textAlignment w:val="auto"/>
        <w:rPr>
          <w:rFonts w:hint="eastAsia" w:ascii="宋体" w:hAnsi="宋体"/>
          <w:color w:val="auto"/>
          <w:szCs w:val="21"/>
        </w:rPr>
      </w:pPr>
      <w:r>
        <w:rPr>
          <w:rStyle w:val="10"/>
          <w:rFonts w:hint="default" w:ascii="Times New Roman" w:hAnsi="Times New Roman" w:eastAsia="宋体" w:cs="Times New Roman"/>
          <w:color w:val="auto"/>
          <w:sz w:val="21"/>
          <w:szCs w:val="21"/>
        </w:rPr>
        <w:t>通过20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eastAsia" w:ascii="Times New Roman" w:hAnsi="Times New Roman" w:eastAsia="宋体" w:cs="Times New Roman"/>
          <w:color w:val="auto"/>
          <w:sz w:val="21"/>
          <w:szCs w:val="21"/>
          <w:lang w:val="en-US" w:eastAsia="zh-CN"/>
        </w:rPr>
        <w:t>11</w:t>
      </w:r>
      <w:r>
        <w:rPr>
          <w:rStyle w:val="10"/>
          <w:rFonts w:hint="default" w:ascii="Times New Roman" w:hAnsi="Times New Roman" w:eastAsia="宋体" w:cs="Times New Roman"/>
          <w:color w:val="auto"/>
          <w:sz w:val="21"/>
          <w:szCs w:val="21"/>
        </w:rPr>
        <w:t>月</w:t>
      </w:r>
      <w:r>
        <w:rPr>
          <w:rStyle w:val="10"/>
          <w:rFonts w:hint="eastAsia" w:ascii="Times New Roman" w:hAnsi="Times New Roman" w:eastAsia="宋体" w:cs="Times New Roman"/>
          <w:color w:val="auto"/>
          <w:sz w:val="21"/>
          <w:szCs w:val="21"/>
          <w:lang w:val="en-US" w:eastAsia="zh-CN"/>
        </w:rPr>
        <w:t>11</w:t>
      </w:r>
      <w:r>
        <w:rPr>
          <w:rStyle w:val="10"/>
          <w:rFonts w:hint="default" w:ascii="Times New Roman" w:hAnsi="Times New Roman" w:eastAsia="宋体" w:cs="Times New Roman"/>
          <w:color w:val="auto"/>
          <w:sz w:val="21"/>
          <w:szCs w:val="21"/>
        </w:rPr>
        <w:t>日</w:t>
      </w:r>
      <w:r>
        <w:rPr>
          <w:rStyle w:val="10"/>
          <w:rFonts w:hint="eastAsia" w:ascii="Times New Roman" w:hAnsi="Times New Roman" w:eastAsia="宋体" w:cs="Times New Roman"/>
          <w:color w:val="auto"/>
          <w:sz w:val="21"/>
          <w:szCs w:val="21"/>
          <w:lang w:val="en-US" w:eastAsia="zh-CN"/>
        </w:rPr>
        <w:t>下午</w:t>
      </w:r>
      <w:r>
        <w:rPr>
          <w:rStyle w:val="10"/>
          <w:rFonts w:hint="default" w:ascii="Times New Roman" w:hAnsi="Times New Roman" w:eastAsia="宋体" w:cs="Times New Roman"/>
          <w:color w:val="auto"/>
          <w:sz w:val="21"/>
          <w:szCs w:val="21"/>
          <w:lang w:val="en-US" w:eastAsia="zh-CN"/>
        </w:rPr>
        <w:t>~</w:t>
      </w:r>
      <w:r>
        <w:rPr>
          <w:rStyle w:val="10"/>
          <w:rFonts w:hint="default" w:ascii="Times New Roman" w:hAnsi="Times New Roman" w:eastAsia="宋体" w:cs="Times New Roman"/>
          <w:color w:val="auto"/>
          <w:sz w:val="21"/>
          <w:szCs w:val="21"/>
        </w:rPr>
        <w:t>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eastAsia" w:ascii="Times New Roman" w:hAnsi="Times New Roman" w:eastAsia="宋体" w:cs="Times New Roman"/>
          <w:color w:val="auto"/>
          <w:sz w:val="21"/>
          <w:szCs w:val="21"/>
          <w:lang w:val="en-US" w:eastAsia="zh-CN"/>
        </w:rPr>
        <w:t>11</w:t>
      </w:r>
      <w:r>
        <w:rPr>
          <w:rStyle w:val="10"/>
          <w:rFonts w:hint="default" w:ascii="Times New Roman" w:hAnsi="Times New Roman" w:eastAsia="宋体" w:cs="Times New Roman"/>
          <w:color w:val="auto"/>
          <w:sz w:val="21"/>
          <w:szCs w:val="21"/>
        </w:rPr>
        <w:t>月</w:t>
      </w:r>
      <w:r>
        <w:rPr>
          <w:rStyle w:val="10"/>
          <w:rFonts w:hint="eastAsia" w:ascii="Times New Roman" w:hAnsi="Times New Roman" w:eastAsia="宋体" w:cs="Times New Roman"/>
          <w:color w:val="auto"/>
          <w:sz w:val="21"/>
          <w:szCs w:val="21"/>
          <w:lang w:val="en-US" w:eastAsia="zh-CN"/>
        </w:rPr>
        <w:t>12</w:t>
      </w:r>
      <w:r>
        <w:rPr>
          <w:rStyle w:val="10"/>
          <w:rFonts w:hint="default" w:ascii="Times New Roman" w:hAnsi="Times New Roman" w:eastAsia="宋体" w:cs="Times New Roman"/>
          <w:color w:val="auto"/>
          <w:sz w:val="21"/>
          <w:szCs w:val="21"/>
        </w:rPr>
        <w:t>日</w:t>
      </w:r>
      <w:r>
        <w:rPr>
          <w:rStyle w:val="10"/>
          <w:rFonts w:hint="eastAsia" w:ascii="Times New Roman" w:hAnsi="Times New Roman" w:eastAsia="宋体" w:cs="Times New Roman"/>
          <w:color w:val="auto"/>
          <w:sz w:val="21"/>
          <w:szCs w:val="21"/>
          <w:lang w:val="en-US" w:eastAsia="zh-CN"/>
        </w:rPr>
        <w:t>上</w:t>
      </w:r>
      <w:r>
        <w:rPr>
          <w:rStyle w:val="10"/>
          <w:rFonts w:hint="default" w:ascii="Times New Roman" w:hAnsi="Times New Roman" w:eastAsia="宋体" w:cs="Times New Roman"/>
          <w:color w:val="auto"/>
          <w:sz w:val="21"/>
          <w:szCs w:val="21"/>
          <w:lang w:val="en-US" w:eastAsia="zh-CN"/>
        </w:rPr>
        <w:t>午</w:t>
      </w:r>
      <w:r>
        <w:rPr>
          <w:rStyle w:val="10"/>
          <w:rFonts w:hint="eastAsia" w:ascii="Times New Roman" w:hAnsi="Times New Roman" w:eastAsia="宋体" w:cs="Times New Roman"/>
          <w:color w:val="auto"/>
          <w:sz w:val="21"/>
          <w:szCs w:val="21"/>
          <w:lang w:val="en-US" w:eastAsia="zh-CN"/>
        </w:rPr>
        <w:t>，</w:t>
      </w:r>
      <w:r>
        <w:rPr>
          <w:rStyle w:val="10"/>
          <w:rFonts w:hint="default" w:ascii="Times New Roman" w:hAnsi="Times New Roman" w:eastAsia="宋体" w:cs="Times New Roman"/>
          <w:color w:val="auto"/>
          <w:sz w:val="21"/>
          <w:szCs w:val="21"/>
          <w:u w:val="none"/>
        </w:rPr>
        <w:t>对</w:t>
      </w:r>
      <w:r>
        <w:rPr>
          <w:rFonts w:hint="eastAsia"/>
          <w:color w:val="000000"/>
          <w:sz w:val="21"/>
          <w:szCs w:val="21"/>
          <w:u w:val="none"/>
        </w:rPr>
        <w:t>山东华冠能源技术有限公司</w:t>
      </w:r>
      <w:r>
        <w:rPr>
          <w:rFonts w:hint="default" w:ascii="Times New Roman" w:hAnsi="Times New Roman" w:eastAsia="宋体" w:cs="Times New Roman"/>
          <w:color w:val="auto"/>
          <w:sz w:val="21"/>
          <w:szCs w:val="21"/>
          <w:u w:val="none"/>
          <w:lang w:val="en-US" w:eastAsia="zh-CN"/>
        </w:rPr>
        <w:t>的</w:t>
      </w:r>
      <w:r>
        <w:rPr>
          <w:rFonts w:hint="eastAsia" w:ascii="Times New Roman" w:hAnsi="Times New Roman" w:eastAsia="宋体" w:cs="Times New Roman"/>
          <w:color w:val="auto"/>
          <w:sz w:val="21"/>
          <w:szCs w:val="21"/>
          <w:u w:val="none"/>
          <w:lang w:val="en-US" w:eastAsia="zh-CN"/>
        </w:rPr>
        <w:t>现场</w:t>
      </w:r>
      <w:r>
        <w:rPr>
          <w:rStyle w:val="10"/>
          <w:rFonts w:hint="default" w:ascii="Times New Roman" w:hAnsi="Times New Roman" w:eastAsia="宋体" w:cs="Times New Roman"/>
          <w:color w:val="auto"/>
          <w:sz w:val="21"/>
          <w:szCs w:val="21"/>
          <w:u w:val="none"/>
        </w:rPr>
        <w:t>监督审核</w:t>
      </w:r>
      <w:r>
        <w:rPr>
          <w:rStyle w:val="10"/>
          <w:rFonts w:hint="eastAsia" w:ascii="Times New Roman" w:hAnsi="Times New Roman" w:eastAsia="宋体" w:cs="Times New Roman"/>
          <w:color w:val="auto"/>
          <w:sz w:val="21"/>
          <w:szCs w:val="21"/>
          <w:u w:val="none"/>
          <w:lang w:eastAsia="zh-CN"/>
        </w:rPr>
        <w:t>，</w:t>
      </w:r>
      <w:r>
        <w:rPr>
          <w:rFonts w:hint="default" w:ascii="Times New Roman" w:hAnsi="Times New Roman" w:eastAsia="宋体" w:cs="Times New Roman"/>
          <w:bCs/>
          <w:color w:val="auto"/>
          <w:sz w:val="21"/>
          <w:szCs w:val="21"/>
        </w:rPr>
        <w:t>验证了</w:t>
      </w:r>
      <w:r>
        <w:rPr>
          <w:rFonts w:hint="eastAsia" w:ascii="Times New Roman" w:hAnsi="Times New Roman" w:eastAsia="宋体" w:cs="Times New Roman"/>
          <w:bCs/>
          <w:color w:val="auto"/>
          <w:sz w:val="21"/>
          <w:szCs w:val="21"/>
          <w:lang w:val="en-US" w:eastAsia="zh-CN"/>
        </w:rPr>
        <w:t>企业</w:t>
      </w:r>
      <w:r>
        <w:rPr>
          <w:rFonts w:hint="default" w:ascii="Times New Roman" w:hAnsi="Times New Roman" w:eastAsia="宋体" w:cs="Times New Roman"/>
          <w:bCs/>
          <w:color w:val="auto"/>
          <w:kern w:val="0"/>
          <w:sz w:val="21"/>
          <w:szCs w:val="21"/>
        </w:rPr>
        <w:t>测量管理体系在</w:t>
      </w:r>
      <w:r>
        <w:rPr>
          <w:rFonts w:hint="default" w:ascii="Times New Roman" w:hAnsi="Times New Roman" w:eastAsia="宋体" w:cs="Times New Roman"/>
          <w:bCs/>
          <w:color w:val="auto"/>
          <w:kern w:val="0"/>
          <w:sz w:val="21"/>
          <w:szCs w:val="21"/>
          <w:lang w:val="en-US" w:eastAsia="zh-CN"/>
        </w:rPr>
        <w:t>上年度</w:t>
      </w:r>
      <w:r>
        <w:rPr>
          <w:rFonts w:hint="eastAsia" w:ascii="Times New Roman" w:hAnsi="Times New Roman" w:eastAsia="宋体" w:cs="Times New Roman"/>
          <w:bCs/>
          <w:color w:val="auto"/>
          <w:kern w:val="0"/>
          <w:sz w:val="21"/>
          <w:szCs w:val="21"/>
          <w:lang w:val="en-US" w:eastAsia="zh-CN"/>
        </w:rPr>
        <w:t>监督审核</w:t>
      </w:r>
      <w:r>
        <w:rPr>
          <w:rFonts w:hint="default" w:ascii="Times New Roman" w:hAnsi="Times New Roman" w:eastAsia="宋体" w:cs="Times New Roman"/>
          <w:bCs/>
          <w:color w:val="auto"/>
          <w:kern w:val="0"/>
          <w:sz w:val="21"/>
          <w:szCs w:val="21"/>
          <w:lang w:val="en-US" w:eastAsia="zh-CN"/>
        </w:rPr>
        <w:t>至今</w:t>
      </w:r>
      <w:r>
        <w:rPr>
          <w:rFonts w:hint="default" w:ascii="Times New Roman" w:hAnsi="Times New Roman" w:eastAsia="宋体" w:cs="Times New Roman"/>
          <w:bCs/>
          <w:color w:val="auto"/>
          <w:kern w:val="0"/>
          <w:sz w:val="21"/>
          <w:szCs w:val="21"/>
        </w:rPr>
        <w:t>一年内</w:t>
      </w:r>
      <w:r>
        <w:rPr>
          <w:rFonts w:hint="default" w:ascii="Times New Roman" w:hAnsi="Times New Roman" w:eastAsia="宋体" w:cs="Times New Roman"/>
          <w:bCs/>
          <w:color w:val="auto"/>
          <w:sz w:val="21"/>
          <w:szCs w:val="21"/>
        </w:rPr>
        <w:t>测量管理体系</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运</w:t>
      </w:r>
      <w:r>
        <w:rPr>
          <w:rFonts w:hint="default" w:ascii="Times New Roman" w:hAnsi="Times New Roman" w:eastAsia="宋体" w:cs="Times New Roman"/>
          <w:bCs/>
          <w:color w:val="auto"/>
          <w:sz w:val="21"/>
          <w:szCs w:val="21"/>
          <w:lang w:val="en-US" w:eastAsia="zh-CN"/>
        </w:rPr>
        <w:t>行</w:t>
      </w:r>
      <w:r>
        <w:rPr>
          <w:rFonts w:hint="default" w:ascii="Times New Roman" w:hAnsi="Times New Roman" w:eastAsia="宋体" w:cs="Times New Roman"/>
          <w:bCs/>
          <w:color w:val="auto"/>
          <w:sz w:val="21"/>
          <w:szCs w:val="21"/>
        </w:rPr>
        <w:t>情</w:t>
      </w:r>
      <w:bookmarkStart w:id="10" w:name="_GoBack"/>
      <w:bookmarkEnd w:id="10"/>
      <w:r>
        <w:rPr>
          <w:rFonts w:hint="default" w:ascii="Times New Roman" w:hAnsi="Times New Roman" w:eastAsia="宋体" w:cs="Times New Roman"/>
          <w:bCs/>
          <w:color w:val="auto"/>
          <w:sz w:val="21"/>
          <w:szCs w:val="21"/>
        </w:rPr>
        <w:t>况，</w:t>
      </w:r>
      <w:r>
        <w:rPr>
          <w:rFonts w:hint="eastAsia" w:ascii="Times New Roman" w:hAnsi="Times New Roman" w:eastAsia="宋体" w:cs="Times New Roman"/>
          <w:bCs/>
          <w:color w:val="auto"/>
          <w:sz w:val="21"/>
          <w:szCs w:val="21"/>
          <w:lang w:val="en-US" w:eastAsia="zh-CN"/>
        </w:rPr>
        <w:t>企业</w:t>
      </w:r>
      <w:r>
        <w:rPr>
          <w:rFonts w:hint="default" w:ascii="Times New Roman" w:hAnsi="Times New Roman" w:eastAsia="宋体" w:cs="Times New Roman"/>
          <w:color w:val="auto"/>
          <w:szCs w:val="21"/>
        </w:rPr>
        <w:t>领导重视体系</w:t>
      </w:r>
      <w:r>
        <w:rPr>
          <w:rFonts w:hint="eastAsia"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运行和管理，体系文件得到有效实施，企业管理规范，</w:t>
      </w:r>
      <w:r>
        <w:rPr>
          <w:rFonts w:hint="default" w:ascii="Times New Roman" w:hAnsi="Times New Roman" w:eastAsia="宋体" w:cs="Times New Roman"/>
          <w:bCs/>
          <w:color w:val="auto"/>
          <w:kern w:val="0"/>
          <w:sz w:val="21"/>
          <w:szCs w:val="21"/>
        </w:rPr>
        <w:t>关键测量过程</w:t>
      </w:r>
      <w:r>
        <w:rPr>
          <w:rFonts w:hint="default" w:ascii="Times New Roman" w:hAnsi="Times New Roman" w:eastAsia="宋体" w:cs="Times New Roman"/>
          <w:bCs/>
          <w:color w:val="auto"/>
          <w:kern w:val="0"/>
          <w:sz w:val="21"/>
          <w:szCs w:val="21"/>
          <w:lang w:val="en-US" w:eastAsia="zh-CN"/>
        </w:rPr>
        <w:t>得到</w:t>
      </w:r>
      <w:r>
        <w:rPr>
          <w:rFonts w:hint="default" w:ascii="Times New Roman" w:hAnsi="Times New Roman" w:eastAsia="宋体" w:cs="Times New Roman"/>
          <w:bCs/>
          <w:color w:val="auto"/>
          <w:kern w:val="0"/>
          <w:sz w:val="21"/>
          <w:szCs w:val="21"/>
        </w:rPr>
        <w:t>持续监控、监视方法正确有效</w:t>
      </w:r>
      <w:r>
        <w:rPr>
          <w:rFonts w:hint="default" w:ascii="Times New Roman" w:hAnsi="Times New Roman" w:eastAsia="宋体" w:cs="Times New Roman"/>
          <w:color w:val="auto"/>
          <w:szCs w:val="21"/>
        </w:rPr>
        <w:t>，重要测量人员能力受控，测量设备、测量环境、测量软件、测量记录等各项工作</w:t>
      </w:r>
      <w:r>
        <w:rPr>
          <w:rFonts w:hint="default" w:ascii="Times New Roman" w:hAnsi="Times New Roman" w:eastAsia="宋体" w:cs="Times New Roman"/>
          <w:bCs/>
          <w:color w:val="auto"/>
          <w:kern w:val="0"/>
          <w:sz w:val="21"/>
          <w:szCs w:val="21"/>
        </w:rPr>
        <w:t>比上一年度更加完善和规范</w:t>
      </w:r>
      <w:r>
        <w:rPr>
          <w:rFonts w:hint="default" w:ascii="Times New Roman" w:hAnsi="Times New Roman" w:eastAsia="宋体" w:cs="Times New Roman"/>
          <w:color w:val="auto"/>
          <w:szCs w:val="21"/>
        </w:rPr>
        <w:t>。综上所述，审核组</w:t>
      </w:r>
      <w:r>
        <w:rPr>
          <w:rFonts w:hint="default" w:ascii="Times New Roman" w:hAnsi="Times New Roman" w:eastAsia="宋体" w:cs="Times New Roman"/>
          <w:color w:val="auto"/>
          <w:sz w:val="21"/>
          <w:szCs w:val="21"/>
        </w:rPr>
        <w:t>认</w:t>
      </w:r>
      <w:r>
        <w:rPr>
          <w:rFonts w:hint="default" w:ascii="Times New Roman" w:hAnsi="Times New Roman" w:eastAsia="宋体" w:cs="Times New Roman"/>
          <w:color w:val="auto"/>
          <w:sz w:val="21"/>
          <w:szCs w:val="21"/>
          <w:u w:val="none"/>
        </w:rPr>
        <w:t>为</w:t>
      </w:r>
      <w:r>
        <w:rPr>
          <w:rFonts w:hint="eastAsia"/>
          <w:color w:val="000000"/>
          <w:sz w:val="21"/>
          <w:szCs w:val="21"/>
          <w:u w:val="none"/>
        </w:rPr>
        <w:t>山东华冠能源技术有限公司</w:t>
      </w:r>
      <w:r>
        <w:rPr>
          <w:rFonts w:hint="eastAsia" w:ascii="宋体" w:hAnsi="宋体"/>
          <w:color w:val="auto"/>
          <w:sz w:val="21"/>
          <w:szCs w:val="21"/>
        </w:rPr>
        <w:t>测量管理体系</w:t>
      </w:r>
      <w:r>
        <w:rPr>
          <w:rFonts w:hint="eastAsia" w:ascii="宋体" w:hAnsi="宋体"/>
          <w:color w:val="auto"/>
          <w:sz w:val="21"/>
          <w:szCs w:val="21"/>
          <w:lang w:val="en-US" w:eastAsia="zh-CN"/>
        </w:rPr>
        <w:t>的运行</w:t>
      </w:r>
      <w:r>
        <w:rPr>
          <w:rFonts w:hint="eastAsia" w:ascii="宋体" w:hAnsi="宋体"/>
          <w:color w:val="auto"/>
          <w:sz w:val="21"/>
          <w:szCs w:val="21"/>
        </w:rPr>
        <w:t>符合GB/</w:t>
      </w:r>
      <w:r>
        <w:rPr>
          <w:rFonts w:hint="eastAsia" w:ascii="宋体" w:hAnsi="宋体"/>
          <w:color w:val="auto"/>
          <w:szCs w:val="21"/>
        </w:rPr>
        <w:t>T</w:t>
      </w:r>
      <w:r>
        <w:rPr>
          <w:rFonts w:hint="eastAsia" w:ascii="宋体" w:hAnsi="宋体"/>
          <w:color w:val="auto"/>
          <w:szCs w:val="21"/>
          <w:lang w:val="en-US" w:eastAsia="zh-CN"/>
        </w:rPr>
        <w:t>19022-2003</w:t>
      </w:r>
      <w:r>
        <w:rPr>
          <w:rFonts w:hint="eastAsia" w:ascii="宋体" w:hAnsi="宋体"/>
          <w:color w:val="auto"/>
          <w:szCs w:val="21"/>
        </w:rPr>
        <w:t>标准要求，对体系运行具有持续的有效性、符合性予以肯定。建议报请北京国标联合认证有限公司批准通过</w:t>
      </w:r>
      <w:r>
        <w:rPr>
          <w:rFonts w:hint="eastAsia" w:ascii="宋体" w:hAnsi="宋体"/>
          <w:color w:val="auto"/>
          <w:szCs w:val="21"/>
          <w:lang w:val="en-US" w:eastAsia="zh-CN"/>
        </w:rPr>
        <w:t>2022年度的</w:t>
      </w:r>
      <w:r>
        <w:rPr>
          <w:rFonts w:hint="eastAsia" w:ascii="宋体" w:hAnsi="宋体"/>
          <w:color w:val="auto"/>
          <w:szCs w:val="21"/>
        </w:rPr>
        <w:t>监督审核。</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firstLineChars="200"/>
        <w:jc w:val="both"/>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为促进</w:t>
      </w:r>
      <w:r>
        <w:rPr>
          <w:rFonts w:hint="default" w:ascii="Times New Roman" w:hAnsi="Times New Roman" w:eastAsia="宋体" w:cs="Times New Roman"/>
          <w:bCs/>
          <w:color w:val="auto"/>
          <w:kern w:val="0"/>
          <w:sz w:val="21"/>
          <w:szCs w:val="21"/>
          <w:lang w:val="en-US" w:eastAsia="zh-CN"/>
        </w:rPr>
        <w:t>和</w:t>
      </w:r>
      <w:r>
        <w:rPr>
          <w:rFonts w:hint="default" w:ascii="Times New Roman" w:hAnsi="Times New Roman" w:eastAsia="宋体" w:cs="Times New Roman"/>
          <w:bCs/>
          <w:color w:val="auto"/>
          <w:kern w:val="0"/>
          <w:sz w:val="21"/>
          <w:szCs w:val="21"/>
        </w:rPr>
        <w:t>支持企业测量管理体系</w:t>
      </w:r>
      <w:r>
        <w:rPr>
          <w:rFonts w:hint="default" w:ascii="Times New Roman" w:hAnsi="Times New Roman" w:eastAsia="宋体" w:cs="Times New Roman"/>
          <w:bCs/>
          <w:color w:val="auto"/>
          <w:kern w:val="0"/>
          <w:sz w:val="21"/>
          <w:szCs w:val="21"/>
          <w:lang w:val="en-US" w:eastAsia="zh-CN"/>
        </w:rPr>
        <w:t>进一步有效运行和</w:t>
      </w:r>
      <w:r>
        <w:rPr>
          <w:rFonts w:hint="default" w:ascii="Times New Roman" w:hAnsi="Times New Roman" w:eastAsia="宋体" w:cs="Times New Roman"/>
          <w:bCs/>
          <w:color w:val="auto"/>
          <w:kern w:val="0"/>
          <w:sz w:val="21"/>
          <w:szCs w:val="21"/>
        </w:rPr>
        <w:t>持续</w:t>
      </w:r>
      <w:r>
        <w:rPr>
          <w:rFonts w:hint="default" w:ascii="Times New Roman" w:hAnsi="Times New Roman" w:eastAsia="宋体" w:cs="Times New Roman"/>
          <w:bCs/>
          <w:color w:val="auto"/>
          <w:kern w:val="0"/>
          <w:sz w:val="21"/>
          <w:szCs w:val="21"/>
          <w:lang w:val="en-US" w:eastAsia="zh-CN"/>
        </w:rPr>
        <w:t>完善</w:t>
      </w:r>
      <w:r>
        <w:rPr>
          <w:rFonts w:hint="default" w:ascii="Times New Roman" w:hAnsi="Times New Roman" w:eastAsia="宋体" w:cs="Times New Roman"/>
          <w:bCs/>
          <w:color w:val="auto"/>
          <w:kern w:val="0"/>
          <w:sz w:val="21"/>
          <w:szCs w:val="21"/>
        </w:rPr>
        <w:t>，提出以下几</w:t>
      </w:r>
      <w:r>
        <w:rPr>
          <w:rFonts w:hint="default" w:ascii="Times New Roman" w:hAnsi="Times New Roman" w:eastAsia="宋体" w:cs="Times New Roman"/>
          <w:bCs/>
          <w:color w:val="auto"/>
          <w:kern w:val="0"/>
          <w:sz w:val="21"/>
          <w:szCs w:val="21"/>
          <w:lang w:val="en-US" w:eastAsia="zh-CN"/>
        </w:rPr>
        <w:t>点</w:t>
      </w:r>
      <w:r>
        <w:rPr>
          <w:rFonts w:hint="default" w:ascii="Times New Roman" w:hAnsi="Times New Roman" w:eastAsia="宋体" w:cs="Times New Roman"/>
          <w:bCs/>
          <w:color w:val="auto"/>
          <w:kern w:val="0"/>
          <w:sz w:val="21"/>
          <w:szCs w:val="21"/>
        </w:rPr>
        <w:t>建议：</w:t>
      </w:r>
    </w:p>
    <w:p>
      <w:pPr>
        <w:widowControl/>
        <w:spacing w:line="276" w:lineRule="auto"/>
        <w:rPr>
          <w:rFonts w:hint="eastAsia" w:asciiTheme="minorEastAsia" w:hAnsiTheme="minorEastAsia"/>
          <w:bCs/>
          <w:color w:val="auto"/>
          <w:szCs w:val="21"/>
          <w:lang w:val="en-US" w:eastAsia="zh-CN"/>
        </w:rPr>
      </w:pPr>
      <w:r>
        <w:rPr>
          <w:rFonts w:hint="eastAsia" w:asciiTheme="minorEastAsia" w:hAnsiTheme="minorEastAsia"/>
          <w:bCs/>
          <w:color w:val="auto"/>
          <w:szCs w:val="21"/>
          <w:lang w:eastAsia="zh-CN"/>
        </w:rPr>
        <w:t>加强</w:t>
      </w:r>
      <w:r>
        <w:rPr>
          <w:rFonts w:hint="eastAsia" w:asciiTheme="minorEastAsia" w:hAnsiTheme="minorEastAsia"/>
          <w:bCs/>
          <w:color w:val="auto"/>
          <w:szCs w:val="21"/>
          <w:lang w:val="en-US" w:eastAsia="zh-CN"/>
        </w:rPr>
        <w:t>对内审员、检验人员的培训</w:t>
      </w:r>
      <w:r>
        <w:rPr>
          <w:rFonts w:hint="eastAsia" w:asciiTheme="minorEastAsia" w:hAnsiTheme="minorEastAsia"/>
          <w:bCs/>
          <w:color w:val="auto"/>
          <w:szCs w:val="21"/>
          <w:lang w:eastAsia="zh-CN"/>
        </w:rPr>
        <w:t>；</w:t>
      </w:r>
      <w:r>
        <w:rPr>
          <w:rFonts w:hint="eastAsia" w:asciiTheme="minorEastAsia" w:hAnsiTheme="minorEastAsia"/>
          <w:bCs/>
          <w:color w:val="auto"/>
          <w:szCs w:val="21"/>
          <w:lang w:val="en-US" w:eastAsia="zh-CN"/>
        </w:rPr>
        <w:t>进一步强化测量设备的计量确认和验证工作：</w:t>
      </w:r>
    </w:p>
    <w:p>
      <w:pPr>
        <w:widowControl/>
        <w:numPr>
          <w:ilvl w:val="0"/>
          <w:numId w:val="3"/>
        </w:numPr>
        <w:spacing w:line="276" w:lineRule="auto"/>
        <w:ind w:left="420" w:leftChars="0" w:firstLine="0" w:firstLineChars="0"/>
        <w:rPr>
          <w:rFonts w:hint="eastAsia" w:asciiTheme="minorEastAsia" w:hAnsiTheme="minorEastAsia"/>
          <w:bCs/>
          <w:color w:val="auto"/>
          <w:szCs w:val="21"/>
          <w:lang w:val="en-US" w:eastAsia="zh-CN"/>
        </w:rPr>
      </w:pPr>
      <w:r>
        <w:rPr>
          <w:rFonts w:hint="eastAsia" w:asciiTheme="minorEastAsia" w:hAnsiTheme="minorEastAsia"/>
          <w:bCs/>
          <w:color w:val="auto"/>
          <w:szCs w:val="21"/>
          <w:lang w:val="en-US" w:eastAsia="zh-CN"/>
        </w:rPr>
        <w:t>采用引进来或走出去的方法加强检验人员的培训力度。</w:t>
      </w:r>
    </w:p>
    <w:p>
      <w:pPr>
        <w:widowControl/>
        <w:numPr>
          <w:ilvl w:val="0"/>
          <w:numId w:val="3"/>
        </w:numPr>
        <w:spacing w:line="276" w:lineRule="auto"/>
        <w:ind w:left="420" w:leftChars="0" w:firstLine="0" w:firstLineChars="0"/>
        <w:rPr>
          <w:rFonts w:hint="default" w:asciiTheme="minorEastAsia" w:hAnsiTheme="minorEastAsia"/>
          <w:bCs/>
          <w:color w:val="auto"/>
          <w:szCs w:val="21"/>
          <w:lang w:val="en-US" w:eastAsia="zh-CN"/>
        </w:rPr>
      </w:pPr>
      <w:r>
        <w:rPr>
          <w:rFonts w:hint="eastAsia" w:asciiTheme="minorEastAsia" w:hAnsiTheme="minorEastAsia"/>
          <w:bCs/>
          <w:color w:val="auto"/>
          <w:szCs w:val="21"/>
          <w:lang w:val="en-US" w:eastAsia="zh-CN"/>
        </w:rPr>
        <w:t>进一步加强测量设备的管理及计量确认工作。</w:t>
      </w:r>
    </w:p>
    <w:p>
      <w:pPr>
        <w:widowControl/>
        <w:spacing w:line="276" w:lineRule="auto"/>
        <w:rPr>
          <w:rFonts w:hint="default" w:asciiTheme="minorEastAsia" w:hAnsiTheme="minorEastAsia"/>
          <w:bCs/>
          <w:color w:val="auto"/>
          <w:szCs w:val="21"/>
          <w:lang w:val="en-US" w:eastAsia="zh-CN"/>
        </w:rPr>
      </w:pPr>
      <w:r>
        <w:rPr>
          <w:rFonts w:hint="eastAsia" w:asciiTheme="minorEastAsia" w:hAnsiTheme="minorEastAsia"/>
          <w:bCs/>
          <w:color w:val="auto"/>
          <w:szCs w:val="21"/>
          <w:lang w:val="en-US" w:eastAsia="zh-CN"/>
        </w:rPr>
        <w:t xml:space="preserve">   </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1387475</wp:posOffset>
            </wp:positionH>
            <wp:positionV relativeFrom="paragraph">
              <wp:posOffset>-41910</wp:posOffset>
            </wp:positionV>
            <wp:extent cx="733425" cy="397510"/>
            <wp:effectExtent l="0" t="0" r="3175" b="8890"/>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733425" cy="397510"/>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2022年11月12日</w:t>
      </w:r>
    </w:p>
    <w:p>
      <w:pPr>
        <w:widowControl/>
        <w:spacing w:line="360" w:lineRule="auto"/>
        <w:jc w:val="left"/>
        <w:rPr>
          <w:rFonts w:ascii="宋体" w:hAnsi="宋体" w:eastAsia="宋体" w:cs="宋体"/>
          <w:kern w:val="0"/>
          <w:szCs w:val="21"/>
        </w:rPr>
      </w:pPr>
      <w:r>
        <w:rPr>
          <w:rFonts w:hint="eastAsia"/>
          <w:sz w:val="24"/>
          <w:szCs w:val="24"/>
        </w:rPr>
        <w:drawing>
          <wp:anchor distT="0" distB="0" distL="114300" distR="114300" simplePos="0" relativeHeight="251662336" behindDoc="0" locked="0" layoutInCell="1" allowOverlap="1">
            <wp:simplePos x="0" y="0"/>
            <wp:positionH relativeFrom="column">
              <wp:posOffset>1454785</wp:posOffset>
            </wp:positionH>
            <wp:positionV relativeFrom="paragraph">
              <wp:posOffset>267970</wp:posOffset>
            </wp:positionV>
            <wp:extent cx="603250" cy="418465"/>
            <wp:effectExtent l="0" t="0" r="6350" b="635"/>
            <wp:wrapNone/>
            <wp:docPr id="3" name="图片 3" descr="8a37011ad3cc1c3f5fdb7fd7a89b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37011ad3cc1c3f5fdb7fd7a89b8f0"/>
                    <pic:cNvPicPr>
                      <a:picLocks noChangeAspect="1"/>
                    </pic:cNvPicPr>
                  </pic:nvPicPr>
                  <pic:blipFill>
                    <a:blip r:embed="rId7"/>
                    <a:stretch>
                      <a:fillRect/>
                    </a:stretch>
                  </pic:blipFill>
                  <pic:spPr>
                    <a:xfrm>
                      <a:off x="0" y="0"/>
                      <a:ext cx="603250" cy="418465"/>
                    </a:xfrm>
                    <a:prstGeom prst="rect">
                      <a:avLst/>
                    </a:prstGeom>
                    <a:noFill/>
                    <a:ln>
                      <a:noFill/>
                    </a:ln>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2022年11月12日</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3360"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abstractNum w:abstractNumId="1">
    <w:nsid w:val="3B903EB4"/>
    <w:multiLevelType w:val="singleLevel"/>
    <w:tmpl w:val="3B903EB4"/>
    <w:lvl w:ilvl="0" w:tentative="0">
      <w:start w:val="1"/>
      <w:numFmt w:val="decimal"/>
      <w:suff w:val="nothing"/>
      <w:lvlText w:val="%1、"/>
      <w:lvlJc w:val="left"/>
      <w:pPr>
        <w:ind w:left="420" w:leftChars="0" w:firstLine="0" w:firstLineChars="0"/>
      </w:pPr>
    </w:lvl>
  </w:abstractNum>
  <w:abstractNum w:abstractNumId="2">
    <w:nsid w:val="78480174"/>
    <w:multiLevelType w:val="singleLevel"/>
    <w:tmpl w:val="78480174"/>
    <w:lvl w:ilvl="0" w:tentative="0">
      <w:start w:val="1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22E26FA"/>
    <w:rsid w:val="03FF2CBE"/>
    <w:rsid w:val="0874698D"/>
    <w:rsid w:val="0CBB1F9B"/>
    <w:rsid w:val="0D6E7E4F"/>
    <w:rsid w:val="0DED346A"/>
    <w:rsid w:val="104F21BA"/>
    <w:rsid w:val="15897F1C"/>
    <w:rsid w:val="15BD7BC5"/>
    <w:rsid w:val="182B52BA"/>
    <w:rsid w:val="18B74DA0"/>
    <w:rsid w:val="1A134258"/>
    <w:rsid w:val="1D525097"/>
    <w:rsid w:val="1E5D1F46"/>
    <w:rsid w:val="1EC21DA9"/>
    <w:rsid w:val="2181419D"/>
    <w:rsid w:val="242B4894"/>
    <w:rsid w:val="27D52B4D"/>
    <w:rsid w:val="29C42214"/>
    <w:rsid w:val="2C477D91"/>
    <w:rsid w:val="30760C45"/>
    <w:rsid w:val="32230959"/>
    <w:rsid w:val="38325D99"/>
    <w:rsid w:val="3EE020AB"/>
    <w:rsid w:val="43650DD1"/>
    <w:rsid w:val="4447497A"/>
    <w:rsid w:val="45A33E32"/>
    <w:rsid w:val="505A5A36"/>
    <w:rsid w:val="514F4E6E"/>
    <w:rsid w:val="560B1CAC"/>
    <w:rsid w:val="573C40E7"/>
    <w:rsid w:val="5B5714EF"/>
    <w:rsid w:val="5EFD23AE"/>
    <w:rsid w:val="5FD56E87"/>
    <w:rsid w:val="620121B5"/>
    <w:rsid w:val="64C25C2B"/>
    <w:rsid w:val="65B0017A"/>
    <w:rsid w:val="670A5668"/>
    <w:rsid w:val="6B6712DB"/>
    <w:rsid w:val="6D54763D"/>
    <w:rsid w:val="72BF5122"/>
    <w:rsid w:val="77B358A8"/>
    <w:rsid w:val="77C90C27"/>
    <w:rsid w:val="7B160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2</TotalTime>
  <ScaleCrop>false</ScaleCrop>
  <LinksUpToDate>false</LinksUpToDate>
  <CharactersWithSpaces>2165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2022-11-14T01:51:54Z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12A116A19ABC46919A61B7FFB7C2EB47</vt:lpwstr>
  </property>
</Properties>
</file>