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泰州市凤城物业管理有限公司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szCs w:val="21"/>
                <w:lang w:val="en-US" w:eastAsia="zh-CN"/>
              </w:rPr>
              <w:t>相关方的识别清单中未识别供电和供水及用能设备采购等相关部门，建议增加。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 w:eastAsia="宋体" w:cs="宋体"/>
                <w:b w:val="0"/>
                <w:bCs/>
                <w:szCs w:val="21"/>
                <w:lang w:val="en-US" w:eastAsia="zh-CN"/>
              </w:rPr>
              <w:t>提供的能源风险与机遇管控清单中</w:t>
            </w:r>
            <w:r>
              <w:rPr>
                <w:rFonts w:hint="eastAsia" w:cs="宋体"/>
                <w:b w:val="0"/>
                <w:bCs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宋体"/>
                <w:b w:val="0"/>
                <w:bCs/>
                <w:szCs w:val="21"/>
                <w:lang w:val="en-US" w:eastAsia="zh-CN"/>
              </w:rPr>
              <w:t>明确落实责任人，确保风险有人管，</w:t>
            </w:r>
            <w:r>
              <w:rPr>
                <w:rFonts w:hint="eastAsia" w:cs="宋体"/>
                <w:b w:val="0"/>
                <w:bCs/>
                <w:szCs w:val="21"/>
                <w:lang w:val="en-US" w:eastAsia="zh-CN"/>
              </w:rPr>
              <w:t>实现</w:t>
            </w:r>
            <w:r>
              <w:rPr>
                <w:rFonts w:hint="eastAsia" w:ascii="Times New Roman" w:hAnsi="Times New Roman" w:eastAsia="宋体" w:cs="宋体"/>
                <w:b w:val="0"/>
                <w:bCs/>
                <w:szCs w:val="21"/>
                <w:lang w:val="en-US" w:eastAsia="zh-CN"/>
              </w:rPr>
              <w:t>风险可控</w:t>
            </w:r>
            <w:r>
              <w:rPr>
                <w:rFonts w:hint="eastAsia" w:cs="宋体"/>
                <w:b w:val="0"/>
                <w:bCs/>
                <w:szCs w:val="21"/>
                <w:lang w:val="en-US"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Times New Roman"/>
                <w:color w:val="021DE4"/>
                <w:kern w:val="2"/>
                <w:sz w:val="21"/>
                <w:szCs w:val="22"/>
                <w:lang w:val="en-US" w:eastAsia="zh-CN" w:bidi="ar-SA"/>
              </w:rPr>
              <w:t>计量器具管理：物业是落实和保证居住民权益和利益的企业单位，能源计量器具属于物产的组成部分。能源收费公平贸易属于物业替业主维权的责任。应当与地方的电力和供水部门积极沟通获取相关计量检定证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int="eastAsia" w:eastAsia="宋体" w:cs="Times New Roman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企业的内部审核</w:t>
            </w:r>
            <w:r>
              <w:rPr>
                <w:rFonts w:hint="eastAsia" w:eastAsia="宋体" w:cs="Times New Roman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不规范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，审核记录的检查内容</w:t>
            </w:r>
            <w:r>
              <w:rPr>
                <w:rFonts w:hint="eastAsia" w:eastAsia="宋体" w:cs="Times New Roman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过于简单</w:t>
            </w:r>
          </w:p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39FCC"/>
    <w:multiLevelType w:val="singleLevel"/>
    <w:tmpl w:val="77B39FCC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97B79"/>
    <w:rsid w:val="0F271D28"/>
    <w:rsid w:val="33BC2F5F"/>
    <w:rsid w:val="345E4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2022-11-13T09:32:22Z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