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1214-2022-EnMS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泰州市凤城物业管理有限公司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泰州市凤城物业管理有限公司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泰州市海陵区泰东商业广场南楼501室</w:t>
            </w:r>
            <w:bookmarkEnd w:id="6"/>
          </w:p>
        </w:tc>
        <w:tc>
          <w:tcPr>
            <w:tcW w:w="1242" w:type="dxa"/>
            <w:vMerge w:val="restart"/>
            <w:vAlign w:val="center"/>
          </w:tcPr>
          <w:p>
            <w:r>
              <w:rPr>
                <w:rFonts w:hint="eastAsia"/>
              </w:rPr>
              <w:t>邮编</w:t>
            </w:r>
          </w:p>
        </w:tc>
        <w:tc>
          <w:tcPr>
            <w:tcW w:w="1771" w:type="dxa"/>
          </w:tcPr>
          <w:p>
            <w:bookmarkStart w:id="7" w:name="注册邮编"/>
            <w:r>
              <w:t>225300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江苏省泰州市海陵区泰东商业广场南楼501室</w:t>
            </w:r>
            <w:bookmarkEnd w:id="8"/>
          </w:p>
        </w:tc>
        <w:tc>
          <w:tcPr>
            <w:tcW w:w="1242" w:type="dxa"/>
            <w:vMerge w:val="continue"/>
            <w:vAlign w:val="center"/>
          </w:tcPr>
          <w:p/>
        </w:tc>
        <w:tc>
          <w:tcPr>
            <w:tcW w:w="1771" w:type="dxa"/>
          </w:tcPr>
          <w:p>
            <w:bookmarkStart w:id="9" w:name="办公邮编"/>
            <w:r>
              <w:t>225300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多场所</w:t>
            </w:r>
          </w:p>
        </w:tc>
        <w:tc>
          <w:tcPr>
            <w:tcW w:w="5045" w:type="dxa"/>
            <w:gridSpan w:val="3"/>
            <w:vAlign w:val="top"/>
          </w:tcPr>
          <w:p>
            <w:pPr>
              <w:rPr>
                <w:rFonts w:ascii="Times New Roman" w:hAnsi="Times New Roman" w:eastAsia="宋体" w:cs="Times New Roman"/>
                <w:lang w:val="en-US" w:eastAsia="zh-CN"/>
              </w:rPr>
            </w:pPr>
            <w:r>
              <w:rPr>
                <w:rFonts w:hint="eastAsia" w:ascii="Times New Roman" w:hAnsi="Times New Roman" w:eastAsia="宋体" w:cs="Times New Roman"/>
                <w:lang w:val="en-US" w:eastAsia="zh-CN"/>
              </w:rPr>
              <w:t>天和家园小区/泰州市海陵区育才路99号</w:t>
            </w:r>
          </w:p>
        </w:tc>
        <w:tc>
          <w:tcPr>
            <w:tcW w:w="1242" w:type="dxa"/>
            <w:vAlign w:val="center"/>
          </w:tcP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白筱君</w:t>
            </w:r>
            <w:bookmarkEnd w:id="10"/>
          </w:p>
        </w:tc>
        <w:tc>
          <w:tcPr>
            <w:tcW w:w="1313" w:type="dxa"/>
            <w:vAlign w:val="center"/>
          </w:tcPr>
          <w:p>
            <w:r>
              <w:rPr>
                <w:rFonts w:hint="eastAsia"/>
              </w:rPr>
              <w:t>电话.</w:t>
            </w:r>
          </w:p>
        </w:tc>
        <w:tc>
          <w:tcPr>
            <w:tcW w:w="2180" w:type="dxa"/>
            <w:vAlign w:val="center"/>
          </w:tcPr>
          <w:p>
            <w:bookmarkStart w:id="11" w:name="联系人电话"/>
            <w:r>
              <w:t>0523-82789088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肖华</w:t>
            </w:r>
            <w:bookmarkEnd w:id="13"/>
          </w:p>
        </w:tc>
        <w:tc>
          <w:tcPr>
            <w:tcW w:w="1313" w:type="dxa"/>
            <w:vAlign w:val="center"/>
          </w:tcPr>
          <w:p>
            <w:r>
              <w:rPr>
                <w:rFonts w:hint="eastAsia"/>
              </w:rPr>
              <w:t>管理者代表</w:t>
            </w:r>
          </w:p>
        </w:tc>
        <w:tc>
          <w:tcPr>
            <w:tcW w:w="2180" w:type="dxa"/>
          </w:tcPr>
          <w:p>
            <w:bookmarkStart w:id="14" w:name="管理者代表"/>
            <w:r>
              <w:t>白筱君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w:t>
            </w:r>
            <w:r>
              <w:rPr>
                <w:rFonts w:hint="eastAsia"/>
              </w:rPr>
              <w:sym w:font="Wingdings 2" w:char="0052"/>
            </w:r>
            <w:r>
              <w:rPr>
                <w:rFonts w:hint="eastAsia"/>
              </w:rPr>
              <w:t>双班</w:t>
            </w:r>
            <w:r>
              <w:rPr>
                <w:rFonts w:hint="eastAsia"/>
                <w:lang w:eastAsia="zh-CN"/>
              </w:rPr>
              <w:t>（</w:t>
            </w:r>
            <w:r>
              <w:rPr>
                <w:rFonts w:hint="eastAsia"/>
                <w:lang w:val="en-US" w:eastAsia="zh-CN"/>
              </w:rPr>
              <w:t>秩序员</w:t>
            </w:r>
            <w:bookmarkStart w:id="35" w:name="_GoBack"/>
            <w:bookmarkEnd w:id="35"/>
            <w:r>
              <w:rPr>
                <w:rFonts w:hint="eastAsia"/>
                <w:lang w:eastAsia="zh-CN"/>
              </w:rPr>
              <w:t>）</w:t>
            </w:r>
            <w:r>
              <w:rPr>
                <w:rFonts w:hint="eastAsia"/>
              </w:rPr>
              <w:t>□三班□其他</w:t>
            </w:r>
          </w:p>
          <w:p>
            <w:r>
              <w:rPr>
                <w:rFonts w:hint="eastAsia"/>
                <w:highlight w:val="none"/>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77130" cy="7956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7130" cy="795655"/>
                          </a:xfrm>
                          <a:prstGeom prst="rect">
                            <a:avLst/>
                          </a:prstGeom>
                          <a:noFill/>
                          <a:ln>
                            <a:noFill/>
                          </a:ln>
                        </pic:spPr>
                      </pic:pic>
                    </a:graphicData>
                  </a:graphic>
                </wp:inline>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2022年11月14日 下午至2022年11月18日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 xml:space="preserve">RB/T </w:t>
            </w:r>
            <w:r>
              <w:rPr>
                <w:rFonts w:hint="eastAsia"/>
                <w:lang w:val="en-US" w:eastAsia="zh-CN"/>
              </w:rPr>
              <w:t>107-2013</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restart"/>
            <w:vAlign w:val="center"/>
          </w:tcPr>
          <w:p>
            <w:r>
              <w:rPr>
                <w:rFonts w:hint="eastAsia"/>
              </w:rPr>
              <w:t>审核范围</w:t>
            </w:r>
          </w:p>
        </w:tc>
        <w:tc>
          <w:tcPr>
            <w:tcW w:w="4616" w:type="dxa"/>
            <w:gridSpan w:val="2"/>
            <w:vMerge w:val="restart"/>
            <w:vAlign w:val="center"/>
          </w:tcPr>
          <w:p>
            <w:bookmarkStart w:id="29" w:name="审核范围"/>
            <w:r>
              <w:t>物业管理服务涉及的能源管理活动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vAlign w:val="center"/>
          </w:tcPr>
          <w:p>
            <w:pPr>
              <w:jc w:val="center"/>
            </w:pP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jc w:val="center"/>
            </w:pPr>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41"/>
        <w:gridCol w:w="18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641" w:type="dxa"/>
            <w:shd w:val="clear" w:color="auto" w:fill="F3F3F3"/>
            <w:tcMar>
              <w:left w:w="57" w:type="dxa"/>
              <w:right w:w="57" w:type="dxa"/>
            </w:tcMar>
          </w:tcPr>
          <w:p>
            <w:r>
              <w:rPr>
                <w:rFonts w:hint="eastAsia"/>
              </w:rPr>
              <w:t>审核范围（产品和过程）</w:t>
            </w:r>
          </w:p>
          <w:p>
            <w:r>
              <w:rPr>
                <w:rFonts w:hint="eastAsia"/>
              </w:rPr>
              <w:t>（注：FSMS/HACCP要明确到车间）</w:t>
            </w:r>
          </w:p>
        </w:tc>
        <w:tc>
          <w:tcPr>
            <w:tcW w:w="183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Merge w:val="restart"/>
          </w:tcPr>
          <w:p>
            <w:pPr>
              <w:rPr>
                <w:rFonts w:hint="eastAsia" w:eastAsia="宋体"/>
                <w:lang w:val="en-US" w:eastAsia="zh-CN"/>
              </w:rPr>
            </w:pPr>
            <w:r>
              <w:rPr>
                <w:sz w:val="21"/>
                <w:szCs w:val="21"/>
              </w:rPr>
              <w:t>泰州市凤城物业管理有限公司</w:t>
            </w:r>
            <w:r>
              <w:rPr>
                <w:rFonts w:hint="eastAsia"/>
                <w:sz w:val="21"/>
                <w:szCs w:val="21"/>
                <w:lang w:val="en-US" w:eastAsia="zh-CN"/>
              </w:rPr>
              <w:t>/</w:t>
            </w:r>
            <w:r>
              <w:rPr>
                <w:rFonts w:asciiTheme="minorEastAsia" w:hAnsiTheme="minorEastAsia" w:eastAsiaTheme="minorEastAsia"/>
                <w:sz w:val="20"/>
              </w:rPr>
              <w:t>泰州市海陵区泰东商业广场南楼501室</w:t>
            </w:r>
          </w:p>
        </w:tc>
        <w:tc>
          <w:tcPr>
            <w:tcW w:w="2267" w:type="dxa"/>
          </w:tcPr>
          <w:p>
            <w:pPr>
              <w:rPr>
                <w:lang w:val="de-DE" w:eastAsia="ja-JP"/>
              </w:rPr>
            </w:pPr>
            <w:bookmarkStart w:id="31" w:name="生产地址"/>
            <w:r>
              <w:rPr>
                <w:rFonts w:asciiTheme="minorEastAsia" w:hAnsiTheme="minorEastAsia" w:eastAsiaTheme="minorEastAsia"/>
                <w:sz w:val="20"/>
              </w:rPr>
              <w:t>江苏省泰州市海陵区泰东商业广场南楼501室</w:t>
            </w:r>
            <w:bookmarkEnd w:id="31"/>
          </w:p>
        </w:tc>
        <w:tc>
          <w:tcPr>
            <w:tcW w:w="571" w:type="dxa"/>
            <w:vMerge w:val="restart"/>
            <w:vAlign w:val="center"/>
          </w:tcPr>
          <w:p>
            <w:pPr>
              <w:rPr>
                <w:rFonts w:hint="default" w:eastAsia="宋体"/>
                <w:lang w:val="en-US" w:eastAsia="zh-CN"/>
              </w:rPr>
            </w:pPr>
            <w:r>
              <w:rPr>
                <w:rFonts w:hint="eastAsia"/>
                <w:lang w:val="en-US" w:eastAsia="zh-CN"/>
              </w:rPr>
              <w:t>53</w:t>
            </w:r>
          </w:p>
        </w:tc>
        <w:tc>
          <w:tcPr>
            <w:tcW w:w="1641" w:type="dxa"/>
            <w:vMerge w:val="restart"/>
            <w:vAlign w:val="center"/>
          </w:tcPr>
          <w:p>
            <w:pPr>
              <w:rPr>
                <w:lang w:eastAsia="ja-JP"/>
              </w:rPr>
            </w:pPr>
            <w:r>
              <w:t>物业管理服务涉及的能源管理活动</w:t>
            </w:r>
          </w:p>
        </w:tc>
        <w:tc>
          <w:tcPr>
            <w:tcW w:w="1831" w:type="dxa"/>
            <w:vMerge w:val="restart"/>
            <w:vAlign w:val="center"/>
          </w:tcPr>
          <w:p>
            <w:pPr>
              <w:rPr>
                <w:rFonts w:hint="eastAsia"/>
                <w:lang w:val="en-US" w:eastAsia="zh-CN"/>
              </w:rPr>
            </w:pPr>
            <w:r>
              <w:rPr>
                <w:rFonts w:hint="eastAsia"/>
                <w:lang w:val="en-US" w:eastAsia="zh-CN"/>
              </w:rPr>
              <w:t>GB/T23331-2020</w:t>
            </w:r>
          </w:p>
          <w:p>
            <w:pPr>
              <w:pStyle w:val="3"/>
              <w:rPr>
                <w:rFonts w:hint="default"/>
                <w:lang w:val="en-US" w:eastAsia="zh-CN"/>
              </w:rPr>
            </w:pPr>
            <w:r>
              <w:rPr>
                <w:rFonts w:hint="eastAsia"/>
                <w:lang w:val="en-US" w:eastAsia="zh-CN"/>
              </w:rPr>
              <w:t>RB/T107-2013</w:t>
            </w:r>
          </w:p>
        </w:tc>
        <w:tc>
          <w:tcPr>
            <w:tcW w:w="668" w:type="dxa"/>
            <w:vMerge w:val="restart"/>
            <w:shd w:val="clear" w:color="auto" w:fill="FFFFFF"/>
          </w:tcPr>
          <w:p>
            <w:pPr>
              <w:rPr>
                <w:rFonts w:hint="eastAsia" w:ascii="宋体" w:hAnsi="宋体" w:eastAsia="宋体" w:cs="宋体"/>
              </w:rPr>
            </w:pPr>
            <w:r>
              <w:rPr>
                <w:rFonts w:hint="eastAsia" w:ascii="宋体" w:hAnsi="宋体" w:eastAsia="宋体" w:cs="宋体"/>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Merge w:val="continue"/>
            <w:vAlign w:val="center"/>
          </w:tcPr>
          <w:p>
            <w:pPr>
              <w:rPr>
                <w:lang w:eastAsia="ja-JP"/>
              </w:rPr>
            </w:pPr>
          </w:p>
        </w:tc>
        <w:tc>
          <w:tcPr>
            <w:tcW w:w="2267" w:type="dxa"/>
            <w:vAlign w:val="center"/>
          </w:tcPr>
          <w:p>
            <w:pPr>
              <w:rPr>
                <w:lang w:eastAsia="ja-JP"/>
              </w:rPr>
            </w:pPr>
            <w:r>
              <w:rPr>
                <w:rFonts w:hint="eastAsia" w:cs="Times New Roman" w:asciiTheme="minorEastAsia" w:hAnsiTheme="minorEastAsia" w:eastAsiaTheme="minorEastAsia"/>
                <w:sz w:val="20"/>
                <w:lang w:val="en-US" w:eastAsia="zh-CN"/>
              </w:rPr>
              <w:t>天和家园小区/泰州市海陵区育才路99号</w:t>
            </w:r>
          </w:p>
        </w:tc>
        <w:tc>
          <w:tcPr>
            <w:tcW w:w="571" w:type="dxa"/>
            <w:vMerge w:val="continue"/>
            <w:vAlign w:val="center"/>
          </w:tcPr>
          <w:p>
            <w:pPr>
              <w:rPr>
                <w:lang w:eastAsia="ja-JP"/>
              </w:rPr>
            </w:pPr>
          </w:p>
        </w:tc>
        <w:tc>
          <w:tcPr>
            <w:tcW w:w="1641" w:type="dxa"/>
            <w:vMerge w:val="continue"/>
            <w:vAlign w:val="center"/>
          </w:tcPr>
          <w:p>
            <w:pPr>
              <w:rPr>
                <w:lang w:eastAsia="ja-JP"/>
              </w:rPr>
            </w:pPr>
          </w:p>
        </w:tc>
        <w:tc>
          <w:tcPr>
            <w:tcW w:w="1831" w:type="dxa"/>
            <w:vMerge w:val="continue"/>
            <w:vAlign w:val="center"/>
          </w:tcPr>
          <w:p>
            <w:pPr>
              <w:rPr>
                <w:lang w:eastAsia="ja-JP"/>
              </w:rPr>
            </w:pPr>
          </w:p>
        </w:tc>
        <w:tc>
          <w:tcPr>
            <w:tcW w:w="668" w:type="dxa"/>
            <w:vMerge w:val="continue"/>
            <w:shd w:val="clear" w:color="auto" w:fill="FFFFFF"/>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41" w:type="dxa"/>
            <w:vAlign w:val="center"/>
          </w:tcPr>
          <w:p>
            <w:pPr>
              <w:rPr>
                <w:lang w:eastAsia="ja-JP"/>
              </w:rPr>
            </w:pPr>
          </w:p>
        </w:tc>
        <w:tc>
          <w:tcPr>
            <w:tcW w:w="1831" w:type="dxa"/>
            <w:vAlign w:val="center"/>
          </w:tcPr>
          <w:p>
            <w:pPr>
              <w:rPr>
                <w:lang w:eastAsia="ja-JP"/>
              </w:rPr>
            </w:pPr>
          </w:p>
        </w:tc>
        <w:tc>
          <w:tcPr>
            <w:tcW w:w="668" w:type="dxa"/>
            <w:shd w:val="clear" w:color="auto" w:fill="FFFFFF"/>
          </w:tcPr>
          <w:p>
            <w:r>
              <w:rPr>
                <w:rFonts w:hint="eastAsia"/>
              </w:rPr>
              <w:t>☐</w:t>
            </w:r>
          </w:p>
        </w:tc>
      </w:tr>
    </w:tbl>
    <w:p>
      <w:pPr>
        <w:rPr>
          <w:rFonts w:hint="eastAsia"/>
        </w:rPr>
      </w:pPr>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9"/>
        <w:gridCol w:w="2709"/>
        <w:gridCol w:w="276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99" w:type="dxa"/>
            <w:vAlign w:val="center"/>
          </w:tcPr>
          <w:p>
            <w:pPr>
              <w:rPr>
                <w:rFonts w:ascii="宋体"/>
                <w:b/>
                <w:color w:val="0000FF"/>
                <w:szCs w:val="21"/>
              </w:rPr>
            </w:pPr>
            <w:r>
              <w:rPr>
                <w:rFonts w:hint="eastAsia" w:ascii="宋体"/>
                <w:b/>
                <w:color w:val="0000FF"/>
                <w:szCs w:val="21"/>
              </w:rPr>
              <w:t>突发事件的处置措施</w:t>
            </w:r>
          </w:p>
        </w:tc>
        <w:tc>
          <w:tcPr>
            <w:tcW w:w="8310"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exact"/>
          <w:jc w:val="center"/>
        </w:trPr>
        <w:tc>
          <w:tcPr>
            <w:tcW w:w="1799" w:type="dxa"/>
            <w:vMerge w:val="restart"/>
            <w:vAlign w:val="center"/>
          </w:tcPr>
          <w:p>
            <w:pPr>
              <w:rPr>
                <w:rFonts w:ascii="宋体"/>
                <w:b/>
                <w:color w:val="0000FF"/>
                <w:szCs w:val="21"/>
              </w:rPr>
            </w:pPr>
            <w:r>
              <w:rPr>
                <w:rFonts w:hint="eastAsia"/>
                <w:b/>
                <w:bCs/>
                <w:color w:val="0000FF"/>
              </w:rPr>
              <w:t>远程审核的有效性评价（适用时）</w:t>
            </w:r>
          </w:p>
        </w:tc>
        <w:tc>
          <w:tcPr>
            <w:tcW w:w="8310"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exact"/>
          <w:jc w:val="center"/>
        </w:trPr>
        <w:tc>
          <w:tcPr>
            <w:tcW w:w="1799" w:type="dxa"/>
            <w:vMerge w:val="continue"/>
            <w:vAlign w:val="center"/>
          </w:tcPr>
          <w:p>
            <w:pPr>
              <w:rPr>
                <w:rFonts w:ascii="宋体"/>
                <w:b/>
                <w:color w:val="0000FF"/>
                <w:szCs w:val="21"/>
              </w:rPr>
            </w:pPr>
          </w:p>
        </w:tc>
        <w:tc>
          <w:tcPr>
            <w:tcW w:w="8310"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exact"/>
          <w:jc w:val="center"/>
        </w:trPr>
        <w:tc>
          <w:tcPr>
            <w:tcW w:w="1799" w:type="dxa"/>
          </w:tcPr>
          <w:p>
            <w:r>
              <w:rPr>
                <w:rFonts w:hint="eastAsia"/>
              </w:rPr>
              <w:t>审核组长签字</w:t>
            </w:r>
          </w:p>
        </w:tc>
        <w:tc>
          <w:tcPr>
            <w:tcW w:w="2709" w:type="dxa"/>
            <w:tcMar>
              <w:left w:w="113" w:type="dxa"/>
            </w:tcMar>
          </w:tcPr>
          <w:p>
            <w:r>
              <w:drawing>
                <wp:anchor distT="0" distB="0" distL="114300" distR="114300" simplePos="0" relativeHeight="251663360" behindDoc="0" locked="0" layoutInCell="1" allowOverlap="1">
                  <wp:simplePos x="0" y="0"/>
                  <wp:positionH relativeFrom="column">
                    <wp:posOffset>4445</wp:posOffset>
                  </wp:positionH>
                  <wp:positionV relativeFrom="paragraph">
                    <wp:posOffset>34925</wp:posOffset>
                  </wp:positionV>
                  <wp:extent cx="673100" cy="274955"/>
                  <wp:effectExtent l="0" t="0" r="0" b="3810"/>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7"/>
                          <a:stretch>
                            <a:fillRect/>
                          </a:stretch>
                        </pic:blipFill>
                        <pic:spPr>
                          <a:xfrm>
                            <a:off x="0" y="0"/>
                            <a:ext cx="673100" cy="27495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837"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2022.11.18</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4"/>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lang w:val="en-US" w:eastAsia="zh-CN"/>
              </w:rPr>
              <w:t>服务过程</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A3"/>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default" w:eastAsia="宋体"/>
                <w:lang w:val="en-US" w:eastAsia="zh-CN"/>
              </w:rPr>
            </w:pPr>
            <w:r>
              <w:rPr>
                <w:rFonts w:hint="eastAsia"/>
              </w:rPr>
              <w:t>□生产/服务过程</w:t>
            </w:r>
            <w:r>
              <w:rPr>
                <w:rFonts w:hint="eastAsia"/>
              </w:rPr>
              <w:sym w:font="Wingdings 2" w:char="00A3"/>
            </w:r>
            <w:r>
              <w:rPr>
                <w:rFonts w:hint="eastAsia"/>
              </w:rPr>
              <w:t>能效监测</w:t>
            </w:r>
            <w:r>
              <w:rPr>
                <w:rFonts w:hint="eastAsia"/>
              </w:rPr>
              <w:sym w:font="Wingdings 2" w:char="00A3"/>
            </w:r>
            <w:r>
              <w:rPr>
                <w:rFonts w:hint="eastAsia"/>
              </w:rPr>
              <w:t>设备维修</w:t>
            </w:r>
            <w:r>
              <w:rPr>
                <w:rFonts w:hint="eastAsia"/>
              </w:rPr>
              <w:sym w:font="Wingdings 2" w:char="0052"/>
            </w: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电梯维护</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b/>
                <w:bCs/>
              </w:rPr>
            </w:pPr>
            <w:r>
              <w:rPr>
                <w:rFonts w:hint="eastAsia"/>
              </w:rPr>
              <w:t>最高管理者制定了文件化的管理体系方针：</w:t>
            </w:r>
            <w:r>
              <w:rPr>
                <w:rFonts w:hint="eastAsia" w:ascii="Times New Roman" w:hAnsi="Times New Roman" w:eastAsia="宋体" w:cs="Times New Roman"/>
                <w:b/>
                <w:bCs/>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综合管理室  </w:t>
            </w:r>
            <w:r>
              <w:rPr>
                <w:rFonts w:hint="eastAsia"/>
              </w:rPr>
              <w:sym w:font="Wingdings 2" w:char="0052"/>
            </w:r>
            <w:r>
              <w:rPr>
                <w:rFonts w:hint="eastAsia"/>
              </w:rPr>
              <w:t>能源管理团队</w:t>
            </w:r>
            <w:r>
              <w:rPr>
                <w:rFonts w:hint="eastAsia"/>
                <w:lang w:eastAsia="zh-CN"/>
              </w:rPr>
              <w:t>——</w:t>
            </w:r>
            <w:r>
              <w:rPr>
                <w:rFonts w:hint="eastAsia"/>
                <w:lang w:val="en-US" w:eastAsia="zh-CN"/>
              </w:rPr>
              <w:t>天和家园小区物业管理团队</w:t>
            </w:r>
          </w:p>
          <w:p>
            <w:pPr>
              <w:shd w:val="clear" w:color="auto" w:fill="EBF1DE" w:themeFill="accent3" w:themeFillTint="32"/>
              <w:rPr>
                <w:rFonts w:hint="default" w:eastAsia="宋体"/>
                <w:lang w:val="en-US" w:eastAsia="zh-CN"/>
              </w:rPr>
            </w:pPr>
            <w:r>
              <w:rPr>
                <w:rFonts w:hint="eastAsia"/>
              </w:rPr>
              <w:t>能源管理者代表是——</w:t>
            </w:r>
            <w:r>
              <w:rPr>
                <w:rFonts w:hint="eastAsia"/>
                <w:lang w:val="en-US" w:eastAsia="zh-CN"/>
              </w:rPr>
              <w:t>白筱君</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rPr>
                <w:rFonts w:hint="default" w:eastAsia="宋体"/>
                <w:lang w:val="en-US" w:eastAsia="zh-CN"/>
              </w:rPr>
            </w:pPr>
            <w:r>
              <w:rPr>
                <w:rFonts w:hint="eastAsia"/>
              </w:rPr>
              <w:t>□蒸汽</w:t>
            </w:r>
            <w:r>
              <w:rPr>
                <w:rFonts w:hint="eastAsia"/>
                <w:lang w:val="en-US" w:eastAsia="zh-CN"/>
              </w:rPr>
              <w:t xml:space="preserve">  </w:t>
            </w:r>
            <w:r>
              <w:rPr>
                <w:rFonts w:hint="eastAsia"/>
              </w:rPr>
              <w:sym w:font="Wingdings 2" w:char="00A3"/>
            </w:r>
            <w:r>
              <w:rPr>
                <w:rFonts w:hint="eastAsia"/>
              </w:rPr>
              <w:t>天然气</w:t>
            </w:r>
            <w:r>
              <w:rPr>
                <w:rFonts w:hint="eastAsia"/>
                <w:lang w:val="en-US" w:eastAsia="zh-CN"/>
              </w:rPr>
              <w:t xml:space="preserve">  </w:t>
            </w:r>
            <w:r>
              <w:rPr>
                <w:rFonts w:hint="eastAsia"/>
              </w:rPr>
              <w:t>□燃料油</w:t>
            </w:r>
            <w:r>
              <w:rPr>
                <w:rFonts w:hint="eastAsia"/>
                <w:lang w:val="en-US" w:eastAsia="zh-CN"/>
              </w:rPr>
              <w:t xml:space="preserve">  </w:t>
            </w:r>
            <w:r>
              <w:rPr>
                <w:rFonts w:hint="eastAsia"/>
              </w:rPr>
              <w:sym w:font="Wingdings 2" w:char="00A3"/>
            </w:r>
            <w:r>
              <w:rPr>
                <w:rFonts w:hint="eastAsia"/>
              </w:rPr>
              <w:t>燃料气</w:t>
            </w:r>
            <w:r>
              <w:rPr>
                <w:rFonts w:hint="eastAsia"/>
                <w:lang w:val="en-US" w:eastAsia="zh-CN"/>
              </w:rPr>
              <w:t xml:space="preserve"> </w:t>
            </w:r>
            <w:r>
              <w:rPr>
                <w:rFonts w:hint="eastAsia"/>
              </w:rPr>
              <w:sym w:font="Wingdings 2" w:char="0052"/>
            </w:r>
            <w:r>
              <w:rPr>
                <w:rFonts w:hint="eastAsia"/>
              </w:rPr>
              <w:t>电力</w:t>
            </w:r>
            <w:r>
              <w:rPr>
                <w:rFonts w:hint="eastAsia"/>
                <w:lang w:val="en-US" w:eastAsia="zh-CN"/>
              </w:rPr>
              <w:t xml:space="preserve">  </w:t>
            </w:r>
            <w:r>
              <w:rPr>
                <w:rFonts w:hint="eastAsia"/>
              </w:rPr>
              <w:sym w:font="Wingdings 2" w:char="00A3"/>
            </w:r>
            <w:r>
              <w:rPr>
                <w:rFonts w:hint="eastAsia"/>
              </w:rPr>
              <w:t>氮气□风</w:t>
            </w:r>
            <w:r>
              <w:rPr>
                <w:rFonts w:hint="eastAsia"/>
              </w:rPr>
              <w:sym w:font="Wingdings 2" w:char="0052"/>
            </w:r>
            <w:r>
              <w:rPr>
                <w:rFonts w:hint="eastAsia"/>
              </w:rPr>
              <w:t>新鲜水□各种品质水</w:t>
            </w:r>
            <w:r>
              <w:rPr>
                <w:rFonts w:hint="eastAsia"/>
                <w:lang w:val="en-US" w:eastAsia="zh-CN"/>
              </w:rPr>
              <w:t xml:space="preserve">   </w:t>
            </w:r>
            <w:r>
              <w:rPr>
                <w:rFonts w:hint="eastAsia"/>
              </w:rPr>
              <w:sym w:font="Wingdings 2" w:char="00A3"/>
            </w:r>
            <w:r>
              <w:rPr>
                <w:rFonts w:hint="eastAsia"/>
              </w:rPr>
              <w:t>其他</w:t>
            </w:r>
            <w:r>
              <w:rPr>
                <w:rFonts w:hint="eastAsia"/>
                <w:lang w:eastAsia="zh-CN"/>
              </w:rPr>
              <w:t>——</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w:t>
            </w:r>
            <w:r>
              <w:rPr>
                <w:rFonts w:hint="eastAsia"/>
                <w:lang w:val="en-US" w:eastAsia="zh-CN"/>
              </w:rPr>
              <w:t>面积</w:t>
            </w:r>
            <w:r>
              <w:rPr>
                <w:rFonts w:hint="eastAsia"/>
              </w:rPr>
              <w:t>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A3"/>
            </w:r>
            <w:r>
              <w:rPr>
                <w:rFonts w:hint="eastAsia"/>
              </w:rPr>
              <w:t>其他</w:t>
            </w:r>
            <w:r>
              <w:rPr>
                <w:rFonts w:hint="eastAsia"/>
                <w:lang w:eastAsia="zh-CN"/>
              </w:rPr>
              <w:t>，</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rPr>
                <w:rFonts w:hint="default" w:eastAsia="宋体"/>
                <w:lang w:val="en-US" w:eastAsia="zh-CN"/>
              </w:rPr>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2022.11</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A3"/>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585"/>
              <w:gridCol w:w="1137"/>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节能目标</w:t>
                  </w:r>
                  <w:r>
                    <w:rPr>
                      <w:rFonts w:hint="eastAsia" w:ascii="宋体" w:hAnsi="宋体"/>
                      <w:lang w:eastAsia="zh-CN"/>
                    </w:rPr>
                    <w:t>（</w:t>
                  </w:r>
                  <w:r>
                    <w:rPr>
                      <w:rFonts w:hint="eastAsia" w:ascii="宋体" w:hAnsi="宋体"/>
                      <w:lang w:val="en-US" w:eastAsia="zh-CN"/>
                    </w:rPr>
                    <w:t>2021年</w:t>
                  </w:r>
                  <w:r>
                    <w:rPr>
                      <w:rFonts w:hint="eastAsia" w:ascii="宋体" w:hAnsi="宋体"/>
                      <w:lang w:eastAsia="zh-CN"/>
                    </w:rPr>
                    <w:t>）</w:t>
                  </w:r>
                </w:p>
              </w:tc>
              <w:tc>
                <w:tcPr>
                  <w:tcW w:w="258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3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555"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2021</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91" w:type="dxa"/>
                  <w:shd w:val="clear" w:color="auto" w:fill="auto"/>
                  <w:vAlign w:val="center"/>
                </w:tcPr>
                <w:p>
                  <w:pPr>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sz w:val="21"/>
                      <w:szCs w:val="21"/>
                      <w:lang w:val="en-US" w:eastAsia="zh-CN"/>
                    </w:rPr>
                    <w:t>公司</w:t>
                  </w:r>
                  <w:r>
                    <w:rPr>
                      <w:rFonts w:hint="eastAsia" w:ascii="宋体" w:hAnsi="宋体"/>
                      <w:sz w:val="21"/>
                      <w:szCs w:val="21"/>
                    </w:rPr>
                    <w:t>综合能耗</w:t>
                  </w:r>
                  <w:r>
                    <w:rPr>
                      <w:rFonts w:hint="eastAsia" w:ascii="宋体" w:hAnsi="宋体"/>
                      <w:sz w:val="21"/>
                      <w:szCs w:val="21"/>
                      <w:lang w:eastAsia="zh-CN"/>
                    </w:rPr>
                    <w:t>（</w:t>
                  </w:r>
                  <w:r>
                    <w:rPr>
                      <w:rFonts w:hint="eastAsia" w:ascii="宋体" w:hAnsi="宋体"/>
                      <w:sz w:val="21"/>
                      <w:szCs w:val="21"/>
                      <w:lang w:val="en-US" w:eastAsia="zh-CN"/>
                    </w:rPr>
                    <w:t>含天和家园</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150</w:t>
                  </w:r>
                  <w:r>
                    <w:rPr>
                      <w:rFonts w:hint="eastAsia" w:ascii="宋体" w:hAnsi="宋体"/>
                      <w:sz w:val="21"/>
                      <w:szCs w:val="21"/>
                    </w:rPr>
                    <w:t>tce</w:t>
                  </w:r>
                </w:p>
              </w:tc>
              <w:tc>
                <w:tcPr>
                  <w:tcW w:w="2585"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加强节能管理，控制用电用水</w:t>
                  </w:r>
                </w:p>
              </w:tc>
              <w:tc>
                <w:tcPr>
                  <w:tcW w:w="1137"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GB" w:eastAsia="zh-CN" w:bidi="ar-SA"/>
                    </w:rPr>
                  </w:pPr>
                  <w:r>
                    <w:rPr>
                      <w:rFonts w:hint="eastAsia"/>
                      <w:highlight w:val="none"/>
                      <w:lang w:val="en-US" w:eastAsia="zh-CN"/>
                    </w:rPr>
                    <w:t>综合管理办</w:t>
                  </w:r>
                </w:p>
              </w:tc>
              <w:tc>
                <w:tcPr>
                  <w:tcW w:w="2555" w:type="dxa"/>
                  <w:shd w:val="clear" w:color="auto" w:fill="auto"/>
                  <w:vAlign w:val="center"/>
                </w:tcPr>
                <w:p>
                  <w:pPr>
                    <w:jc w:val="center"/>
                    <w:rPr>
                      <w:rFonts w:hint="default" w:ascii="宋体" w:hAnsi="宋体" w:eastAsia="宋体" w:cs="Times New Roman"/>
                      <w:kern w:val="2"/>
                      <w:sz w:val="21"/>
                      <w:szCs w:val="24"/>
                      <w:highlight w:val="yellow"/>
                      <w:lang w:val="en-US" w:eastAsia="zh-CN" w:bidi="ar-SA"/>
                    </w:rPr>
                  </w:pPr>
                  <w:r>
                    <w:rPr>
                      <w:rFonts w:hint="eastAsia" w:ascii="宋体" w:hAnsi="宋体"/>
                      <w:sz w:val="21"/>
                      <w:szCs w:val="21"/>
                      <w:lang w:val="en-US" w:eastAsia="zh-CN"/>
                    </w:rPr>
                    <w:t xml:space="preserve">实际完成137.874 </w:t>
                  </w:r>
                  <w:r>
                    <w:rPr>
                      <w:rFonts w:hint="eastAsia" w:ascii="宋体" w:hAnsi="宋体"/>
                      <w:sz w:val="21"/>
                      <w:szCs w:val="21"/>
                    </w:rPr>
                    <w:t>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center"/>
                </w:tcPr>
                <w:p>
                  <w:pPr>
                    <w:jc w:val="left"/>
                    <w:rPr>
                      <w:rFonts w:ascii="Times New Roman" w:hAnsi="Times New Roman" w:eastAsia="宋体" w:cs="Times New Roman"/>
                      <w:kern w:val="2"/>
                      <w:sz w:val="21"/>
                      <w:szCs w:val="24"/>
                      <w:highlight w:val="yellow"/>
                      <w:lang w:val="en-US" w:eastAsia="zh-CN" w:bidi="ar-SA"/>
                    </w:rPr>
                  </w:pPr>
                  <w:r>
                    <w:rPr>
                      <w:rFonts w:hint="eastAsia" w:ascii="宋体" w:hAnsi="宋体"/>
                      <w:sz w:val="21"/>
                      <w:szCs w:val="21"/>
                      <w:lang w:val="en-US" w:eastAsia="zh-CN"/>
                    </w:rPr>
                    <w:t>公司办公区域单位面积综合能耗</w:t>
                  </w:r>
                  <w:r>
                    <w:rPr>
                      <w:rFonts w:hint="eastAsia" w:ascii="宋体" w:hAnsi="宋体"/>
                      <w:sz w:val="21"/>
                      <w:szCs w:val="21"/>
                    </w:rPr>
                    <w:t>，</w:t>
                  </w:r>
                  <w:r>
                    <w:rPr>
                      <w:rFonts w:hint="eastAsia" w:ascii="宋体" w:hAnsi="宋体"/>
                      <w:sz w:val="21"/>
                      <w:szCs w:val="21"/>
                      <w:lang w:val="en-US" w:eastAsia="zh-CN"/>
                    </w:rPr>
                    <w:t>1.2kg</w:t>
                  </w:r>
                  <w:r>
                    <w:rPr>
                      <w:rFonts w:hint="eastAsia" w:ascii="宋体" w:hAnsi="宋体"/>
                      <w:sz w:val="21"/>
                      <w:szCs w:val="21"/>
                    </w:rPr>
                    <w:t>ce</w:t>
                  </w:r>
                  <w:r>
                    <w:rPr>
                      <w:rFonts w:hint="eastAsia" w:ascii="宋体" w:hAnsi="宋体"/>
                      <w:sz w:val="21"/>
                      <w:szCs w:val="21"/>
                      <w:lang w:val="en-US" w:eastAsia="zh-CN"/>
                    </w:rPr>
                    <w:t>/m</w:t>
                  </w:r>
                  <w:r>
                    <w:rPr>
                      <w:rFonts w:hint="eastAsia" w:ascii="宋体" w:hAnsi="宋体"/>
                      <w:sz w:val="21"/>
                      <w:szCs w:val="21"/>
                      <w:vertAlign w:val="superscript"/>
                      <w:lang w:val="en-US" w:eastAsia="zh-CN"/>
                    </w:rPr>
                    <w:t>2</w:t>
                  </w:r>
                  <w:r>
                    <w:rPr>
                      <w:rFonts w:hint="eastAsia" w:ascii="宋体" w:hAnsi="宋体"/>
                      <w:sz w:val="21"/>
                      <w:szCs w:val="21"/>
                      <w:lang w:val="en-US" w:eastAsia="zh-CN"/>
                    </w:rPr>
                    <w:t>.a</w:t>
                  </w:r>
                </w:p>
              </w:tc>
              <w:tc>
                <w:tcPr>
                  <w:tcW w:w="2585"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加强节能管理，控制用电用水量</w:t>
                  </w:r>
                </w:p>
              </w:tc>
              <w:tc>
                <w:tcPr>
                  <w:tcW w:w="1137"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综合管理办</w:t>
                  </w:r>
                </w:p>
              </w:tc>
              <w:tc>
                <w:tcPr>
                  <w:tcW w:w="2555" w:type="dxa"/>
                  <w:shd w:val="clear" w:color="auto" w:fill="auto"/>
                  <w:vAlign w:val="center"/>
                </w:tcPr>
                <w:p>
                  <w:pPr>
                    <w:jc w:val="center"/>
                    <w:rPr>
                      <w:rFonts w:ascii="宋体" w:hAnsi="宋体" w:eastAsia="宋体" w:cs="Times New Roman"/>
                      <w:kern w:val="2"/>
                      <w:sz w:val="21"/>
                      <w:szCs w:val="24"/>
                      <w:highlight w:val="yellow"/>
                      <w:lang w:val="en-US" w:eastAsia="zh-CN" w:bidi="ar-SA"/>
                    </w:rPr>
                  </w:pPr>
                  <w:r>
                    <w:rPr>
                      <w:rFonts w:hint="eastAsia" w:ascii="宋体" w:hAnsi="宋体"/>
                      <w:sz w:val="21"/>
                      <w:szCs w:val="21"/>
                      <w:lang w:val="en-US" w:eastAsia="zh-CN"/>
                    </w:rPr>
                    <w:t>实际完成1.102kg</w:t>
                  </w:r>
                  <w:r>
                    <w:rPr>
                      <w:rFonts w:hint="eastAsia" w:ascii="宋体" w:hAnsi="宋体"/>
                      <w:sz w:val="21"/>
                      <w:szCs w:val="21"/>
                    </w:rPr>
                    <w:t>ce</w:t>
                  </w:r>
                  <w:r>
                    <w:rPr>
                      <w:rFonts w:hint="eastAsia" w:ascii="宋体" w:hAnsi="宋体"/>
                      <w:sz w:val="21"/>
                      <w:szCs w:val="21"/>
                      <w:lang w:val="en-US" w:eastAsia="zh-CN"/>
                    </w:rPr>
                    <w:t>/m</w:t>
                  </w:r>
                  <w:r>
                    <w:rPr>
                      <w:rFonts w:hint="eastAsia" w:ascii="宋体" w:hAnsi="宋体"/>
                      <w:sz w:val="21"/>
                      <w:szCs w:val="21"/>
                      <w:vertAlign w:val="superscript"/>
                      <w:lang w:val="en-US" w:eastAsia="zh-CN"/>
                    </w:rPr>
                    <w:t>2</w:t>
                  </w:r>
                  <w:r>
                    <w:rPr>
                      <w:rFonts w:hint="eastAsia" w:ascii="宋体" w:hAnsi="宋体"/>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default" w:eastAsia="宋体"/>
                      <w:highlight w:val="yellow"/>
                      <w:lang w:val="en-US" w:eastAsia="zh-CN"/>
                    </w:rPr>
                  </w:pPr>
                  <w:r>
                    <w:rPr>
                      <w:rFonts w:hint="eastAsia" w:ascii="宋体" w:hAnsi="宋体" w:eastAsia="宋体"/>
                      <w:sz w:val="21"/>
                      <w:szCs w:val="21"/>
                      <w:lang w:val="en-US" w:eastAsia="zh-CN"/>
                    </w:rPr>
                    <w:t>天和家园小区</w:t>
                  </w:r>
                  <w:r>
                    <w:rPr>
                      <w:rFonts w:hint="eastAsia" w:ascii="宋体" w:hAnsi="宋体"/>
                      <w:sz w:val="21"/>
                      <w:szCs w:val="21"/>
                    </w:rPr>
                    <w:t>单位</w:t>
                  </w:r>
                  <w:r>
                    <w:rPr>
                      <w:rFonts w:hint="eastAsia" w:ascii="宋体" w:hAnsi="宋体"/>
                      <w:sz w:val="21"/>
                      <w:szCs w:val="21"/>
                      <w:lang w:val="en-US" w:eastAsia="zh-CN"/>
                    </w:rPr>
                    <w:t>面积</w:t>
                  </w:r>
                  <w:r>
                    <w:rPr>
                      <w:rFonts w:hint="eastAsia" w:ascii="宋体" w:hAnsi="宋体"/>
                      <w:sz w:val="21"/>
                      <w:szCs w:val="21"/>
                    </w:rPr>
                    <w:t>综合能耗</w:t>
                  </w:r>
                  <w:r>
                    <w:rPr>
                      <w:rFonts w:hint="eastAsia" w:ascii="宋体" w:hAnsi="宋体"/>
                      <w:sz w:val="21"/>
                      <w:szCs w:val="21"/>
                      <w:lang w:val="en-US" w:eastAsia="zh-CN"/>
                    </w:rPr>
                    <w:t>1.2kg</w:t>
                  </w:r>
                  <w:r>
                    <w:rPr>
                      <w:rFonts w:hint="eastAsia" w:ascii="宋体" w:hAnsi="宋体"/>
                      <w:sz w:val="21"/>
                      <w:szCs w:val="21"/>
                    </w:rPr>
                    <w:t>ce</w:t>
                  </w:r>
                  <w:r>
                    <w:rPr>
                      <w:rFonts w:hint="eastAsia" w:ascii="宋体" w:hAnsi="宋体"/>
                      <w:sz w:val="21"/>
                      <w:szCs w:val="21"/>
                      <w:lang w:val="en-US" w:eastAsia="zh-CN"/>
                    </w:rPr>
                    <w:t>/m</w:t>
                  </w:r>
                  <w:r>
                    <w:rPr>
                      <w:rFonts w:hint="eastAsia" w:ascii="宋体" w:hAnsi="宋体"/>
                      <w:sz w:val="21"/>
                      <w:szCs w:val="21"/>
                      <w:vertAlign w:val="superscript"/>
                      <w:lang w:val="en-US" w:eastAsia="zh-CN"/>
                    </w:rPr>
                    <w:t>2</w:t>
                  </w:r>
                  <w:r>
                    <w:rPr>
                      <w:rFonts w:hint="eastAsia" w:ascii="宋体" w:hAnsi="宋体"/>
                      <w:sz w:val="21"/>
                      <w:szCs w:val="21"/>
                      <w:lang w:val="en-US" w:eastAsia="zh-CN"/>
                    </w:rPr>
                    <w:t>.a</w:t>
                  </w:r>
                </w:p>
              </w:tc>
              <w:tc>
                <w:tcPr>
                  <w:tcW w:w="2585" w:type="dxa"/>
                  <w:shd w:val="clear" w:color="auto" w:fill="auto"/>
                  <w:vAlign w:val="center"/>
                </w:tcPr>
                <w:p>
                  <w:pPr>
                    <w:shd w:val="clear" w:color="auto" w:fill="EBF1DE" w:themeFill="accent3" w:themeFillTint="32"/>
                    <w:rPr>
                      <w:rFonts w:hint="default" w:ascii="宋体" w:hAnsi="宋体"/>
                      <w:highlight w:val="none"/>
                      <w:lang w:val="en-US"/>
                    </w:rPr>
                  </w:pPr>
                  <w:r>
                    <w:rPr>
                      <w:rFonts w:hint="eastAsia"/>
                      <w:highlight w:val="none"/>
                      <w:lang w:val="en-US" w:eastAsia="zh-CN"/>
                    </w:rPr>
                    <w:t>加强小区节能管理，控制用电用水，提高服务质量</w:t>
                  </w:r>
                </w:p>
              </w:tc>
              <w:tc>
                <w:tcPr>
                  <w:tcW w:w="1137"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highlight w:val="none"/>
                      <w:lang w:val="en-US" w:eastAsia="zh-CN"/>
                    </w:rPr>
                    <w:t>综合管理办/项目部</w:t>
                  </w:r>
                </w:p>
              </w:tc>
              <w:tc>
                <w:tcPr>
                  <w:tcW w:w="2555" w:type="dxa"/>
                  <w:shd w:val="clear" w:color="auto" w:fill="auto"/>
                  <w:vAlign w:val="center"/>
                </w:tcPr>
                <w:p>
                  <w:pPr>
                    <w:jc w:val="center"/>
                    <w:rPr>
                      <w:rFonts w:ascii="宋体" w:hAnsi="宋体"/>
                      <w:highlight w:val="yellow"/>
                    </w:rPr>
                  </w:pPr>
                  <w:r>
                    <w:rPr>
                      <w:rFonts w:hint="eastAsia" w:ascii="宋体" w:hAnsi="宋体"/>
                      <w:sz w:val="21"/>
                      <w:szCs w:val="21"/>
                      <w:lang w:val="en-US" w:eastAsia="zh-CN"/>
                    </w:rPr>
                    <w:t>实际完成1.048kg</w:t>
                  </w:r>
                  <w:r>
                    <w:rPr>
                      <w:rFonts w:hint="eastAsia" w:ascii="宋体" w:hAnsi="宋体"/>
                      <w:sz w:val="21"/>
                      <w:szCs w:val="21"/>
                    </w:rPr>
                    <w:t>ce</w:t>
                  </w:r>
                  <w:r>
                    <w:rPr>
                      <w:rFonts w:hint="eastAsia" w:ascii="宋体" w:hAnsi="宋体"/>
                      <w:sz w:val="21"/>
                      <w:szCs w:val="21"/>
                      <w:lang w:val="en-US" w:eastAsia="zh-CN"/>
                    </w:rPr>
                    <w:t>/m</w:t>
                  </w:r>
                  <w:r>
                    <w:rPr>
                      <w:rFonts w:hint="eastAsia" w:ascii="宋体" w:hAnsi="宋体"/>
                      <w:sz w:val="21"/>
                      <w:szCs w:val="21"/>
                      <w:vertAlign w:val="superscript"/>
                      <w:lang w:val="en-US" w:eastAsia="zh-CN"/>
                    </w:rPr>
                    <w:t>2</w:t>
                  </w:r>
                  <w:r>
                    <w:rPr>
                      <w:rFonts w:hint="eastAsia" w:ascii="宋体" w:hAnsi="宋体"/>
                      <w:sz w:val="21"/>
                      <w:szCs w:val="21"/>
                      <w:lang w:val="en-US" w:eastAsia="zh-CN"/>
                    </w:rPr>
                    <w:t>.a</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highlight w:val="none"/>
                <w:lang w:val="en-US" w:eastAsia="zh-CN"/>
              </w:rPr>
              <w:t>天和家园</w:t>
            </w:r>
            <w:r>
              <w:rPr>
                <w:rFonts w:hint="eastAsia"/>
                <w:highlight w:val="none"/>
              </w:rPr>
              <w:t>小区</w:t>
            </w:r>
            <w:r>
              <w:rPr>
                <w:rFonts w:hint="eastAsia"/>
                <w:highlight w:val="none"/>
                <w:lang w:val="en-US" w:eastAsia="zh-CN"/>
              </w:rPr>
              <w:t>占地</w:t>
            </w:r>
            <w:r>
              <w:rPr>
                <w:rFonts w:hint="eastAsia"/>
                <w:highlight w:val="none"/>
              </w:rPr>
              <w:t>面积10</w:t>
            </w:r>
            <w:r>
              <w:rPr>
                <w:rFonts w:hint="eastAsia"/>
                <w:highlight w:val="none"/>
                <w:lang w:val="en-US" w:eastAsia="zh-CN"/>
              </w:rPr>
              <w:t>8760</w:t>
            </w:r>
            <w:r>
              <w:rPr>
                <w:rFonts w:hint="eastAsia"/>
                <w:highlight w:val="none"/>
              </w:rPr>
              <w:t>平方米</w:t>
            </w:r>
            <w:r>
              <w:rPr>
                <w:rFonts w:hint="eastAsia" w:ascii="Times New Roman" w:hAnsi="Times New Roman" w:eastAsia="宋体" w:cs="Times New Roman"/>
                <w:highlight w:val="none"/>
              </w:rPr>
              <w:t>；</w:t>
            </w:r>
            <w:r>
              <w:rPr>
                <w:rFonts w:hint="eastAsia" w:cs="Times New Roman"/>
                <w:highlight w:val="none"/>
                <w:lang w:val="en-US" w:eastAsia="zh-CN"/>
              </w:rPr>
              <w:t>建筑面积130300平方米。</w:t>
            </w:r>
            <w:r>
              <w:rPr>
                <w:rFonts w:hint="eastAsia" w:ascii="Times New Roman" w:hAnsi="Times New Roman" w:eastAsia="宋体" w:cs="Times New Roman"/>
                <w:highlight w:val="none"/>
                <w:lang w:val="en-US" w:eastAsia="zh-CN"/>
              </w:rPr>
              <w:t>公司办公</w:t>
            </w:r>
            <w:r>
              <w:rPr>
                <w:rFonts w:hint="eastAsia" w:cs="Times New Roman"/>
                <w:highlight w:val="none"/>
                <w:lang w:val="en-US" w:eastAsia="zh-CN"/>
              </w:rPr>
              <w:t>区域1200</w:t>
            </w:r>
            <w:r>
              <w:rPr>
                <w:rFonts w:hint="eastAsia" w:ascii="Times New Roman" w:hAnsi="Times New Roman" w:eastAsia="宋体" w:cs="Times New Roman"/>
                <w:highlight w:val="none"/>
                <w:lang w:val="en-US" w:eastAsia="zh-CN"/>
              </w:rPr>
              <w:t>平方</w:t>
            </w:r>
            <w:r>
              <w:rPr>
                <w:rFonts w:hint="eastAsia" w:ascii="Times New Roman" w:hAnsi="Times New Roman" w:eastAsia="宋体" w:cs="Times New Roman"/>
                <w:lang w:val="en-US" w:eastAsia="zh-CN"/>
              </w:rPr>
              <w:t>米，服务过程</w:t>
            </w:r>
            <w:r>
              <w:rPr>
                <w:rFonts w:hint="eastAsia" w:cs="Times New Roman"/>
                <w:lang w:val="en-US" w:eastAsia="zh-CN"/>
              </w:rPr>
              <w:t>及设备包括：</w:t>
            </w:r>
            <w:r>
              <w:rPr>
                <w:rFonts w:hint="eastAsia"/>
                <w:sz w:val="20"/>
                <w:szCs w:val="22"/>
                <w:highlight w:val="none"/>
                <w:lang w:val="en-US" w:eastAsia="zh-CN"/>
              </w:rPr>
              <w:t>保洁</w:t>
            </w:r>
            <w:r>
              <w:rPr>
                <w:rFonts w:hint="eastAsia" w:cs="Times New Roman"/>
                <w:sz w:val="20"/>
                <w:szCs w:val="22"/>
                <w:highlight w:val="none"/>
                <w:lang w:val="en-US" w:eastAsia="zh-CN"/>
              </w:rPr>
              <w:t>、</w:t>
            </w:r>
            <w:r>
              <w:rPr>
                <w:rFonts w:hint="eastAsia" w:ascii="Times New Roman" w:hAnsi="Times New Roman" w:eastAsia="宋体" w:cs="Times New Roman"/>
                <w:highlight w:val="none"/>
              </w:rPr>
              <w:t>绿化、保安、设备维护管理、客户服务</w:t>
            </w:r>
            <w:r>
              <w:rPr>
                <w:rFonts w:hint="eastAsia" w:cs="Times New Roman"/>
                <w:highlight w:val="none"/>
                <w:lang w:eastAsia="zh-CN"/>
              </w:rPr>
              <w:t>、</w:t>
            </w:r>
            <w:r>
              <w:rPr>
                <w:rFonts w:hint="eastAsia" w:cs="Times New Roman"/>
                <w:highlight w:val="none"/>
                <w:lang w:val="en-US" w:eastAsia="zh-CN"/>
              </w:rPr>
              <w:t>垃圾清运到小区外环卫处（不需要运输车辆）</w:t>
            </w:r>
            <w:r>
              <w:rPr>
                <w:rFonts w:hint="eastAsia" w:ascii="Times New Roman" w:hAnsi="Times New Roman" w:eastAsia="宋体" w:cs="Times New Roman"/>
              </w:rPr>
              <w:t>；库房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w:t>
            </w:r>
            <w:r>
              <w:rPr>
                <w:rFonts w:hint="eastAsia" w:ascii="Times New Roman" w:hAnsi="Times New Roman" w:eastAsia="宋体" w:cs="Times New Roman"/>
                <w:lang w:val="en-US" w:eastAsia="zh-CN"/>
              </w:rPr>
              <w:t>(</w:t>
            </w:r>
            <w:r>
              <w:rPr>
                <w:rFonts w:hint="eastAsia" w:cs="Times New Roman"/>
                <w:lang w:val="en-US" w:eastAsia="zh-CN"/>
              </w:rPr>
              <w:t>材料</w:t>
            </w:r>
            <w:r>
              <w:rPr>
                <w:rFonts w:hint="eastAsia" w:ascii="Times New Roman" w:hAnsi="Times New Roman" w:eastAsia="宋体" w:cs="Times New Roman"/>
                <w:lang w:val="en-US" w:eastAsia="zh-CN"/>
              </w:rPr>
              <w:t>库）</w:t>
            </w:r>
            <w:r>
              <w:rPr>
                <w:rFonts w:hint="eastAsia" w:ascii="Times New Roman" w:hAnsi="Times New Roman" w:eastAsia="宋体" w:cs="Times New Roman"/>
              </w:rPr>
              <w:t>；</w:t>
            </w:r>
            <w:r>
              <w:rPr>
                <w:rFonts w:hint="eastAsia" w:cs="Times New Roman"/>
                <w:lang w:val="en-US" w:eastAsia="zh-CN"/>
              </w:rPr>
              <w:t>监控</w:t>
            </w:r>
            <w:r>
              <w:rPr>
                <w:rFonts w:hint="eastAsia" w:ascii="Times New Roman" w:hAnsi="Times New Roman" w:eastAsia="宋体" w:cs="Times New Roman"/>
              </w:rPr>
              <w:t>室</w:t>
            </w:r>
            <w:r>
              <w:rPr>
                <w:rFonts w:hint="eastAsia" w:cs="Times New Roman"/>
                <w:lang w:val="en-US" w:eastAsia="zh-CN"/>
              </w:rPr>
              <w:t>1</w:t>
            </w:r>
            <w:r>
              <w:rPr>
                <w:rFonts w:hint="eastAsia" w:ascii="Times New Roman" w:hAnsi="Times New Roman" w:eastAsia="宋体" w:cs="Times New Roman"/>
              </w:rPr>
              <w:t>个；</w:t>
            </w:r>
          </w:p>
          <w:p>
            <w:pPr>
              <w:shd w:val="clear" w:color="auto" w:fill="EBF1DE" w:themeFill="accent3" w:themeFillTint="32"/>
              <w:rPr>
                <w:u w:val="single"/>
              </w:rPr>
            </w:pPr>
            <w:r>
              <w:rPr>
                <w:rFonts w:hint="eastAsia" w:ascii="Times New Roman" w:hAnsi="Times New Roman" w:eastAsia="宋体" w:cs="Times New Roman"/>
              </w:rPr>
              <w:t>主要生产设备有：</w:t>
            </w:r>
            <w:r>
              <w:rPr>
                <w:rFonts w:hint="eastAsia" w:ascii="Times New Roman" w:hAnsi="Times New Roman" w:eastAsia="宋体" w:cs="Times New Roman"/>
                <w:u w:val="single"/>
                <w:lang w:val="en-US" w:eastAsia="zh-CN"/>
              </w:rPr>
              <w:t>电梯、消防泵、水泵、监控系统、配电室等</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宋体" w:hAnsi="宋体" w:eastAsia="宋体" w:cs="Times New Roman"/>
                <w:szCs w:val="21"/>
                <w:u w:val="single"/>
                <w:lang w:val="en-US" w:eastAsia="zh-CN"/>
              </w:rPr>
              <w:t>消防泵、电梯</w:t>
            </w:r>
            <w:r>
              <w:rPr>
                <w:rFonts w:hint="eastAsia"/>
                <w:color w:val="000000"/>
                <w:szCs w:val="22"/>
                <w:u w:val="single"/>
                <w:lang w:val="en-US" w:eastAsia="zh-CN"/>
              </w:rPr>
              <w:t>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sym w:font="Wingdings 2" w:char="0052"/>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A3"/>
            </w:r>
            <w:r>
              <w:rPr>
                <w:rFonts w:hint="eastAsia"/>
              </w:rPr>
              <w:t>空压站</w:t>
            </w:r>
            <w:r>
              <w:rPr>
                <w:rFonts w:hint="eastAsia" w:ascii="Wingdings" w:hAnsi="Wingdings"/>
                <w:lang w:eastAsia="zh-CN"/>
              </w:rPr>
              <w:sym w:font="Wingdings 2" w:char="00A3"/>
            </w:r>
            <w:r>
              <w:rPr>
                <w:rFonts w:hint="eastAsia"/>
                <w:lang w:val="en-US" w:eastAsia="zh-CN"/>
              </w:rPr>
              <w:t>加热炉</w:t>
            </w:r>
            <w:r>
              <w:rPr>
                <w:rFonts w:hint="eastAsia" w:ascii="Wingdings" w:hAnsi="Wingdings"/>
                <w:lang w:eastAsia="zh-CN"/>
              </w:rPr>
              <w:sym w:font="Wingdings 2" w:char="00A3"/>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lang w:val="en-US" w:eastAsia="zh-CN"/>
              </w:rPr>
              <w:t>电表、水表由供电供水公司负责安装和管理（检定），已与企业进行沟通。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rPr>
                <w:rFonts w:hint="default" w:eastAsia="宋体"/>
                <w:lang w:val="en-US" w:eastAsia="zh-CN"/>
              </w:rPr>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w:t>
            </w:r>
            <w:r>
              <w:rPr>
                <w:rFonts w:hint="eastAsia" w:ascii="Times New Roman" w:hAnsi="Times New Roman" w:eastAsia="宋体" w:cs="Times New Roman"/>
              </w:rPr>
              <w:t>设计和开发新产品/项目名称：</w:t>
            </w:r>
            <w:r>
              <w:rPr>
                <w:rFonts w:hint="eastAsia"/>
                <w:u w:val="single"/>
                <w:lang w:val="en-US" w:eastAsia="zh-CN"/>
              </w:rPr>
              <w:t xml:space="preserve">   无</w:t>
            </w:r>
            <w:r>
              <w:rPr>
                <w:rFonts w:hint="eastAsia"/>
                <w:highlight w:val="none"/>
                <w:u w:val="single"/>
                <w:lang w:val="en-US" w:eastAsia="zh-CN"/>
              </w:rPr>
              <w:t xml:space="preserve"> </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w:t>
            </w:r>
            <w:r>
              <w:rPr>
                <w:rFonts w:hint="eastAsia"/>
                <w:lang w:val="en-US" w:eastAsia="zh-CN"/>
              </w:rPr>
              <w:t>项目备案</w:t>
            </w:r>
            <w:r>
              <w:rPr>
                <w:rFonts w:hint="eastAsia"/>
              </w:rPr>
              <w:t>，并制订了相应的控制措施。</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A3"/>
            </w:r>
            <w:r>
              <w:rPr>
                <w:rFonts w:hint="eastAsia"/>
              </w:rPr>
              <w:t>淘汰落后设备更新</w:t>
            </w:r>
            <w:r>
              <w:rPr>
                <w:rFonts w:hint="eastAsia" w:ascii="Wingdings" w:hAnsi="Wingdings"/>
                <w:lang w:eastAsia="zh-CN"/>
              </w:rPr>
              <w:sym w:font="Wingdings 2" w:char="00A3"/>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ind w:left="210" w:hanging="210" w:hangingChars="100"/>
                    <w:jc w:val="left"/>
                  </w:pPr>
                  <w:r>
                    <w:rPr>
                      <w:rFonts w:hint="eastAsia"/>
                      <w:lang w:val="en-US" w:eastAsia="zh-CN"/>
                    </w:rPr>
                    <w:t>新鲜水</w:t>
                  </w:r>
                  <w:r>
                    <w:rPr>
                      <w:rFonts w:hint="eastAsia"/>
                    </w:rPr>
                    <w:t>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加强节水管理</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default" w:eastAsia="宋体"/>
                      <w:lang w:val="en-US" w:eastAsia="zh-CN"/>
                    </w:rPr>
                  </w:pPr>
                  <w:r>
                    <w:rPr>
                      <w:rFonts w:hint="eastAsia" w:eastAsia="宋体"/>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r>
                    <w:rPr>
                      <w:rFonts w:hint="eastAsia"/>
                      <w:lang w:eastAsia="zh-CN"/>
                    </w:rPr>
                    <w:t>——</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default" w:eastAsia="宋体"/>
                      <w:lang w:val="en-US" w:eastAsia="zh-CN"/>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26</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无主要耗能设备</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A3"/>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8-9</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77BFCAB"/>
    <w:multiLevelType w:val="singleLevel"/>
    <w:tmpl w:val="077BFCAB"/>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AC46A6"/>
    <w:rsid w:val="08026F87"/>
    <w:rsid w:val="0F810ED2"/>
    <w:rsid w:val="18C37715"/>
    <w:rsid w:val="19675086"/>
    <w:rsid w:val="1B330004"/>
    <w:rsid w:val="3DEF06B7"/>
    <w:rsid w:val="3E4F7746"/>
    <w:rsid w:val="79EF3969"/>
    <w:rsid w:val="7CA83F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style>
  <w:style w:type="paragraph" w:styleId="4">
    <w:name w:val="List Bullet 5"/>
    <w:basedOn w:val="1"/>
    <w:semiHidden/>
    <w:unhideWhenUsed/>
    <w:qFormat/>
    <w:uiPriority w:val="99"/>
    <w:pPr>
      <w:numPr>
        <w:ilvl w:val="0"/>
        <w:numId w:val="1"/>
      </w:numPr>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3</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2022-11-16T08:58:12Z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