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both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6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1070"/>
        <w:gridCol w:w="11098"/>
        <w:gridCol w:w="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07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过程与活动、</w:t>
            </w:r>
          </w:p>
          <w:p>
            <w:pPr>
              <w:spacing w:line="320" w:lineRule="exact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抽样计划</w:t>
            </w:r>
          </w:p>
        </w:tc>
        <w:tc>
          <w:tcPr>
            <w:tcW w:w="1070" w:type="dxa"/>
            <w:vMerge w:val="restart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涉及</w:t>
            </w:r>
          </w:p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条款</w:t>
            </w:r>
          </w:p>
        </w:tc>
        <w:tc>
          <w:tcPr>
            <w:tcW w:w="11098" w:type="dxa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受审核部门：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eastAsia="zh-CN"/>
              </w:rPr>
              <w:t>车队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 xml:space="preserve">   主管领导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color w:val="auto"/>
              </w:rPr>
              <w:t>王红亮</w:t>
            </w:r>
            <w:r>
              <w:rPr>
                <w:rFonts w:hint="eastAsia"/>
                <w:color w:val="auto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陪同人员：</w:t>
            </w:r>
            <w:r>
              <w:rPr>
                <w:rFonts w:hint="eastAsia"/>
                <w:color w:val="auto"/>
              </w:rPr>
              <w:t>吴苗苗</w:t>
            </w:r>
          </w:p>
        </w:tc>
        <w:tc>
          <w:tcPr>
            <w:tcW w:w="834" w:type="dxa"/>
            <w:vMerge w:val="restart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07" w:type="dxa"/>
            <w:vMerge w:val="continue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vMerge w:val="continue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11098" w:type="dxa"/>
            <w:vAlign w:val="center"/>
          </w:tcPr>
          <w:p>
            <w:pPr>
              <w:spacing w:line="320" w:lineRule="exact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审核员：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赵丽萍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de-DE" w:eastAsia="zh-CN"/>
              </w:rPr>
              <w:t>赫炳炎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 xml:space="preserve">      审核时间：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2022.11.16-17</w:t>
            </w:r>
          </w:p>
        </w:tc>
        <w:tc>
          <w:tcPr>
            <w:tcW w:w="834" w:type="dxa"/>
            <w:vMerge w:val="continue"/>
          </w:tcPr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07" w:type="dxa"/>
            <w:vMerge w:val="continue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vMerge w:val="continue"/>
            <w:vAlign w:val="center"/>
          </w:tcPr>
          <w:p>
            <w:pPr>
              <w:spacing w:line="320" w:lineRule="exact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11098" w:type="dxa"/>
            <w:vAlign w:val="center"/>
          </w:tcPr>
          <w:p>
            <w:pPr>
              <w:snapToGrid w:val="0"/>
              <w:spacing w:line="26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涉及标准条款：</w:t>
            </w: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</w:rPr>
              <w:t>Q:5.3/6.1/6.2/7.1.5/8.1/8.3/8.5</w:t>
            </w: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</w:rPr>
              <w:t>.1/8.5.6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</w:rPr>
              <w:t>/8.6/8.7；</w:t>
            </w: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</w:rPr>
              <w:t>E:5.3/6.1.2/6.2/8.1;</w:t>
            </w:r>
          </w:p>
          <w:p>
            <w:pPr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</w:rPr>
              <w:t>:5.3/6.1.2/6.2/8.1.1/8.1.2</w:t>
            </w:r>
          </w:p>
        </w:tc>
        <w:tc>
          <w:tcPr>
            <w:tcW w:w="834" w:type="dxa"/>
            <w:vMerge w:val="continue"/>
          </w:tcPr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707" w:type="dxa"/>
            <w:vAlign w:val="top"/>
          </w:tcPr>
          <w:p>
            <w:pPr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组织的岗位、职责权限</w:t>
            </w:r>
          </w:p>
        </w:tc>
        <w:tc>
          <w:tcPr>
            <w:tcW w:w="1070" w:type="dxa"/>
            <w:vAlign w:val="top"/>
          </w:tcPr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Q</w:t>
            </w:r>
            <w:r>
              <w:rPr>
                <w:rFonts w:hint="eastAsia"/>
                <w:color w:val="auto"/>
                <w:szCs w:val="21"/>
                <w:lang w:eastAsia="zh-CN"/>
              </w:rPr>
              <w:t>EO</w:t>
            </w:r>
            <w:r>
              <w:rPr>
                <w:rFonts w:hint="eastAsia"/>
                <w:color w:val="auto"/>
                <w:szCs w:val="21"/>
              </w:rPr>
              <w:t>5.3</w:t>
            </w:r>
          </w:p>
          <w:p>
            <w:pPr>
              <w:rPr>
                <w:rFonts w:hint="eastAsia"/>
                <w:color w:val="auto"/>
                <w:szCs w:val="21"/>
              </w:rPr>
            </w:pPr>
          </w:p>
          <w:p>
            <w:pPr>
              <w:rPr>
                <w:rFonts w:ascii="宋体" w:hAnsi="宋体" w:cs="宋体"/>
                <w:color w:val="auto"/>
                <w:szCs w:val="21"/>
              </w:rPr>
            </w:pPr>
          </w:p>
        </w:tc>
        <w:tc>
          <w:tcPr>
            <w:tcW w:w="11098" w:type="dxa"/>
            <w:vAlign w:val="center"/>
          </w:tcPr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通过与车队领导王红亮沟通了解到，车队</w:t>
            </w:r>
            <w:r>
              <w:rPr>
                <w:rFonts w:hint="eastAsia"/>
                <w:color w:val="auto"/>
              </w:rPr>
              <w:t>职责包括：</w:t>
            </w:r>
          </w:p>
          <w:p>
            <w:pPr>
              <w:ind w:firstLine="420" w:firstLineChars="200"/>
              <w:rPr>
                <w:rFonts w:hint="eastAsia"/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</w:rPr>
              <w:t>负责</w:t>
            </w:r>
            <w:r>
              <w:rPr>
                <w:rFonts w:hint="eastAsia" w:ascii="宋体" w:hAnsi="宋体"/>
                <w:color w:val="auto"/>
                <w:szCs w:val="21"/>
              </w:rPr>
              <w:t>许可范围内普通货运服务</w:t>
            </w:r>
            <w:r>
              <w:rPr>
                <w:rFonts w:hint="eastAsia"/>
                <w:color w:val="auto"/>
                <w:szCs w:val="22"/>
              </w:rPr>
              <w:t>服务实施。负责本部门环境因素和危险源的识别和评价，提出管理方案并实施；</w:t>
            </w:r>
          </w:p>
          <w:p>
            <w:pPr>
              <w:rPr>
                <w:rFonts w:hint="eastAsia"/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</w:rPr>
              <w:t>负责本部门应急准备和响应计划落实及应急情况的善后处理，包括本部门应急准备的物资管理。</w:t>
            </w:r>
          </w:p>
          <w:p>
            <w:pPr>
              <w:rPr>
                <w:rFonts w:hint="eastAsia"/>
                <w:color w:val="auto"/>
                <w:szCs w:val="22"/>
              </w:rPr>
            </w:pPr>
            <w:r>
              <w:rPr>
                <w:rFonts w:hint="eastAsia"/>
                <w:color w:val="auto"/>
                <w:szCs w:val="22"/>
              </w:rPr>
              <w:t xml:space="preserve">查阅岗位职责文件对各岗位职责作了明确规定,查文件内容包括与岗位活动有关的质量、环境和职业健康安全职责要求。 </w:t>
            </w:r>
          </w:p>
          <w:p>
            <w:pPr>
              <w:spacing w:line="380" w:lineRule="exact"/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2"/>
              </w:rPr>
              <w:t>经询问负责人的回答与文件规定一致。</w:t>
            </w:r>
          </w:p>
        </w:tc>
        <w:tc>
          <w:tcPr>
            <w:tcW w:w="834" w:type="dxa"/>
          </w:tcPr>
          <w:p>
            <w:pPr>
              <w:spacing w:line="3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707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</w:rPr>
              <w:t>目标和方案</w:t>
            </w:r>
          </w:p>
        </w:tc>
        <w:tc>
          <w:tcPr>
            <w:tcW w:w="1070" w:type="dxa"/>
            <w:vAlign w:val="top"/>
          </w:tcPr>
          <w:p>
            <w:pPr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Q</w:t>
            </w:r>
            <w:r>
              <w:rPr>
                <w:rFonts w:hint="eastAsia"/>
                <w:color w:val="auto"/>
                <w:szCs w:val="21"/>
                <w:lang w:eastAsia="zh-CN"/>
              </w:rPr>
              <w:t>EO</w:t>
            </w:r>
          </w:p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6.2</w:t>
            </w:r>
          </w:p>
          <w:p>
            <w:pPr>
              <w:rPr>
                <w:rFonts w:hint="eastAsia"/>
                <w:color w:val="auto"/>
                <w:szCs w:val="21"/>
              </w:rPr>
            </w:pPr>
          </w:p>
          <w:p>
            <w:pPr>
              <w:rPr>
                <w:rFonts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98" w:type="dxa"/>
            <w:vAlign w:val="top"/>
          </w:tcPr>
          <w:p>
            <w:pPr>
              <w:pStyle w:val="18"/>
              <w:spacing w:line="360" w:lineRule="exact"/>
              <w:jc w:val="both"/>
              <w:outlineLvl w:val="1"/>
              <w:rPr>
                <w:rFonts w:hint="default" w:ascii="宋体" w:hAnsi="宋体" w:eastAsia="宋体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  <w:lang w:val="en-US" w:eastAsia="zh-CN"/>
              </w:rPr>
              <w:t>----分解到本部门目标为：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车辆年检送检率</w:t>
            </w:r>
            <w:r>
              <w:rPr>
                <w:rFonts w:hint="eastAsia" w:ascii="宋体" w:hAnsi="宋体" w:cs="hakuyoxingshu7000"/>
                <w:color w:val="auto"/>
                <w:sz w:val="24"/>
              </w:rPr>
              <w:t>100%</w:t>
            </w:r>
            <w:r>
              <w:rPr>
                <w:rFonts w:hint="eastAsia" w:asciiTheme="minorEastAsia" w:hAnsiTheme="minorEastAsia" w:eastAsiaTheme="minorEastAsia"/>
                <w:color w:val="auto"/>
                <w:szCs w:val="21"/>
              </w:rPr>
              <w:t>（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计算方法：</w:t>
            </w:r>
            <w:r>
              <w:rPr>
                <w:rFonts w:hint="eastAsia" w:ascii="宋体" w:hAnsi="宋体"/>
                <w:color w:val="auto"/>
                <w:sz w:val="22"/>
                <w:szCs w:val="22"/>
                <w:lang w:val="en-US" w:eastAsia="zh-CN"/>
              </w:rPr>
              <w:t>年检车辆</w:t>
            </w:r>
            <w:r>
              <w:rPr>
                <w:rFonts w:hint="eastAsia" w:ascii="宋体" w:hAnsi="宋体" w:cs="hakuyoxingshu7000"/>
                <w:color w:val="auto"/>
                <w:sz w:val="22"/>
                <w:szCs w:val="22"/>
              </w:rPr>
              <w:t>数/</w:t>
            </w:r>
            <w:r>
              <w:rPr>
                <w:rFonts w:hint="eastAsia" w:ascii="宋体" w:hAnsi="宋体" w:cs="hakuyoxingshu7000"/>
                <w:color w:val="auto"/>
                <w:sz w:val="22"/>
                <w:szCs w:val="22"/>
                <w:lang w:val="en-US" w:eastAsia="zh-CN"/>
              </w:rPr>
              <w:t>车辆</w:t>
            </w:r>
            <w:r>
              <w:rPr>
                <w:rFonts w:hint="eastAsia" w:ascii="宋体" w:hAnsi="宋体" w:cs="hakuyoxingshu7000"/>
                <w:color w:val="auto"/>
                <w:sz w:val="22"/>
                <w:szCs w:val="22"/>
              </w:rPr>
              <w:t>总数</w:t>
            </w:r>
            <w:r>
              <w:rPr>
                <w:rFonts w:hint="eastAsia" w:asciiTheme="minorEastAsia" w:hAnsiTheme="minorEastAsia" w:eastAsiaTheme="minorEastAsia"/>
                <w:color w:val="auto"/>
                <w:szCs w:val="21"/>
              </w:rPr>
              <w:t>）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ascii="宋体" w:hAnsi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设备完好率</w:t>
            </w:r>
            <w:r>
              <w:rPr>
                <w:rFonts w:hint="eastAsia" w:ascii="宋体" w:hAnsi="宋体" w:cs="hakuyoxingshu7000"/>
                <w:color w:val="auto"/>
                <w:sz w:val="24"/>
              </w:rPr>
              <w:t>≥95%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（计算方法：</w:t>
            </w:r>
            <w:r>
              <w:rPr>
                <w:rFonts w:hint="eastAsia" w:ascii="宋体" w:hAnsi="宋体"/>
                <w:color w:val="auto"/>
                <w:sz w:val="22"/>
                <w:szCs w:val="22"/>
              </w:rPr>
              <w:t>完好</w:t>
            </w:r>
            <w:r>
              <w:rPr>
                <w:rFonts w:hint="eastAsia" w:ascii="宋体" w:hAnsi="宋体" w:cs="hakuyoxingshu7000"/>
                <w:color w:val="auto"/>
                <w:sz w:val="22"/>
                <w:szCs w:val="22"/>
              </w:rPr>
              <w:t>设备数/设备总数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）；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ascii="宋体" w:hAnsi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技术</w:t>
            </w:r>
            <w:r>
              <w:rPr>
                <w:rFonts w:hint="eastAsia" w:ascii="宋体" w:hAnsi="宋体" w:cs="hakuyoxingshu7000"/>
                <w:color w:val="auto"/>
                <w:sz w:val="24"/>
              </w:rPr>
              <w:t>保障率≥95%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（计算方法：</w:t>
            </w:r>
            <w:r>
              <w:rPr>
                <w:rFonts w:hint="eastAsia" w:ascii="宋体" w:hAnsi="宋体"/>
                <w:color w:val="auto"/>
                <w:sz w:val="22"/>
                <w:szCs w:val="22"/>
              </w:rPr>
              <w:t>技术</w:t>
            </w:r>
            <w:r>
              <w:rPr>
                <w:rFonts w:hint="eastAsia" w:ascii="宋体" w:hAnsi="宋体" w:cs="hakuyoxingshu7000"/>
                <w:color w:val="auto"/>
                <w:sz w:val="22"/>
                <w:szCs w:val="22"/>
              </w:rPr>
              <w:t>保障数/申请技术保障总数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）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ascii="宋体" w:hAnsi="宋体"/>
                <w:color w:val="auto"/>
                <w:sz w:val="21"/>
                <w:szCs w:val="21"/>
              </w:rPr>
            </w:pPr>
            <w:r>
              <w:rPr>
                <w:color w:val="auto"/>
                <w:szCs w:val="21"/>
              </w:rPr>
              <w:t>新产品设计完成率</w:t>
            </w:r>
            <w:r>
              <w:rPr>
                <w:rFonts w:hint="eastAsia"/>
                <w:color w:val="auto"/>
                <w:szCs w:val="21"/>
              </w:rPr>
              <w:t>≥</w:t>
            </w:r>
            <w:r>
              <w:rPr>
                <w:color w:val="auto"/>
                <w:szCs w:val="21"/>
              </w:rPr>
              <w:t>90%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（计算方法：</w:t>
            </w:r>
            <w:r>
              <w:rPr>
                <w:rFonts w:hint="eastAsia"/>
                <w:color w:val="auto"/>
                <w:szCs w:val="21"/>
              </w:rPr>
              <w:t>新产品设计完成项目数/新产品设计计划项目数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）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ascii="宋体" w:hAnsi="宋体"/>
                <w:color w:val="auto"/>
                <w:kern w:val="2"/>
                <w:sz w:val="21"/>
                <w:szCs w:val="21"/>
              </w:rPr>
            </w:pPr>
            <w:r>
              <w:rPr>
                <w:rFonts w:cs="Calibri"/>
                <w:color w:val="auto"/>
                <w:spacing w:val="20"/>
                <w:szCs w:val="21"/>
              </w:rPr>
              <w:t>固体废弃物处理率100%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（计算方法：</w:t>
            </w:r>
            <w:r>
              <w:rPr>
                <w:rFonts w:cs="Calibri"/>
                <w:color w:val="auto"/>
                <w:szCs w:val="21"/>
              </w:rPr>
              <w:t>检查合格次数/共检查次数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），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cs="Calibri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固体废弃物分类存放，按要求统一处置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（计算方法：</w:t>
            </w:r>
            <w:r>
              <w:rPr>
                <w:rFonts w:hint="eastAsia" w:ascii="宋体" w:hAnsi="宋体"/>
                <w:color w:val="auto"/>
                <w:sz w:val="24"/>
              </w:rPr>
              <w:t>定期检查固废分类处置情况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）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消除火灾隐患，火灾发生率为0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（计算方法：按实际发生记录）。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hint="eastAsia" w:cs="Calibri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重视安全防护，安全事故发生率为0</w:t>
            </w:r>
            <w:r>
              <w:rPr>
                <w:rFonts w:hint="eastAsia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计算方法：</w:t>
            </w:r>
            <w:r>
              <w:rPr>
                <w:rFonts w:cs="Calibri"/>
                <w:color w:val="auto"/>
                <w:szCs w:val="21"/>
              </w:rPr>
              <w:t>以实际发生统计计算</w:t>
            </w:r>
            <w:r>
              <w:rPr>
                <w:rFonts w:hint="eastAsia" w:cs="Calibri"/>
                <w:color w:val="auto"/>
                <w:szCs w:val="21"/>
                <w:lang w:eastAsia="zh-CN"/>
              </w:rPr>
              <w:t>）</w:t>
            </w:r>
          </w:p>
          <w:p>
            <w:pPr>
              <w:pStyle w:val="18"/>
              <w:spacing w:line="360" w:lineRule="exact"/>
              <w:jc w:val="both"/>
              <w:outlineLvl w:val="1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  <w:lang w:val="en-US" w:eastAsia="zh-CN"/>
              </w:rPr>
              <w:t>----查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2022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  <w:lang w:val="en-US" w:eastAsia="zh-CN"/>
              </w:rPr>
              <w:t>.10.8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</w:rPr>
              <w:t>目标完成情况：均完成，符合要求。</w:t>
            </w:r>
          </w:p>
        </w:tc>
        <w:tc>
          <w:tcPr>
            <w:tcW w:w="834" w:type="dxa"/>
            <w:vAlign w:val="top"/>
          </w:tcPr>
          <w:p>
            <w:pPr>
              <w:spacing w:line="320" w:lineRule="exact"/>
              <w:rPr>
                <w:rFonts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707" w:type="dxa"/>
            <w:vAlign w:val="top"/>
          </w:tcPr>
          <w:p>
            <w:pPr>
              <w:rPr>
                <w:rFonts w:hint="default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监视和测量资源</w:t>
            </w:r>
          </w:p>
        </w:tc>
        <w:tc>
          <w:tcPr>
            <w:tcW w:w="1070" w:type="dxa"/>
            <w:vAlign w:val="top"/>
          </w:tcPr>
          <w:p>
            <w:pPr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Q7.1.5</w:t>
            </w:r>
          </w:p>
        </w:tc>
        <w:tc>
          <w:tcPr>
            <w:tcW w:w="11098" w:type="dxa"/>
            <w:vAlign w:val="top"/>
          </w:tcPr>
          <w:p>
            <w:pPr>
              <w:spacing w:line="380" w:lineRule="exact"/>
              <w:jc w:val="both"/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公司运营的每台货车上装有GPS定位系统，经与专家确认，不需要进行检定或校准，符合行业要求。</w:t>
            </w:r>
          </w:p>
        </w:tc>
        <w:tc>
          <w:tcPr>
            <w:tcW w:w="834" w:type="dxa"/>
            <w:vAlign w:val="top"/>
          </w:tcPr>
          <w:p>
            <w:pPr>
              <w:spacing w:line="320" w:lineRule="exact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707" w:type="dxa"/>
            <w:noWrap w:val="0"/>
            <w:vAlign w:val="top"/>
          </w:tcPr>
          <w:p>
            <w:pPr>
              <w:jc w:val="both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运行策划和控制</w:t>
            </w:r>
          </w:p>
          <w:p>
            <w:pPr>
              <w:jc w:val="both"/>
              <w:rPr>
                <w:rFonts w:hint="eastAsia"/>
                <w:color w:val="auto"/>
                <w:szCs w:val="21"/>
              </w:rPr>
            </w:pPr>
          </w:p>
          <w:p>
            <w:pPr>
              <w:jc w:val="both"/>
              <w:rPr>
                <w:rFonts w:hint="eastAsia"/>
                <w:color w:val="auto"/>
                <w:szCs w:val="21"/>
              </w:rPr>
            </w:pPr>
          </w:p>
          <w:p>
            <w:pPr>
              <w:jc w:val="both"/>
              <w:rPr>
                <w:rFonts w:hint="eastAsia"/>
                <w:color w:val="auto"/>
                <w:szCs w:val="21"/>
              </w:rPr>
            </w:pPr>
          </w:p>
          <w:p>
            <w:pPr>
              <w:jc w:val="both"/>
              <w:rPr>
                <w:rFonts w:hint="eastAsia"/>
                <w:color w:val="auto"/>
                <w:szCs w:val="21"/>
              </w:rPr>
            </w:pPr>
          </w:p>
          <w:p>
            <w:pPr>
              <w:jc w:val="both"/>
              <w:rPr>
                <w:rFonts w:hint="eastAsia"/>
                <w:color w:val="auto"/>
                <w:szCs w:val="21"/>
              </w:rPr>
            </w:pPr>
          </w:p>
        </w:tc>
        <w:tc>
          <w:tcPr>
            <w:tcW w:w="1070" w:type="dxa"/>
            <w:noWrap w:val="0"/>
            <w:vAlign w:val="top"/>
          </w:tcPr>
          <w:p>
            <w:pPr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  <w:szCs w:val="21"/>
              </w:rPr>
              <w:t>Q8.1</w:t>
            </w:r>
          </w:p>
        </w:tc>
        <w:tc>
          <w:tcPr>
            <w:tcW w:w="11098" w:type="dxa"/>
            <w:noWrap w:val="0"/>
            <w:vAlign w:val="center"/>
          </w:tcPr>
          <w:p>
            <w:pP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----策划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了《服务过程控制程序》、《运输控制程序》对许可范围内普通货运服务活动的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过程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方案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和合同应进行质量策划。公司对服务实现进行策划</w:t>
            </w:r>
          </w:p>
          <w:p>
            <w:pP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----提供货物运输流程</w:t>
            </w:r>
          </w:p>
          <w:p>
            <w:pPr>
              <w:ind w:firstLine="420" w:firstLineChars="200"/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业务洽谈→合同评审→签订合同→调配车辆及司机→实施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运输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服务→顾客满意度调查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确定了相应的质量目标：目标基本合理、可测量、可达到。</w:t>
            </w:r>
          </w:p>
          <w:p>
            <w:pPr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公司产品执行标准：《中华人民共和国道路交通安全法》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《中华人民共和国道路运输条例》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《汽车货物运输规则》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《汽车危险货物运输规则》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《集装箱汽车运输规则》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《道路货物运单使用和管理办法》《道路危险货物运输管理规定》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《国际道路运输管理规定》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《超限运输车辆行驶公路管理规定》</w:t>
            </w:r>
          </w:p>
          <w:p>
            <w:pPr>
              <w:ind w:firstLine="420" w:firstLineChars="200"/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DB11/ 1228-2015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 xml:space="preserve"> 汽车维修业大气污染物排放标准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北京市质量技术监督局.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2015-09-01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</w:p>
          <w:p>
            <w:pPr>
              <w:ind w:firstLine="420" w:firstLineChars="200"/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DB11/T 1426-2017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 xml:space="preserve"> 汽车维修业污染防治技术规范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北京市质量技术监督局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2017-10-01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现行</w:t>
            </w:r>
          </w:p>
          <w:p>
            <w:pPr>
              <w:ind w:firstLine="420" w:firstLineChars="200"/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GB/T 16739.1-2014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 xml:space="preserve"> 汽车维修业开业条件 第1部分：汽车整车维修企业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国家质量监督检验检疫.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2015-01-01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 xml:space="preserve"> GB/T 16739.2-2014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 xml:space="preserve"> 汽车维修业开业条件 第2部分：汽车综合小修及专项维修业户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国家质量监督检验检疫.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2015-01-01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ab/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现行</w:t>
            </w:r>
          </w:p>
          <w:p>
            <w:pPr>
              <w:ind w:firstLine="420" w:firstLineChars="200"/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等标准。</w:t>
            </w:r>
          </w:p>
          <w:p>
            <w:pPr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为实现产品质量目标配置了相应人员（如办公行政人员、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货运司机人员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、销售人员等)，设施(如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货车、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电脑、打印机、传真机等），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收集了运输人员的相关能力证明，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可满足现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技术服务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要求；</w:t>
            </w:r>
          </w:p>
          <w:p>
            <w:pPr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需确认过程：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无。</w:t>
            </w:r>
          </w:p>
          <w:p>
            <w:pPr>
              <w:rPr>
                <w:rFonts w:hint="eastAsia" w:ascii="宋体" w:hAnsi="宋体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----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外包过程：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车辆维修。</w:t>
            </w:r>
          </w:p>
          <w:p>
            <w:pPr>
              <w:ind w:firstLine="420" w:firstLineChars="200"/>
              <w:rPr>
                <w:rFonts w:hint="eastAsia"/>
                <w:color w:val="auto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策划适合组织体系运行需要，未发生更改，策划情况符合标准要求。</w:t>
            </w:r>
          </w:p>
        </w:tc>
        <w:tc>
          <w:tcPr>
            <w:tcW w:w="834" w:type="dxa"/>
            <w:noWrap w:val="0"/>
            <w:vAlign w:val="top"/>
          </w:tcPr>
          <w:p>
            <w:pPr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707" w:type="dxa"/>
            <w:noWrap w:val="0"/>
            <w:vAlign w:val="center"/>
          </w:tcPr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设计开发</w:t>
            </w:r>
          </w:p>
        </w:tc>
        <w:tc>
          <w:tcPr>
            <w:tcW w:w="1070" w:type="dxa"/>
            <w:noWrap w:val="0"/>
            <w:vAlign w:val="center"/>
          </w:tcPr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Q8.3 </w:t>
            </w:r>
          </w:p>
        </w:tc>
        <w:tc>
          <w:tcPr>
            <w:tcW w:w="11098" w:type="dxa"/>
            <w:noWrap w:val="0"/>
            <w:vAlign w:val="center"/>
          </w:tcPr>
          <w:p>
            <w:pPr>
              <w:rPr>
                <w:rFonts w:hint="eastAsia" w:eastAsia="宋体"/>
                <w:color w:val="auto"/>
                <w:szCs w:val="21"/>
                <w:lang w:eastAsia="zh-CN"/>
              </w:rPr>
            </w:pPr>
            <w:r>
              <w:rPr>
                <w:rFonts w:hint="eastAsia"/>
                <w:color w:val="auto"/>
                <w:szCs w:val="21"/>
              </w:rPr>
              <w:t>不适用条款：8.3</w:t>
            </w:r>
            <w:r>
              <w:rPr>
                <w:rFonts w:hint="eastAsia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cstheme="minorEastAsia"/>
                <w:color w:val="auto"/>
                <w:kern w:val="2"/>
                <w:sz w:val="21"/>
                <w:szCs w:val="21"/>
                <w:lang w:val="en-US" w:eastAsia="zh-CN"/>
              </w:rPr>
              <w:t>不适用，理由：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因该公司的</w:t>
            </w:r>
            <w:r>
              <w:rPr>
                <w:color w:val="auto"/>
                <w:sz w:val="20"/>
              </w:rPr>
              <w:t>许可范围内普通货运服务</w:t>
            </w:r>
            <w:r>
              <w:rPr>
                <w:rFonts w:hint="eastAsia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按照国家标准及顾客的要求进行，该条款的不适用,</w:t>
            </w:r>
            <w:r>
              <w:rPr>
                <w:rFonts w:hint="eastAsia"/>
                <w:color w:val="auto"/>
                <w:szCs w:val="21"/>
              </w:rPr>
              <w:t>不影响组织确保其产品和服务合格的能力和责任，也不会对增强顾客满意产生影响</w:t>
            </w:r>
            <w:r>
              <w:rPr>
                <w:rFonts w:hint="eastAsia" w:ascii="宋体" w:hAnsi="宋体"/>
                <w:b/>
                <w:color w:val="auto"/>
                <w:sz w:val="20"/>
                <w:szCs w:val="20"/>
              </w:rPr>
              <w:t xml:space="preserve"> </w:t>
            </w:r>
          </w:p>
          <w:p>
            <w:pPr>
              <w:rPr>
                <w:rFonts w:hint="eastAsia"/>
                <w:color w:val="auto"/>
                <w:szCs w:val="21"/>
              </w:rPr>
            </w:pPr>
          </w:p>
        </w:tc>
        <w:tc>
          <w:tcPr>
            <w:tcW w:w="834" w:type="dxa"/>
            <w:noWrap w:val="0"/>
            <w:vAlign w:val="top"/>
          </w:tcPr>
          <w:p>
            <w:pPr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</w:trPr>
        <w:tc>
          <w:tcPr>
            <w:tcW w:w="1707" w:type="dxa"/>
            <w:vAlign w:val="top"/>
          </w:tcPr>
          <w:p>
            <w:pPr>
              <w:spacing w:line="360" w:lineRule="exact"/>
              <w:jc w:val="both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运输</w:t>
            </w:r>
            <w:r>
              <w:rPr>
                <w:rFonts w:hint="eastAsia"/>
                <w:color w:val="auto"/>
                <w:szCs w:val="21"/>
              </w:rPr>
              <w:t>过程的控制</w:t>
            </w:r>
          </w:p>
          <w:p>
            <w:pPr>
              <w:jc w:val="both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70" w:type="dxa"/>
            <w:vAlign w:val="top"/>
          </w:tcPr>
          <w:p>
            <w:pPr>
              <w:spacing w:line="360" w:lineRule="exact"/>
              <w:jc w:val="both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Q8.5.1</w:t>
            </w:r>
          </w:p>
          <w:p>
            <w:pPr>
              <w:jc w:val="both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98" w:type="dxa"/>
          </w:tcPr>
          <w:p>
            <w:pP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制订货运</w:t>
            </w:r>
            <w:r>
              <w:rPr>
                <w:rFonts w:hint="eastAsia"/>
                <w:color w:val="auto"/>
              </w:rPr>
              <w:t>作业主要</w:t>
            </w:r>
            <w:r>
              <w:rPr>
                <w:rFonts w:hint="eastAsia"/>
                <w:color w:val="auto"/>
                <w:lang w:val="en-US" w:eastAsia="zh-CN"/>
              </w:rPr>
              <w:t>管理制度</w:t>
            </w:r>
            <w:r>
              <w:rPr>
                <w:rFonts w:hint="eastAsia"/>
                <w:color w:val="auto"/>
              </w:rPr>
              <w:t>包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括：《货运服务业务流程》、《随车人员奖惩制度》、《车辆管理规定》、《货运服务标准》等，现场均可提供。</w:t>
            </w:r>
            <w:bookmarkStart w:id="0" w:name="_GoBack"/>
            <w:bookmarkEnd w:id="0"/>
          </w:p>
          <w:p>
            <w:pPr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货运服务</w:t>
            </w:r>
            <w:r>
              <w:rPr>
                <w:rFonts w:hint="eastAsia"/>
                <w:szCs w:val="21"/>
              </w:rPr>
              <w:t>运作过程的控制：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查2022.8.31与沃华慧通签订承运书，一式三份，其中一份交由司机做为派车单。</w:t>
            </w:r>
          </w:p>
          <w:p>
            <w:pPr>
              <w:pStyle w:val="2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drawing>
                <wp:inline distT="0" distB="0" distL="114300" distR="114300">
                  <wp:extent cx="5016500" cy="3330575"/>
                  <wp:effectExtent l="0" t="0" r="12700" b="6985"/>
                  <wp:docPr id="2" name="图片 2" descr="166857854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685785420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有经办人签字。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查2022.10.14送货单--司机到客户现场货物，送到指定地点后，由收货人签字。</w:t>
            </w:r>
          </w:p>
          <w:p>
            <w:pPr>
              <w:pStyle w:val="2"/>
              <w:widowControl w:val="0"/>
              <w:numPr>
                <w:ilvl w:val="0"/>
                <w:numId w:val="0"/>
              </w:numPr>
              <w:spacing w:before="25" w:after="25"/>
              <w:jc w:val="both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2"/>
              <w:widowControl w:val="0"/>
              <w:numPr>
                <w:ilvl w:val="0"/>
                <w:numId w:val="0"/>
              </w:numPr>
              <w:spacing w:before="25" w:after="25"/>
              <w:jc w:val="both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2"/>
              <w:widowControl w:val="0"/>
              <w:numPr>
                <w:ilvl w:val="0"/>
                <w:numId w:val="0"/>
              </w:numPr>
              <w:spacing w:before="25" w:after="25"/>
              <w:jc w:val="both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2"/>
              <w:widowControl w:val="0"/>
              <w:numPr>
                <w:ilvl w:val="0"/>
                <w:numId w:val="0"/>
              </w:numPr>
              <w:spacing w:before="25" w:after="25"/>
              <w:jc w:val="both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drawing>
                <wp:inline distT="0" distB="0" distL="114300" distR="114300">
                  <wp:extent cx="3284855" cy="3358515"/>
                  <wp:effectExtent l="0" t="0" r="6985" b="9525"/>
                  <wp:docPr id="7" name="图片 7" descr="166857935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685793512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55" cy="33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widowControl w:val="0"/>
              <w:numPr>
                <w:ilvl w:val="0"/>
                <w:numId w:val="0"/>
              </w:numPr>
              <w:spacing w:before="25" w:after="25"/>
              <w:jc w:val="both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有收件人签字。</w:t>
            </w:r>
          </w:p>
          <w:p>
            <w:pPr>
              <w:pStyle w:val="2"/>
              <w:widowControl w:val="0"/>
              <w:numPr>
                <w:ilvl w:val="0"/>
                <w:numId w:val="0"/>
              </w:numPr>
              <w:spacing w:before="25" w:after="25"/>
              <w:jc w:val="both"/>
              <w:rPr>
                <w:rFonts w:hint="default"/>
                <w:szCs w:val="21"/>
                <w:lang w:val="en-US" w:eastAsia="zh-CN"/>
              </w:rPr>
            </w:pPr>
          </w:p>
          <w:p>
            <w:pPr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提供太平财产保险公司货物运输保险单。</w:t>
            </w:r>
          </w:p>
          <w:p>
            <w:pPr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运输车辆管理情况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1、</w:t>
            </w:r>
            <w:r>
              <w:rPr>
                <w:rFonts w:hint="eastAsia"/>
                <w:color w:val="auto"/>
              </w:rPr>
              <w:t>车辆日常维护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司机日常维护内容 “三检”：坚持出车前、行车中收车后检视车辆的安全机构及各部件连接紧固情况； “四清”：保持空气、机油、燃油滤清器和蓄电池的清洁； “四防”：防止漏油、漏水、漏气、漏电。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2、</w:t>
            </w:r>
            <w:r>
              <w:rPr>
                <w:rFonts w:hint="eastAsia"/>
                <w:color w:val="auto"/>
              </w:rPr>
              <w:t>车辆日常保养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 xml:space="preserve"> A最简单实用的车辆泄漏检查方法。每天在开车前，先将车辆从停车的地方移开，然后看看原来停车的位置上有没有水、油痕迹，如有，则要对车辆发动机和底盘进行进一步的检查，以尽早发现漏油、漏水的地方。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 xml:space="preserve"> B不主张使用机油添加剂 </w:t>
            </w:r>
          </w:p>
          <w:p>
            <w:pPr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 xml:space="preserve">C定期更换刹车油 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提供车辆保险单，均在有效期内。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指定维修公司进行车辆大修、维保。</w:t>
            </w:r>
          </w:p>
          <w:p>
            <w:pPr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经识别</w:t>
            </w:r>
            <w:r>
              <w:rPr>
                <w:rFonts w:hint="eastAsia"/>
                <w:szCs w:val="21"/>
              </w:rPr>
              <w:t>需要确认的过程</w:t>
            </w:r>
            <w:r>
              <w:rPr>
                <w:rFonts w:hint="eastAsia"/>
                <w:szCs w:val="21"/>
                <w:lang w:eastAsia="zh-CN"/>
              </w:rPr>
              <w:t>：</w:t>
            </w:r>
            <w:r>
              <w:rPr>
                <w:rFonts w:hint="eastAsia"/>
                <w:szCs w:val="21"/>
                <w:lang w:val="en-US" w:eastAsia="zh-CN"/>
              </w:rPr>
              <w:t>无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pStyle w:val="2"/>
              <w:rPr>
                <w:rFonts w:hint="default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基本满足要求。</w:t>
            </w:r>
          </w:p>
        </w:tc>
        <w:tc>
          <w:tcPr>
            <w:tcW w:w="834" w:type="dxa"/>
          </w:tcPr>
          <w:p>
            <w:pPr>
              <w:spacing w:line="3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7" w:type="dxa"/>
          </w:tcPr>
          <w:p>
            <w:pPr>
              <w:spacing w:line="38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bCs/>
                <w:color w:val="auto"/>
                <w:szCs w:val="21"/>
              </w:rPr>
              <w:t>变更控制</w:t>
            </w:r>
          </w:p>
        </w:tc>
        <w:tc>
          <w:tcPr>
            <w:tcW w:w="1070" w:type="dxa"/>
          </w:tcPr>
          <w:p>
            <w:pPr>
              <w:spacing w:line="380" w:lineRule="exact"/>
              <w:rPr>
                <w:rFonts w:ascii="宋体" w:hAnsi="宋体" w:cs="宋体"/>
                <w:bCs/>
                <w:color w:val="auto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Cs w:val="21"/>
              </w:rPr>
              <w:t>Q8.5.6</w:t>
            </w:r>
          </w:p>
          <w:p>
            <w:pPr>
              <w:spacing w:line="380" w:lineRule="exact"/>
              <w:rPr>
                <w:rFonts w:ascii="宋体" w:hAnsi="宋体" w:cs="宋体"/>
                <w:color w:val="auto"/>
                <w:szCs w:val="21"/>
              </w:rPr>
            </w:pPr>
          </w:p>
        </w:tc>
        <w:tc>
          <w:tcPr>
            <w:tcW w:w="11098" w:type="dxa"/>
          </w:tcPr>
          <w:p>
            <w:pPr>
              <w:rPr>
                <w:rFonts w:hint="eastAsia"/>
                <w:color w:val="auto"/>
                <w:szCs w:val="21"/>
                <w:lang w:val="en-GB"/>
              </w:rPr>
            </w:pPr>
            <w:r>
              <w:rPr>
                <w:rFonts w:hint="eastAsia"/>
                <w:color w:val="auto"/>
                <w:szCs w:val="21"/>
                <w:lang w:val="en-GB"/>
              </w:rPr>
              <w:t>组织应对</w:t>
            </w:r>
            <w:r>
              <w:rPr>
                <w:rFonts w:hint="eastAsia" w:ascii="宋体" w:hAnsi="宋体"/>
                <w:color w:val="auto"/>
                <w:szCs w:val="21"/>
              </w:rPr>
              <w:t>资质许可范围内的普通货运</w:t>
            </w:r>
            <w:r>
              <w:rPr>
                <w:rFonts w:hint="eastAsia"/>
                <w:color w:val="auto"/>
                <w:szCs w:val="21"/>
                <w:lang w:val="en-GB"/>
              </w:rPr>
              <w:t>合同的更改进行评审，以确保稳定的符合要求。</w:t>
            </w:r>
          </w:p>
          <w:p>
            <w:pPr>
              <w:rPr>
                <w:rFonts w:hint="eastAsia"/>
                <w:color w:val="auto"/>
                <w:szCs w:val="21"/>
                <w:lang w:val="en-GB"/>
              </w:rPr>
            </w:pPr>
            <w:r>
              <w:rPr>
                <w:rFonts w:hint="eastAsia"/>
                <w:color w:val="auto"/>
                <w:szCs w:val="21"/>
                <w:lang w:val="en-GB"/>
              </w:rPr>
              <w:t>组织应保留形成文件的信息，包括有关更改评审结果、授权进行更改的人员以及根据评审所采取的必要措施。</w:t>
            </w:r>
          </w:p>
          <w:p>
            <w:pPr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GB"/>
              </w:rPr>
              <w:t>经询问，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上次审核</w:t>
            </w:r>
            <w:r>
              <w:rPr>
                <w:rFonts w:hint="eastAsia"/>
                <w:color w:val="auto"/>
                <w:szCs w:val="21"/>
                <w:lang w:val="en-GB"/>
              </w:rPr>
              <w:t>至今无更改情况发生。</w:t>
            </w:r>
          </w:p>
        </w:tc>
        <w:tc>
          <w:tcPr>
            <w:tcW w:w="834" w:type="dxa"/>
          </w:tcPr>
          <w:p>
            <w:pPr>
              <w:spacing w:line="3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</w:trPr>
        <w:tc>
          <w:tcPr>
            <w:tcW w:w="1707" w:type="dxa"/>
            <w:noWrap w:val="0"/>
            <w:vAlign w:val="center"/>
          </w:tcPr>
          <w:p>
            <w:pPr>
              <w:spacing w:line="360" w:lineRule="exact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产品和服务的放行</w:t>
            </w:r>
          </w:p>
          <w:p>
            <w:pPr>
              <w:rPr>
                <w:color w:val="auto"/>
              </w:rPr>
            </w:pPr>
          </w:p>
        </w:tc>
        <w:tc>
          <w:tcPr>
            <w:tcW w:w="1070" w:type="dxa"/>
            <w:noWrap w:val="0"/>
            <w:vAlign w:val="center"/>
          </w:tcPr>
          <w:p>
            <w:pPr>
              <w:spacing w:line="360" w:lineRule="exact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Q 8.6</w:t>
            </w:r>
          </w:p>
          <w:p>
            <w:pPr>
              <w:rPr>
                <w:color w:val="auto"/>
              </w:rPr>
            </w:pPr>
          </w:p>
        </w:tc>
        <w:tc>
          <w:tcPr>
            <w:tcW w:w="11098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制订了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《货运服务标准》，从业务受理、出车前准备、营运中、营运结束、重大活动等方面进行了规定。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货物运输过程跟踪控制</w:t>
            </w:r>
          </w:p>
          <w:p>
            <w:pPr>
              <w:pStyle w:val="2"/>
              <w:ind w:firstLine="460" w:firstLineChars="200"/>
              <w:rPr>
                <w:rFonts w:hint="default"/>
                <w:color w:val="FF0000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公司通过GPS实时跟踪车辆运行情况，抽查2022.11.15京AFS76车辆实时行程轨迹。</w:t>
            </w:r>
          </w:p>
          <w:p>
            <w:pPr>
              <w:pStyle w:val="2"/>
              <w:rPr>
                <w:rFonts w:hint="eastAsia"/>
                <w:color w:val="FF0000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default"/>
                <w:color w:val="FF0000"/>
                <w:szCs w:val="21"/>
                <w:lang w:val="en-US" w:eastAsia="zh-CN"/>
              </w:rPr>
            </w:pPr>
            <w:r>
              <w:rPr>
                <w:rFonts w:hint="default"/>
                <w:color w:val="FF0000"/>
                <w:szCs w:val="21"/>
                <w:lang w:val="en-US" w:eastAsia="zh-CN"/>
              </w:rPr>
              <w:drawing>
                <wp:inline distT="0" distB="0" distL="114300" distR="114300">
                  <wp:extent cx="3231515" cy="3859530"/>
                  <wp:effectExtent l="0" t="0" r="14605" b="11430"/>
                  <wp:docPr id="3" name="图片 3" descr="166865040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686504083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385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color w:val="FF0000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货物运输到</w:t>
            </w:r>
            <w:r>
              <w:rPr>
                <w:rFonts w:hint="eastAsia"/>
                <w:color w:val="auto"/>
                <w:lang w:val="en-US" w:eastAsia="zh-CN"/>
              </w:rPr>
              <w:t>运到客户处，由客户进行签收（过程检验见8.5.1)，提供有运输单，有收货人签字，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基本满足要求。</w:t>
            </w:r>
          </w:p>
          <w:p>
            <w:pPr>
              <w:pStyle w:val="2"/>
              <w:rPr>
                <w:rFonts w:hint="eastAsia"/>
              </w:rPr>
            </w:pPr>
          </w:p>
        </w:tc>
        <w:tc>
          <w:tcPr>
            <w:tcW w:w="834" w:type="dxa"/>
            <w:noWrap w:val="0"/>
            <w:vAlign w:val="top"/>
          </w:tcPr>
          <w:p>
            <w:pPr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707" w:type="dxa"/>
          </w:tcPr>
          <w:p>
            <w:pPr>
              <w:spacing w:line="38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不合格控制</w:t>
            </w:r>
          </w:p>
        </w:tc>
        <w:tc>
          <w:tcPr>
            <w:tcW w:w="1070" w:type="dxa"/>
          </w:tcPr>
          <w:p>
            <w:pPr>
              <w:spacing w:line="38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Arial"/>
                <w:color w:val="auto"/>
                <w:szCs w:val="21"/>
              </w:rPr>
              <w:t>Q8.7</w:t>
            </w:r>
          </w:p>
        </w:tc>
        <w:tc>
          <w:tcPr>
            <w:tcW w:w="11098" w:type="dxa"/>
          </w:tcPr>
          <w:p>
            <w:pPr>
              <w:spacing w:line="360" w:lineRule="auto"/>
              <w:ind w:left="397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公司执行《不合格品控制程序》对不合格品和不合格服务进行识别和控制。</w:t>
            </w:r>
          </w:p>
          <w:p>
            <w:pPr>
              <w:spacing w:line="360" w:lineRule="auto"/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查《不合格服务处置单》，负责人讲：通过顾客满意度调查和平时的监督检查，未发生顾客投诉。</w:t>
            </w:r>
          </w:p>
          <w:p>
            <w:pPr>
              <w:ind w:firstLine="420" w:firstLineChars="200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最终交付给顾客的服务未发生不合格。 </w:t>
            </w:r>
          </w:p>
        </w:tc>
        <w:tc>
          <w:tcPr>
            <w:tcW w:w="834" w:type="dxa"/>
          </w:tcPr>
          <w:p>
            <w:pPr>
              <w:spacing w:line="320" w:lineRule="exac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70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</w:rPr>
              <w:t>环境因素、危险源识别</w:t>
            </w:r>
          </w:p>
        </w:tc>
        <w:tc>
          <w:tcPr>
            <w:tcW w:w="1070" w:type="dxa"/>
            <w:vAlign w:val="top"/>
          </w:tcPr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EO</w:t>
            </w:r>
            <w:r>
              <w:rPr>
                <w:rFonts w:hint="eastAsia"/>
                <w:color w:val="auto"/>
                <w:szCs w:val="21"/>
              </w:rPr>
              <w:t>6.1.2</w:t>
            </w:r>
          </w:p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98" w:type="dxa"/>
            <w:vAlign w:val="center"/>
          </w:tcPr>
          <w:p>
            <w:pPr>
              <w:spacing w:line="394" w:lineRule="exact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color w:val="auto"/>
                <w:szCs w:val="21"/>
              </w:rPr>
              <w:t>编制了</w:t>
            </w:r>
            <w:r>
              <w:rPr>
                <w:color w:val="auto"/>
                <w:szCs w:val="21"/>
              </w:rPr>
              <w:t>《环境因素的识别与评价控制程序》《危险源辩识、风险评价和风险控制策划程序》</w:t>
            </w:r>
            <w:r>
              <w:rPr>
                <w:rFonts w:hint="eastAsia"/>
                <w:color w:val="auto"/>
                <w:szCs w:val="21"/>
              </w:rPr>
              <w:t>符合标准要求.</w:t>
            </w:r>
          </w:p>
          <w:p>
            <w:pPr>
              <w:rPr>
                <w:color w:val="auto"/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color w:val="auto"/>
                <w:szCs w:val="21"/>
              </w:rPr>
              <w:t>提供的“环境因素识别评价表”“重要环境因素清单”， 评价考虑了三种时态现在、过去、将来、三种状态、异常、正常、紧急考虑了法律法规，并进行了评价，识别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办公过程、货物运输</w:t>
            </w:r>
            <w:r>
              <w:rPr>
                <w:rFonts w:hint="eastAsia"/>
                <w:color w:val="auto"/>
                <w:szCs w:val="21"/>
              </w:rPr>
              <w:t>过程，用打分法考虑了法规符合性、发生频次、影响范围等, 通过定性判断法，共识别出重大环境因素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Cs w:val="21"/>
              </w:rPr>
              <w:t>项：固废排放、火灾，评价符合程序要求及公司的实际情况。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color w:val="auto"/>
                <w:szCs w:val="21"/>
              </w:rPr>
              <w:t>提供的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了</w:t>
            </w:r>
            <w:r>
              <w:rPr>
                <w:rFonts w:hint="eastAsia"/>
                <w:color w:val="auto"/>
                <w:szCs w:val="21"/>
              </w:rPr>
              <w:t>“危险源识别与风险评价表”“不可接受风险源清单”， 评价考虑了将来、状态、可能导致的事件，并进行了评价，用打分法考虑了法规符合性、发生频次、影响范围等, 通过是非法，共识别出不可接受风险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Cs w:val="21"/>
              </w:rPr>
              <w:t>项，涉及：</w:t>
            </w:r>
            <w:r>
              <w:rPr>
                <w:rStyle w:val="14"/>
                <w:rFonts w:hint="eastAsia" w:ascii="Arial" w:hAnsi="Arial" w:cs="Arial"/>
                <w:color w:val="auto"/>
                <w:shd w:val="clear" w:color="auto" w:fill="FFFFFF"/>
              </w:rPr>
              <w:t>潜在火灾</w:t>
            </w:r>
            <w:r>
              <w:rPr>
                <w:rStyle w:val="14"/>
                <w:rFonts w:hint="eastAsia" w:ascii="Arial" w:hAnsi="Arial" w:cs="Arial"/>
                <w:color w:val="auto"/>
                <w:shd w:val="clear" w:color="auto" w:fill="FFFFFF"/>
                <w:lang w:eastAsia="zh-CN"/>
              </w:rPr>
              <w:t>、</w:t>
            </w:r>
            <w:r>
              <w:rPr>
                <w:rStyle w:val="14"/>
                <w:rFonts w:hint="eastAsia" w:ascii="Arial" w:hAnsi="Arial" w:cs="Arial"/>
                <w:bCs w:val="0"/>
                <w:color w:val="auto"/>
                <w:spacing w:val="0"/>
                <w:shd w:val="clear" w:color="auto" w:fill="FFFFFF"/>
                <w:lang w:val="en-US" w:eastAsia="zh-CN"/>
              </w:rPr>
              <w:t>触电</w:t>
            </w:r>
            <w:r>
              <w:rPr>
                <w:rFonts w:hint="eastAsia"/>
                <w:color w:val="auto"/>
                <w:szCs w:val="21"/>
              </w:rPr>
              <w:t>。评价符合程序要求及公司的实际情况。对危险源的控制措施包括制定管理制度、监督检查、应急预案、培训等。</w:t>
            </w:r>
          </w:p>
        </w:tc>
        <w:tc>
          <w:tcPr>
            <w:tcW w:w="834" w:type="dxa"/>
          </w:tcPr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07" w:type="dxa"/>
          </w:tcPr>
          <w:p>
            <w:pPr>
              <w:spacing w:line="380" w:lineRule="exact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/>
                <w:bCs/>
                <w:color w:val="auto"/>
                <w:szCs w:val="21"/>
              </w:rPr>
              <w:t>运行控制</w:t>
            </w:r>
          </w:p>
        </w:tc>
        <w:tc>
          <w:tcPr>
            <w:tcW w:w="1070" w:type="dxa"/>
          </w:tcPr>
          <w:p>
            <w:pPr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EO</w:t>
            </w:r>
            <w:r>
              <w:rPr>
                <w:rFonts w:hint="eastAsia"/>
                <w:color w:val="auto"/>
                <w:szCs w:val="21"/>
              </w:rPr>
              <w:t>8.1</w:t>
            </w:r>
          </w:p>
          <w:p>
            <w:pPr>
              <w:rPr>
                <w:rFonts w:hint="eastAsia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O</w:t>
            </w:r>
            <w:r>
              <w:rPr>
                <w:rFonts w:hint="eastAsia"/>
                <w:color w:val="auto"/>
                <w:szCs w:val="21"/>
              </w:rPr>
              <w:t>8.1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.1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8.1.2</w:t>
            </w:r>
          </w:p>
          <w:p>
            <w:pPr>
              <w:spacing w:line="380" w:lineRule="exact"/>
              <w:rPr>
                <w:rFonts w:ascii="宋体" w:hAnsi="宋体" w:cs="宋体"/>
                <w:color w:val="auto"/>
                <w:szCs w:val="21"/>
              </w:rPr>
            </w:pPr>
          </w:p>
        </w:tc>
        <w:tc>
          <w:tcPr>
            <w:tcW w:w="11098" w:type="dxa"/>
          </w:tcPr>
          <w:p>
            <w:pPr>
              <w:rPr>
                <w:color w:val="auto"/>
                <w:szCs w:val="21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color w:val="auto"/>
                <w:szCs w:val="21"/>
              </w:rPr>
              <w:t>本部门执行节能降耗控制程序、固体废弃物控制程序、环境管理控制程序、合同管理制定、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汽车维修</w:t>
            </w:r>
            <w:r>
              <w:rPr>
                <w:rFonts w:hint="eastAsia"/>
                <w:color w:val="auto"/>
                <w:szCs w:val="21"/>
              </w:rPr>
              <w:t>管理制度、</w:t>
            </w:r>
            <w:r>
              <w:rPr>
                <w:rFonts w:hint="eastAsia"/>
                <w:color w:val="auto"/>
                <w:szCs w:val="21"/>
                <w:lang w:val="en-GB"/>
              </w:rPr>
              <w:t>、车辆管理规定</w:t>
            </w:r>
            <w:r>
              <w:rPr>
                <w:rFonts w:hint="eastAsia"/>
                <w:color w:val="auto"/>
                <w:szCs w:val="21"/>
              </w:rPr>
              <w:t>等。</w:t>
            </w:r>
          </w:p>
          <w:p>
            <w:pPr>
              <w:rPr>
                <w:b/>
                <w:color w:val="auto"/>
              </w:rPr>
            </w:pPr>
            <w:r>
              <w:rPr>
                <w:rFonts w:hint="eastAsia"/>
                <w:szCs w:val="21"/>
              </w:rPr>
              <w:t>——</w:t>
            </w:r>
            <w:r>
              <w:rPr>
                <w:rFonts w:hint="eastAsia"/>
                <w:szCs w:val="21"/>
                <w:lang w:val="en-US" w:eastAsia="zh-CN"/>
              </w:rPr>
              <w:t>环境、职业健康安全</w:t>
            </w:r>
            <w:r>
              <w:rPr>
                <w:rFonts w:hint="eastAsia" w:ascii="宋体" w:hAnsi="宋体" w:cs="宋体"/>
                <w:color w:val="auto"/>
                <w:szCs w:val="21"/>
                <w:lang w:val="en-GB"/>
              </w:rPr>
              <w:t>运行控制情况：办公过程注意节约用电，做到人走灯灭，电脑长时间不用时关机，下班前要关闭电源；</w:t>
            </w:r>
          </w:p>
          <w:p>
            <w:pPr>
              <w:ind w:firstLine="420" w:firstLineChars="200"/>
              <w:rPr>
                <w:rFonts w:ascii="宋体" w:hAnsi="宋体" w:cs="宋体"/>
                <w:color w:val="auto"/>
                <w:szCs w:val="21"/>
                <w:lang w:val="en-GB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办公过程使用的电器如：空调、电脑、灯具均符合安全设计要求，使用过程注意安全，预防触电，工作时间平均每天8小时；</w:t>
            </w:r>
          </w:p>
          <w:p>
            <w:pPr>
              <w:ind w:firstLine="420" w:firstLineChars="200"/>
              <w:rPr>
                <w:rFonts w:ascii="宋体" w:hAnsi="宋体" w:cs="宋体"/>
                <w:color w:val="auto"/>
                <w:szCs w:val="21"/>
                <w:lang w:val="en-GB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val="en-GB"/>
              </w:rPr>
              <w:t>相关方施加影响：公司能够控制或能够施加影响的相关方有周边商户、固体废弃物处理等。提供了“致相关方的公开信”，将公司关于办公用品采购、固体废弃物处理等方面环境控制要求发放到了周边商户，督促影响各相关方按照环境管理体系要求对环境施加影响。</w:t>
            </w:r>
          </w:p>
          <w:p>
            <w:pPr>
              <w:ind w:firstLine="420" w:firstLineChars="200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驾驶员要求遵守道路交通安全法，不违章驾车，驾驶证和车辆定期年审，确保行车安全。</w:t>
            </w:r>
          </w:p>
          <w:p>
            <w:pPr>
              <w:rPr>
                <w:rFonts w:hint="eastAsia" w:eastAsiaTheme="minorEastAsia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Cs w:val="21"/>
              </w:rPr>
              <w:t>运行符合要求</w:t>
            </w:r>
          </w:p>
        </w:tc>
        <w:tc>
          <w:tcPr>
            <w:tcW w:w="834" w:type="dxa"/>
          </w:tcPr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  <w:p>
            <w:pPr>
              <w:spacing w:line="320" w:lineRule="exact"/>
              <w:rPr>
                <w:rFonts w:ascii="宋体" w:hAnsi="宋体" w:cs="宋体"/>
                <w:color w:val="auto"/>
                <w:szCs w:val="21"/>
              </w:rPr>
            </w:pPr>
          </w:p>
        </w:tc>
      </w:tr>
    </w:tbl>
    <w:p>
      <w:pPr>
        <w:pStyle w:val="6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akuyoxingshu7000">
    <w:altName w:val="宋体"/>
    <w:panose1 w:val="00000000000000000000"/>
    <w:charset w:val="86"/>
    <w:family w:val="auto"/>
    <w:pitch w:val="default"/>
    <w:sig w:usb0="00000000" w:usb1="00000000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7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0288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ISC-B-I-19 管理体系审核记录表(03版)</w:t>
                </w:r>
              </w:p>
            </w:txbxContent>
          </v:textbox>
        </v:shape>
      </w:pict>
    </w:r>
    <w:r>
      <w:rPr>
        <w:rStyle w:val="13"/>
        <w:rFonts w:hint="default"/>
      </w:rPr>
      <w:t xml:space="preserve">        </w:t>
    </w:r>
    <w:r>
      <w:rPr>
        <w:rStyle w:val="13"/>
        <w:rFonts w:hint="default"/>
        <w:w w:val="90"/>
      </w:rPr>
      <w:t>Beijing International Standard united Certification Co.,Ltd.</w:t>
    </w:r>
    <w:r>
      <w:rPr>
        <w:rStyle w:val="13"/>
        <w:rFonts w:hint="default"/>
        <w:w w:val="90"/>
        <w:szCs w:val="21"/>
      </w:rPr>
      <w:t xml:space="preserve">  </w:t>
    </w:r>
    <w:r>
      <w:rPr>
        <w:rStyle w:val="13"/>
        <w:rFonts w:hint="default"/>
        <w:w w:val="90"/>
        <w:sz w:val="20"/>
      </w:rPr>
      <w:t xml:space="preserve"> </w:t>
    </w:r>
    <w:r>
      <w:rPr>
        <w:rStyle w:val="13"/>
        <w:rFonts w:hint="default"/>
        <w:w w:val="90"/>
      </w:rPr>
      <w:t xml:space="preserve">                   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F0CEC"/>
    <w:multiLevelType w:val="singleLevel"/>
    <w:tmpl w:val="849F0CE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TA4NzIyN2MxYTlmMzQ1NGE2MjU5NWRkMjhlOGMxYTAifQ=="/>
  </w:docVars>
  <w:rsids>
    <w:rsidRoot w:val="009973B4"/>
    <w:rsid w:val="000237F6"/>
    <w:rsid w:val="0003373A"/>
    <w:rsid w:val="00063E07"/>
    <w:rsid w:val="000D79F9"/>
    <w:rsid w:val="000E4A90"/>
    <w:rsid w:val="00101E94"/>
    <w:rsid w:val="001A2D7F"/>
    <w:rsid w:val="001F4908"/>
    <w:rsid w:val="0023631C"/>
    <w:rsid w:val="00337922"/>
    <w:rsid w:val="00340867"/>
    <w:rsid w:val="00380837"/>
    <w:rsid w:val="003A198A"/>
    <w:rsid w:val="00410914"/>
    <w:rsid w:val="004D7B08"/>
    <w:rsid w:val="00536930"/>
    <w:rsid w:val="00564E53"/>
    <w:rsid w:val="00644FE2"/>
    <w:rsid w:val="0067640C"/>
    <w:rsid w:val="006E678B"/>
    <w:rsid w:val="007757F3"/>
    <w:rsid w:val="007E6AEB"/>
    <w:rsid w:val="00851DA6"/>
    <w:rsid w:val="008973EE"/>
    <w:rsid w:val="008D27E1"/>
    <w:rsid w:val="00971600"/>
    <w:rsid w:val="009973B4"/>
    <w:rsid w:val="009B6960"/>
    <w:rsid w:val="009C28C1"/>
    <w:rsid w:val="009F7EED"/>
    <w:rsid w:val="00A0798D"/>
    <w:rsid w:val="00A61CA2"/>
    <w:rsid w:val="00AF0AAB"/>
    <w:rsid w:val="00BF597E"/>
    <w:rsid w:val="00C347DC"/>
    <w:rsid w:val="00C51A36"/>
    <w:rsid w:val="00C55228"/>
    <w:rsid w:val="00C77D06"/>
    <w:rsid w:val="00CB3F69"/>
    <w:rsid w:val="00CE315A"/>
    <w:rsid w:val="00D069B2"/>
    <w:rsid w:val="00D06F59"/>
    <w:rsid w:val="00D525CA"/>
    <w:rsid w:val="00D8388C"/>
    <w:rsid w:val="00DE6C09"/>
    <w:rsid w:val="00DF08E9"/>
    <w:rsid w:val="00E808C0"/>
    <w:rsid w:val="00EB0164"/>
    <w:rsid w:val="00EC5590"/>
    <w:rsid w:val="00ED0F62"/>
    <w:rsid w:val="00EF58E8"/>
    <w:rsid w:val="00F838C8"/>
    <w:rsid w:val="013373E3"/>
    <w:rsid w:val="01577D76"/>
    <w:rsid w:val="018B0ABE"/>
    <w:rsid w:val="02BA0640"/>
    <w:rsid w:val="02D300F8"/>
    <w:rsid w:val="03272194"/>
    <w:rsid w:val="038A04FA"/>
    <w:rsid w:val="03FD4D0A"/>
    <w:rsid w:val="04722762"/>
    <w:rsid w:val="04803A86"/>
    <w:rsid w:val="04FA0FAF"/>
    <w:rsid w:val="053143BF"/>
    <w:rsid w:val="055B6B99"/>
    <w:rsid w:val="060C75DC"/>
    <w:rsid w:val="06123E54"/>
    <w:rsid w:val="06427C24"/>
    <w:rsid w:val="06856793"/>
    <w:rsid w:val="06BC433D"/>
    <w:rsid w:val="07174281"/>
    <w:rsid w:val="07470AAF"/>
    <w:rsid w:val="084960B7"/>
    <w:rsid w:val="08593B62"/>
    <w:rsid w:val="088B504C"/>
    <w:rsid w:val="08B77779"/>
    <w:rsid w:val="08D97406"/>
    <w:rsid w:val="08E150B6"/>
    <w:rsid w:val="0A135F08"/>
    <w:rsid w:val="0A9549D1"/>
    <w:rsid w:val="0AE87D2F"/>
    <w:rsid w:val="0AEB31AF"/>
    <w:rsid w:val="0AFD6034"/>
    <w:rsid w:val="0B38319E"/>
    <w:rsid w:val="0B917DA9"/>
    <w:rsid w:val="0BE81532"/>
    <w:rsid w:val="0BF26A3C"/>
    <w:rsid w:val="0C1C7640"/>
    <w:rsid w:val="0C456873"/>
    <w:rsid w:val="0D0211BD"/>
    <w:rsid w:val="0D1E3FA1"/>
    <w:rsid w:val="0DD9388E"/>
    <w:rsid w:val="0DFD3E14"/>
    <w:rsid w:val="0E2D563A"/>
    <w:rsid w:val="0E5046A5"/>
    <w:rsid w:val="0E55744C"/>
    <w:rsid w:val="0E5B240D"/>
    <w:rsid w:val="0E654E0D"/>
    <w:rsid w:val="0E7204D0"/>
    <w:rsid w:val="0EF02F5B"/>
    <w:rsid w:val="0F2748BE"/>
    <w:rsid w:val="0F2E4FC9"/>
    <w:rsid w:val="0FA03670"/>
    <w:rsid w:val="0FB5497A"/>
    <w:rsid w:val="0FD40909"/>
    <w:rsid w:val="0FD46017"/>
    <w:rsid w:val="0FFB1FCF"/>
    <w:rsid w:val="10196C29"/>
    <w:rsid w:val="106C3D7A"/>
    <w:rsid w:val="107951D6"/>
    <w:rsid w:val="108219C2"/>
    <w:rsid w:val="10C731A1"/>
    <w:rsid w:val="10DF4410"/>
    <w:rsid w:val="11027246"/>
    <w:rsid w:val="110E2CCA"/>
    <w:rsid w:val="119C05DB"/>
    <w:rsid w:val="12230918"/>
    <w:rsid w:val="12334F4F"/>
    <w:rsid w:val="12440A11"/>
    <w:rsid w:val="125618D3"/>
    <w:rsid w:val="12DE7EB8"/>
    <w:rsid w:val="12E113C5"/>
    <w:rsid w:val="13454832"/>
    <w:rsid w:val="13C82B7E"/>
    <w:rsid w:val="143150C6"/>
    <w:rsid w:val="14B8288B"/>
    <w:rsid w:val="14F568CD"/>
    <w:rsid w:val="15124DFD"/>
    <w:rsid w:val="15476D81"/>
    <w:rsid w:val="16412126"/>
    <w:rsid w:val="166D6B2A"/>
    <w:rsid w:val="16A20015"/>
    <w:rsid w:val="16FB51F9"/>
    <w:rsid w:val="17343360"/>
    <w:rsid w:val="176A6D4E"/>
    <w:rsid w:val="17991C03"/>
    <w:rsid w:val="17C866C5"/>
    <w:rsid w:val="17F14637"/>
    <w:rsid w:val="18685763"/>
    <w:rsid w:val="188C43E4"/>
    <w:rsid w:val="188D65FC"/>
    <w:rsid w:val="18BE5DA1"/>
    <w:rsid w:val="18D22BEA"/>
    <w:rsid w:val="194E4A54"/>
    <w:rsid w:val="198655EE"/>
    <w:rsid w:val="1A18659F"/>
    <w:rsid w:val="1A2B03CA"/>
    <w:rsid w:val="1A771308"/>
    <w:rsid w:val="1A9B4EDD"/>
    <w:rsid w:val="1B0155EB"/>
    <w:rsid w:val="1B3A694C"/>
    <w:rsid w:val="1BAD27A5"/>
    <w:rsid w:val="1BCD761F"/>
    <w:rsid w:val="1C094AA1"/>
    <w:rsid w:val="1C302F4C"/>
    <w:rsid w:val="1C9E3013"/>
    <w:rsid w:val="1CA452D2"/>
    <w:rsid w:val="1CD22F6E"/>
    <w:rsid w:val="1D343375"/>
    <w:rsid w:val="1DAB30E7"/>
    <w:rsid w:val="1DF67D75"/>
    <w:rsid w:val="1E24572A"/>
    <w:rsid w:val="1E361FF7"/>
    <w:rsid w:val="1E5B51CB"/>
    <w:rsid w:val="1EAB01E9"/>
    <w:rsid w:val="1F2F03BB"/>
    <w:rsid w:val="1F514C82"/>
    <w:rsid w:val="1F870BDE"/>
    <w:rsid w:val="1F945AE2"/>
    <w:rsid w:val="1FF13BB0"/>
    <w:rsid w:val="1FF91DAF"/>
    <w:rsid w:val="20754670"/>
    <w:rsid w:val="21E62A1D"/>
    <w:rsid w:val="224A6291"/>
    <w:rsid w:val="22BC3473"/>
    <w:rsid w:val="231461AC"/>
    <w:rsid w:val="23290A6B"/>
    <w:rsid w:val="23727D69"/>
    <w:rsid w:val="241A5EE7"/>
    <w:rsid w:val="241D44B3"/>
    <w:rsid w:val="2525434A"/>
    <w:rsid w:val="25D014D1"/>
    <w:rsid w:val="25D50A0B"/>
    <w:rsid w:val="25DA71A5"/>
    <w:rsid w:val="25DC2E34"/>
    <w:rsid w:val="262B200A"/>
    <w:rsid w:val="272A6ACB"/>
    <w:rsid w:val="273541B8"/>
    <w:rsid w:val="277126D5"/>
    <w:rsid w:val="27D72F75"/>
    <w:rsid w:val="28C95AE7"/>
    <w:rsid w:val="28DB3513"/>
    <w:rsid w:val="28E64D20"/>
    <w:rsid w:val="295F5D59"/>
    <w:rsid w:val="29AC369F"/>
    <w:rsid w:val="29FE3F11"/>
    <w:rsid w:val="2A19403D"/>
    <w:rsid w:val="2A30730A"/>
    <w:rsid w:val="2A633B20"/>
    <w:rsid w:val="2A9D1010"/>
    <w:rsid w:val="2AC20A98"/>
    <w:rsid w:val="2C3209F9"/>
    <w:rsid w:val="2C770874"/>
    <w:rsid w:val="2CFF41B5"/>
    <w:rsid w:val="2D2E18F5"/>
    <w:rsid w:val="2D75272B"/>
    <w:rsid w:val="2DD070E2"/>
    <w:rsid w:val="2DD74EB3"/>
    <w:rsid w:val="2E051E75"/>
    <w:rsid w:val="2E4D0213"/>
    <w:rsid w:val="2E907020"/>
    <w:rsid w:val="2E9B5AFD"/>
    <w:rsid w:val="2FD112BF"/>
    <w:rsid w:val="2FE510F0"/>
    <w:rsid w:val="305A3D54"/>
    <w:rsid w:val="30746101"/>
    <w:rsid w:val="309346CB"/>
    <w:rsid w:val="30B96BF2"/>
    <w:rsid w:val="30CB41EB"/>
    <w:rsid w:val="31062113"/>
    <w:rsid w:val="312818C9"/>
    <w:rsid w:val="314263EA"/>
    <w:rsid w:val="31F77B64"/>
    <w:rsid w:val="322450A5"/>
    <w:rsid w:val="32944EFE"/>
    <w:rsid w:val="32A679F6"/>
    <w:rsid w:val="33106924"/>
    <w:rsid w:val="334C71FD"/>
    <w:rsid w:val="335511B0"/>
    <w:rsid w:val="3390149F"/>
    <w:rsid w:val="33B364C6"/>
    <w:rsid w:val="33B36AD1"/>
    <w:rsid w:val="33D44CDF"/>
    <w:rsid w:val="34665F98"/>
    <w:rsid w:val="34743101"/>
    <w:rsid w:val="34CD4C03"/>
    <w:rsid w:val="34DD1682"/>
    <w:rsid w:val="35553395"/>
    <w:rsid w:val="35A51C80"/>
    <w:rsid w:val="35FF6972"/>
    <w:rsid w:val="36AF07DA"/>
    <w:rsid w:val="36B77F10"/>
    <w:rsid w:val="36EC38AB"/>
    <w:rsid w:val="370F5560"/>
    <w:rsid w:val="375C74C3"/>
    <w:rsid w:val="376B2D20"/>
    <w:rsid w:val="387434C2"/>
    <w:rsid w:val="38C23805"/>
    <w:rsid w:val="39580A6B"/>
    <w:rsid w:val="39C028FA"/>
    <w:rsid w:val="39C86C02"/>
    <w:rsid w:val="39EE1F9C"/>
    <w:rsid w:val="3A9B464B"/>
    <w:rsid w:val="3AF919F1"/>
    <w:rsid w:val="3BD21263"/>
    <w:rsid w:val="3C1D1282"/>
    <w:rsid w:val="3CAC75F0"/>
    <w:rsid w:val="3CD944DE"/>
    <w:rsid w:val="3D6320CE"/>
    <w:rsid w:val="3DB32CC8"/>
    <w:rsid w:val="3E701E62"/>
    <w:rsid w:val="3EFD7E0A"/>
    <w:rsid w:val="3F1C1543"/>
    <w:rsid w:val="3F3C574F"/>
    <w:rsid w:val="3F9546D2"/>
    <w:rsid w:val="3FDC57DB"/>
    <w:rsid w:val="40525BD7"/>
    <w:rsid w:val="4064142F"/>
    <w:rsid w:val="407610B0"/>
    <w:rsid w:val="40D5352E"/>
    <w:rsid w:val="411309B9"/>
    <w:rsid w:val="4115572E"/>
    <w:rsid w:val="41DB0DC9"/>
    <w:rsid w:val="426B4490"/>
    <w:rsid w:val="42FD75E4"/>
    <w:rsid w:val="43103FFC"/>
    <w:rsid w:val="43AA0A0F"/>
    <w:rsid w:val="43B638A8"/>
    <w:rsid w:val="43D078D9"/>
    <w:rsid w:val="440204EF"/>
    <w:rsid w:val="44491C9F"/>
    <w:rsid w:val="44F42F81"/>
    <w:rsid w:val="44F65B90"/>
    <w:rsid w:val="45964A16"/>
    <w:rsid w:val="45A93577"/>
    <w:rsid w:val="460B6168"/>
    <w:rsid w:val="460C77CD"/>
    <w:rsid w:val="46215845"/>
    <w:rsid w:val="46BD06EE"/>
    <w:rsid w:val="470B69F1"/>
    <w:rsid w:val="471237F4"/>
    <w:rsid w:val="472B3B46"/>
    <w:rsid w:val="47BA508C"/>
    <w:rsid w:val="480C1728"/>
    <w:rsid w:val="48136A5A"/>
    <w:rsid w:val="48283278"/>
    <w:rsid w:val="487D4964"/>
    <w:rsid w:val="48967E44"/>
    <w:rsid w:val="48B92095"/>
    <w:rsid w:val="493F7F99"/>
    <w:rsid w:val="49903029"/>
    <w:rsid w:val="49A30D2B"/>
    <w:rsid w:val="49C060BB"/>
    <w:rsid w:val="49E131D7"/>
    <w:rsid w:val="49EE5BDA"/>
    <w:rsid w:val="4A9B41EB"/>
    <w:rsid w:val="4B1C57C6"/>
    <w:rsid w:val="4B392AE0"/>
    <w:rsid w:val="4B743142"/>
    <w:rsid w:val="4C072D68"/>
    <w:rsid w:val="4C3808F1"/>
    <w:rsid w:val="4C614AD4"/>
    <w:rsid w:val="4C7267DC"/>
    <w:rsid w:val="4C8C67E8"/>
    <w:rsid w:val="4C9F4133"/>
    <w:rsid w:val="4D0C0541"/>
    <w:rsid w:val="4DB217A9"/>
    <w:rsid w:val="4DB917AE"/>
    <w:rsid w:val="4E0A60BA"/>
    <w:rsid w:val="4E413F86"/>
    <w:rsid w:val="4E923C74"/>
    <w:rsid w:val="4EE728B8"/>
    <w:rsid w:val="4F2C2253"/>
    <w:rsid w:val="4FE7430F"/>
    <w:rsid w:val="5065704F"/>
    <w:rsid w:val="50D73F93"/>
    <w:rsid w:val="513959E3"/>
    <w:rsid w:val="516E51BD"/>
    <w:rsid w:val="51B92AB6"/>
    <w:rsid w:val="51C754F9"/>
    <w:rsid w:val="51CD3CB1"/>
    <w:rsid w:val="51F72E6B"/>
    <w:rsid w:val="520523E7"/>
    <w:rsid w:val="52262A2F"/>
    <w:rsid w:val="52607AF3"/>
    <w:rsid w:val="528C3F6E"/>
    <w:rsid w:val="53287D69"/>
    <w:rsid w:val="533734D8"/>
    <w:rsid w:val="53944D1D"/>
    <w:rsid w:val="539B1291"/>
    <w:rsid w:val="53AD76B6"/>
    <w:rsid w:val="53B41C72"/>
    <w:rsid w:val="54B7549E"/>
    <w:rsid w:val="55387B39"/>
    <w:rsid w:val="554D4FBF"/>
    <w:rsid w:val="55792DD4"/>
    <w:rsid w:val="558D3AF9"/>
    <w:rsid w:val="55965BF0"/>
    <w:rsid w:val="55C97C15"/>
    <w:rsid w:val="56613A79"/>
    <w:rsid w:val="56C13C5D"/>
    <w:rsid w:val="57005A6D"/>
    <w:rsid w:val="571730AC"/>
    <w:rsid w:val="577E1149"/>
    <w:rsid w:val="579C2E8E"/>
    <w:rsid w:val="57CA7D0F"/>
    <w:rsid w:val="57E572A1"/>
    <w:rsid w:val="5806584D"/>
    <w:rsid w:val="58484700"/>
    <w:rsid w:val="587D17D5"/>
    <w:rsid w:val="588B5EAB"/>
    <w:rsid w:val="58915024"/>
    <w:rsid w:val="58CC5982"/>
    <w:rsid w:val="590C14A2"/>
    <w:rsid w:val="59116735"/>
    <w:rsid w:val="593A435B"/>
    <w:rsid w:val="594C0C2F"/>
    <w:rsid w:val="5A6C2BF2"/>
    <w:rsid w:val="5A7473FA"/>
    <w:rsid w:val="5A9540B2"/>
    <w:rsid w:val="5B1B4E84"/>
    <w:rsid w:val="5B524555"/>
    <w:rsid w:val="5BA973EE"/>
    <w:rsid w:val="5C274062"/>
    <w:rsid w:val="5C3F4A86"/>
    <w:rsid w:val="5C7D7BE7"/>
    <w:rsid w:val="5CF00F25"/>
    <w:rsid w:val="5D267E59"/>
    <w:rsid w:val="5D2E4CC6"/>
    <w:rsid w:val="5D3A164A"/>
    <w:rsid w:val="5DEB5C3E"/>
    <w:rsid w:val="5E307504"/>
    <w:rsid w:val="5E8B74CB"/>
    <w:rsid w:val="5EA12B9A"/>
    <w:rsid w:val="5ED1197A"/>
    <w:rsid w:val="5ED75032"/>
    <w:rsid w:val="5F814A33"/>
    <w:rsid w:val="60312B28"/>
    <w:rsid w:val="607F45D1"/>
    <w:rsid w:val="6081112F"/>
    <w:rsid w:val="60A86088"/>
    <w:rsid w:val="60B30765"/>
    <w:rsid w:val="60DD0A18"/>
    <w:rsid w:val="617522C3"/>
    <w:rsid w:val="61985A25"/>
    <w:rsid w:val="62CD555C"/>
    <w:rsid w:val="62DE5890"/>
    <w:rsid w:val="63183885"/>
    <w:rsid w:val="63362C99"/>
    <w:rsid w:val="634675F0"/>
    <w:rsid w:val="635F3271"/>
    <w:rsid w:val="636964F6"/>
    <w:rsid w:val="640D2A14"/>
    <w:rsid w:val="640F7FDD"/>
    <w:rsid w:val="645F57DF"/>
    <w:rsid w:val="65316AA8"/>
    <w:rsid w:val="65AF120F"/>
    <w:rsid w:val="65CF6A99"/>
    <w:rsid w:val="65F025BA"/>
    <w:rsid w:val="66420646"/>
    <w:rsid w:val="66643589"/>
    <w:rsid w:val="669011EB"/>
    <w:rsid w:val="675419DC"/>
    <w:rsid w:val="6776476B"/>
    <w:rsid w:val="67BB3C94"/>
    <w:rsid w:val="67C81214"/>
    <w:rsid w:val="693164A2"/>
    <w:rsid w:val="693951EA"/>
    <w:rsid w:val="69450752"/>
    <w:rsid w:val="694F2F68"/>
    <w:rsid w:val="697E643A"/>
    <w:rsid w:val="69861143"/>
    <w:rsid w:val="69EE1762"/>
    <w:rsid w:val="69F7015F"/>
    <w:rsid w:val="69F714CB"/>
    <w:rsid w:val="6B4954E7"/>
    <w:rsid w:val="6C5622B6"/>
    <w:rsid w:val="6C92442F"/>
    <w:rsid w:val="6D69457C"/>
    <w:rsid w:val="6D9D4935"/>
    <w:rsid w:val="6DCD03AA"/>
    <w:rsid w:val="6E6877BF"/>
    <w:rsid w:val="6F2177E7"/>
    <w:rsid w:val="6F384391"/>
    <w:rsid w:val="6F78467B"/>
    <w:rsid w:val="70126089"/>
    <w:rsid w:val="70964F89"/>
    <w:rsid w:val="70A0757A"/>
    <w:rsid w:val="70B95DE1"/>
    <w:rsid w:val="714B4FF4"/>
    <w:rsid w:val="71AD7E82"/>
    <w:rsid w:val="721B7C4A"/>
    <w:rsid w:val="732C5EC4"/>
    <w:rsid w:val="73E5423B"/>
    <w:rsid w:val="73ED2CF6"/>
    <w:rsid w:val="742D4BCD"/>
    <w:rsid w:val="74985060"/>
    <w:rsid w:val="74FC19CE"/>
    <w:rsid w:val="75B96382"/>
    <w:rsid w:val="75E8184B"/>
    <w:rsid w:val="7659095C"/>
    <w:rsid w:val="76EB07E4"/>
    <w:rsid w:val="7730063A"/>
    <w:rsid w:val="77603E7E"/>
    <w:rsid w:val="77ED5CE2"/>
    <w:rsid w:val="781F0939"/>
    <w:rsid w:val="786F79A5"/>
    <w:rsid w:val="787A09AC"/>
    <w:rsid w:val="7AB26C31"/>
    <w:rsid w:val="7B3304AC"/>
    <w:rsid w:val="7B4F72D2"/>
    <w:rsid w:val="7B58503B"/>
    <w:rsid w:val="7C792048"/>
    <w:rsid w:val="7C7F71FF"/>
    <w:rsid w:val="7C9776BE"/>
    <w:rsid w:val="7C983E16"/>
    <w:rsid w:val="7CAF1D62"/>
    <w:rsid w:val="7CC46E61"/>
    <w:rsid w:val="7D32729A"/>
    <w:rsid w:val="7D411C00"/>
    <w:rsid w:val="7D5C11C5"/>
    <w:rsid w:val="7D872B6C"/>
    <w:rsid w:val="7E5A30B6"/>
    <w:rsid w:val="7E6106A3"/>
    <w:rsid w:val="7EF86B4D"/>
    <w:rsid w:val="7F130166"/>
    <w:rsid w:val="7F2B515C"/>
    <w:rsid w:val="7F4135AE"/>
    <w:rsid w:val="7F8B79D4"/>
    <w:rsid w:val="7FC86E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rFonts w:ascii="Calibri" w:hAnsi="Calibri"/>
      <w:b/>
      <w:bCs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Plain Text"/>
    <w:basedOn w:val="1"/>
    <w:qFormat/>
    <w:uiPriority w:val="0"/>
    <w:rPr>
      <w:rFonts w:hint="eastAsia" w:ascii="宋体" w:hAnsi="Courier New" w:cs="Courier New"/>
      <w:szCs w:val="21"/>
    </w:r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info-content-text"/>
    <w:basedOn w:val="9"/>
    <w:qFormat/>
    <w:uiPriority w:val="0"/>
  </w:style>
  <w:style w:type="paragraph" w:styleId="15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7">
    <w:name w:val="NormalCharacter"/>
    <w:semiHidden/>
    <w:qFormat/>
    <w:uiPriority w:val="0"/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1138</Words>
  <Characters>6493</Characters>
  <Lines>54</Lines>
  <Paragraphs>15</Paragraphs>
  <TotalTime>0</TotalTime>
  <ScaleCrop>false</ScaleCrop>
  <LinksUpToDate>false</LinksUpToDate>
  <CharactersWithSpaces>7616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apple</cp:lastModifiedBy>
  <dcterms:modified xsi:type="dcterms:W3CDTF">2022-11-17T12:45:37Z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8AA6379D71804D15A6D28644041A4362</vt:lpwstr>
  </property>
</Properties>
</file>