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91"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综合部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主管领导：</w:t>
            </w:r>
            <w:r>
              <w:rPr>
                <w:rFonts w:hint="eastAsia" w:eastAsiaTheme="minorEastAsia"/>
                <w:color w:val="auto"/>
                <w:lang w:eastAsia="zh-CN"/>
              </w:rPr>
              <w:t>董会利</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陪同人员：</w:t>
            </w:r>
            <w:r>
              <w:rPr>
                <w:rFonts w:hint="eastAsia" w:asciiTheme="minorEastAsia" w:hAnsiTheme="minorEastAsia" w:eastAsiaTheme="minorEastAsia" w:cstheme="minorEastAsia"/>
                <w:color w:val="auto"/>
                <w:sz w:val="21"/>
                <w:szCs w:val="21"/>
                <w:lang w:val="en-US" w:eastAsia="zh-CN"/>
              </w:rPr>
              <w:t>林霞</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赵丽萍</w:t>
            </w:r>
            <w:r>
              <w:rPr>
                <w:rFonts w:hint="eastAsia" w:cs="Times New Roman"/>
                <w:lang w:val="en-US" w:eastAsia="zh-CN"/>
              </w:rPr>
              <w:t>、</w:t>
            </w:r>
            <w:r>
              <w:rPr>
                <w:sz w:val="20"/>
                <w:lang w:val="de-DE"/>
              </w:rPr>
              <w:t>崔家玥</w:t>
            </w:r>
            <w:r>
              <w:rPr>
                <w:rFonts w:hint="eastAsia"/>
                <w:sz w:val="20"/>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bookmarkStart w:id="0" w:name="审核日期"/>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3.2.22</w:t>
            </w:r>
            <w:r>
              <w:rPr>
                <w:rFonts w:hint="eastAsia" w:asciiTheme="minorEastAsia" w:hAnsiTheme="minorEastAsia" w:eastAsiaTheme="minorEastAsia" w:cstheme="minorEastAsia"/>
                <w:sz w:val="21"/>
                <w:szCs w:val="21"/>
              </w:rPr>
              <w:t xml:space="preserve"> </w:t>
            </w:r>
            <w:bookmarkEnd w:id="0"/>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pStyle w:val="13"/>
              <w:spacing w:after="0"/>
              <w:rPr>
                <w:rFonts w:ascii="宋体" w:hAnsi="宋体" w:eastAsia="宋体" w:cs="Arial"/>
                <w:sz w:val="21"/>
                <w:szCs w:val="21"/>
                <w:lang w:val="en-US" w:eastAsia="zh-CN"/>
              </w:rPr>
            </w:pPr>
            <w:r>
              <w:rPr>
                <w:rFonts w:hint="eastAsia" w:ascii="宋体" w:hAnsi="宋体" w:eastAsia="宋体" w:cs="Arial"/>
                <w:sz w:val="21"/>
                <w:szCs w:val="21"/>
                <w:lang w:val="en-US" w:eastAsia="zh-CN"/>
              </w:rPr>
              <w:t xml:space="preserve">QMS: </w:t>
            </w:r>
            <w:r>
              <w:rPr>
                <w:rFonts w:hint="eastAsia" w:ascii="宋体" w:hAnsi="宋体"/>
                <w:sz w:val="21"/>
                <w:szCs w:val="21"/>
              </w:rPr>
              <w:t>9.1.1,9.1.3,</w:t>
            </w:r>
          </w:p>
          <w:p>
            <w:pPr>
              <w:pStyle w:val="13"/>
              <w:spacing w:after="0"/>
              <w:rPr>
                <w:rFonts w:ascii="宋体" w:hAnsi="宋体" w:eastAsia="宋体" w:cs="Arial"/>
                <w:sz w:val="21"/>
                <w:szCs w:val="21"/>
                <w:lang w:val="en-US" w:eastAsia="zh-CN"/>
              </w:rPr>
            </w:pPr>
            <w:r>
              <w:rPr>
                <w:rFonts w:hint="eastAsia" w:ascii="宋体" w:hAnsi="宋体" w:eastAsia="宋体" w:cs="Arial"/>
                <w:sz w:val="21"/>
                <w:szCs w:val="21"/>
                <w:lang w:val="en-US" w:eastAsia="zh-CN"/>
              </w:rPr>
              <w:t>EMS: 6.1.2,6.1.3,6.1.4，8.1,8.2，9.1.1,9.1.2,</w:t>
            </w:r>
          </w:p>
          <w:p>
            <w:pPr>
              <w:spacing w:line="300" w:lineRule="exact"/>
              <w:rPr>
                <w:rFonts w:hint="eastAsia" w:asciiTheme="minorEastAsia" w:hAnsiTheme="minorEastAsia" w:eastAsiaTheme="minorEastAsia" w:cstheme="minorEastAsia"/>
                <w:sz w:val="21"/>
                <w:szCs w:val="21"/>
              </w:rPr>
            </w:pPr>
            <w:r>
              <w:rPr>
                <w:rFonts w:hint="eastAsia" w:ascii="宋体" w:hAnsi="宋体" w:cs="Arial"/>
                <w:sz w:val="21"/>
                <w:szCs w:val="21"/>
              </w:rPr>
              <w:t>OHS:6.1.2,6.1.3,6.1.4，8.1,8.2，9.1.1,9.1.2,</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EO6.1.2</w:t>
            </w:r>
          </w:p>
          <w:p>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6.1.4</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编制了《环境因素的识别与评价控制程序》《危险源辩识、风险评价和风险控制策划程序》符合标准要求.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对重要环境因素的控制措施包括制定管理制度、监督检查、应急预案、培训等。提供《重要环境因素识别清单》，重要环境因素：固废排放、意外火灾的发生，评价基本合理。</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提供《危险源辨识与风险评价管理程序</w:t>
            </w:r>
            <w:r>
              <w:rPr>
                <w:rFonts w:hint="eastAsia" w:ascii="宋体" w:hAnsi="宋体" w:eastAsia="宋体" w:cs="宋体"/>
                <w:color w:val="auto"/>
                <w:sz w:val="21"/>
                <w:szCs w:val="21"/>
                <w:lang w:val="en-US" w:eastAsia="zh-CN"/>
              </w:rPr>
              <w:t>》，对影响职业健康安全的危险源，评价其风险程度及级别，不可接受风险评价的标准和更新的时机,并确定更新不可接受风险因素从而进行有效控制等方面的管理要求进行了规定，满足要求。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通过是非法，共识别出不可接受风险3项，涉及：火灾和触电、新冠疫情感染</w:t>
            </w:r>
            <w:r>
              <w:rPr>
                <w:rFonts w:hint="eastAsia" w:ascii="宋体" w:hAnsi="宋体" w:eastAsia="宋体" w:cs="宋体"/>
                <w:color w:val="auto"/>
                <w:sz w:val="21"/>
                <w:szCs w:val="21"/>
                <w:lang w:val="en-US" w:eastAsia="zh-CN"/>
              </w:rPr>
              <w:t>。评价符合程序要求及公司的实际情况。对危险源的控制措施包括制定管理制度、监督检查、应急预案、培训等。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执行《职业健康安全绩效测量和监视管理</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提供了职业健康安全危险源识别与评价表，涉及本部门的危险源包括：使用电器不当造成触电，搬运货物造成的砸伤，吸烟乱扔烟头导致火灾，上下班途中交通危险，电器短路或使用时间过长散热不良等。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宋体" w:hAnsi="宋体" w:eastAsia="宋体" w:cs="宋体"/>
                <w:color w:val="auto"/>
                <w:sz w:val="21"/>
                <w:szCs w:val="21"/>
                <w:lang w:val="en-US" w:eastAsia="zh-CN"/>
              </w:rPr>
              <w:t>用LEC法对识别的危险源进行评价，不可接受风险火灾、触电，评价基本准确。</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合规性评价</w:t>
            </w: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9.1.2</w:t>
            </w:r>
          </w:p>
        </w:tc>
        <w:tc>
          <w:tcPr>
            <w:tcW w:w="10004" w:type="dxa"/>
            <w:vAlign w:val="top"/>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编制了《法律法规及其他要求控制程序》《合规性评价控制程序》，对法律法规的识别、更新和应用进行规定，规定了对本公司法规及其他要求的合规性评价的要求。</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法律法规清单”“职业健康安全法律法规清单”，识别了企业相关环境和职业健康安全法律法规、标准和其他要求，如：中华人民共和国环境保护法、中华人民共和国固体废物污染环境防治法、中华人民共和国大气污染防治法、中华人民共和国噪声污染防治法、</w:t>
            </w:r>
            <w:r>
              <w:rPr>
                <w:rFonts w:hint="eastAsia" w:ascii="宋体" w:hAnsi="宋体" w:cs="宋体"/>
                <w:kern w:val="0"/>
                <w:szCs w:val="21"/>
              </w:rPr>
              <w:t>中华人民共和国环境影响评价法</w:t>
            </w:r>
            <w:r>
              <w:rPr>
                <w:rFonts w:hint="eastAsia" w:ascii="Times New Roman" w:hAnsi="Times New Roman" w:eastAsia="宋体" w:cs="Times New Roman"/>
                <w:bCs w:val="0"/>
                <w:spacing w:val="0"/>
                <w:kern w:val="2"/>
                <w:sz w:val="21"/>
                <w:lang w:val="en-US" w:eastAsia="zh-CN" w:bidi="ar-SA"/>
              </w:rPr>
              <w:t>、中华人民共和国职业病防治法、中华人民共和国消防法、中华人民共和国妇女权益保障法、中华人民共和国传染病防治、中华人民共和国社会保险法、北京市环境噪声污染防治办法、北京市消防条例、</w:t>
            </w:r>
            <w:r>
              <w:rPr>
                <w:rFonts w:hint="default" w:ascii="Times New Roman" w:hAnsi="Times New Roman" w:eastAsia="宋体" w:cs="Times New Roman"/>
                <w:bCs w:val="0"/>
                <w:spacing w:val="0"/>
                <w:kern w:val="2"/>
                <w:sz w:val="21"/>
                <w:lang w:val="en-US" w:eastAsia="zh-CN" w:bidi="ar-SA"/>
              </w:rPr>
              <w:t>北京市火灾事故应急救援预案</w:t>
            </w:r>
            <w:r>
              <w:rPr>
                <w:rFonts w:hint="eastAsia" w:ascii="Times New Roman" w:hAnsi="Times New Roman" w:eastAsia="宋体" w:cs="Times New Roman"/>
                <w:bCs w:val="0"/>
                <w:spacing w:val="0"/>
                <w:kern w:val="2"/>
                <w:sz w:val="21"/>
                <w:lang w:val="en-US" w:eastAsia="zh-CN" w:bidi="ar-SA"/>
              </w:rPr>
              <w:t>、北京市安全生产条例等。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公司通过培训方式向有关员工传达法律、法规及其它要求的相关要求。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提供了2022年</w:t>
            </w:r>
            <w:r>
              <w:rPr>
                <w:rFonts w:hint="eastAsia" w:cs="Times New Roman"/>
                <w:bCs w:val="0"/>
                <w:spacing w:val="0"/>
                <w:kern w:val="2"/>
                <w:sz w:val="21"/>
                <w:lang w:val="en-US" w:eastAsia="zh-CN" w:bidi="ar-SA"/>
              </w:rPr>
              <w:t>5</w:t>
            </w:r>
            <w:r>
              <w:rPr>
                <w:rFonts w:hint="eastAsia" w:ascii="Times New Roman" w:hAnsi="Times New Roman" w:eastAsia="宋体" w:cs="Times New Roman"/>
                <w:bCs w:val="0"/>
                <w:spacing w:val="0"/>
                <w:kern w:val="2"/>
                <w:sz w:val="21"/>
                <w:lang w:val="en-US" w:eastAsia="zh-CN" w:bidi="ar-SA"/>
              </w:rPr>
              <w:t>月1</w:t>
            </w:r>
            <w:r>
              <w:rPr>
                <w:rFonts w:hint="eastAsia" w:cs="Times New Roman"/>
                <w:bCs w:val="0"/>
                <w:spacing w:val="0"/>
                <w:kern w:val="2"/>
                <w:sz w:val="21"/>
                <w:lang w:val="en-US" w:eastAsia="zh-CN" w:bidi="ar-SA"/>
              </w:rPr>
              <w:t>0</w:t>
            </w:r>
            <w:r>
              <w:rPr>
                <w:rFonts w:hint="eastAsia" w:ascii="Times New Roman" w:hAnsi="Times New Roman" w:eastAsia="宋体" w:cs="Times New Roman"/>
                <w:bCs w:val="0"/>
                <w:spacing w:val="0"/>
                <w:kern w:val="2"/>
                <w:sz w:val="21"/>
                <w:lang w:val="en-US" w:eastAsia="zh-CN" w:bidi="ar-SA"/>
              </w:rPr>
              <w:t>日的“合规性评价报告”，从大气污染污水排放、固体废弃物排放、能源的使用和消耗、安全生产、职业健康、紧急情况和事件等多方面结合企业的实际运行情况，进行了合规性评价，评价结果均为合规，评价人：</w:t>
            </w:r>
            <w:r>
              <w:rPr>
                <w:rFonts w:hint="eastAsia" w:ascii="Arial" w:hAnsi="Arial" w:cs="Arial"/>
                <w:color w:val="000000"/>
                <w:kern w:val="0"/>
                <w:szCs w:val="21"/>
              </w:rPr>
              <w:t>刘洪彬</w:t>
            </w:r>
            <w:r>
              <w:rPr>
                <w:rFonts w:hint="eastAsia" w:ascii="Arial" w:hAnsi="Arial" w:cs="Arial"/>
                <w:color w:val="000000"/>
                <w:kern w:val="0"/>
                <w:szCs w:val="21"/>
                <w:lang w:val="en-US" w:eastAsia="zh-CN"/>
              </w:rPr>
              <w:t>、</w:t>
            </w:r>
            <w:r>
              <w:rPr>
                <w:rFonts w:hint="eastAsia" w:ascii="Arial" w:hAnsi="Arial" w:cs="Arial"/>
                <w:color w:val="000000"/>
                <w:kern w:val="0"/>
                <w:szCs w:val="21"/>
              </w:rPr>
              <w:t>王晓明</w:t>
            </w:r>
            <w:r>
              <w:rPr>
                <w:rFonts w:hint="eastAsia" w:ascii="Arial" w:hAnsi="Arial" w:cs="Arial"/>
                <w:color w:val="000000"/>
                <w:kern w:val="0"/>
                <w:szCs w:val="21"/>
                <w:lang w:val="en-US" w:eastAsia="zh-CN"/>
              </w:rPr>
              <w:t>、宋丽丽等</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负责人介绍未发生过环境、职业健康安全事件，未有其他单位和个人投诉，无环境、职业健康安全事件发生，现场审核时也未发现违规情况。</w:t>
            </w:r>
          </w:p>
        </w:tc>
        <w:tc>
          <w:tcPr>
            <w:tcW w:w="1585" w:type="dxa"/>
            <w:vAlign w:val="top"/>
          </w:tcPr>
          <w:p>
            <w:pPr>
              <w:spacing w:line="360" w:lineRule="auto"/>
              <w:rPr>
                <w:rFonts w:hint="eastAsia" w:eastAsia="宋体"/>
                <w:lang w:val="en-US" w:eastAsia="zh-CN"/>
              </w:rPr>
            </w:pPr>
            <w:r>
              <w:rPr>
                <w:rFonts w:hint="eastAsia"/>
                <w:lang w:val="en-US" w:eastAsia="zh-CN"/>
              </w:rPr>
              <w:t>Y</w:t>
            </w:r>
          </w:p>
          <w:p>
            <w:pPr>
              <w:spacing w:line="360" w:lineRule="auto"/>
              <w:rPr>
                <w:rFonts w:hint="eastAsia"/>
                <w:lang w:val="en-US" w:eastAsia="zh-CN"/>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default"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EO 8.1</w:t>
            </w:r>
          </w:p>
        </w:tc>
        <w:tc>
          <w:tcPr>
            <w:tcW w:w="10004"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公司制定并实施了《安全管理制度》、《消防管理制度》、《节水、节电管理办法》、《办公区管理制度》等环境与职业健康安全管理制度。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企业租用</w:t>
            </w:r>
            <w:r>
              <w:rPr>
                <w:rFonts w:hint="eastAsia" w:cs="Times New Roman"/>
                <w:bCs w:val="0"/>
                <w:spacing w:val="0"/>
                <w:kern w:val="2"/>
                <w:sz w:val="21"/>
                <w:lang w:val="en-US" w:eastAsia="zh-CN" w:bidi="ar-SA"/>
              </w:rPr>
              <w:t>商住两用办公场所</w:t>
            </w:r>
            <w:r>
              <w:rPr>
                <w:rFonts w:hint="eastAsia" w:ascii="Times New Roman" w:hAnsi="Times New Roman" w:eastAsia="宋体" w:cs="Times New Roman"/>
                <w:bCs w:val="0"/>
                <w:spacing w:val="0"/>
                <w:kern w:val="2"/>
                <w:sz w:val="21"/>
                <w:lang w:val="en-US" w:eastAsia="zh-CN" w:bidi="ar-SA"/>
              </w:rPr>
              <w:t>。公司四周是其他企业，无敏感区，根据体系运行的需要设置了办公区、</w:t>
            </w:r>
            <w:r>
              <w:rPr>
                <w:rFonts w:hint="eastAsia" w:cs="Times New Roman"/>
                <w:bCs w:val="0"/>
                <w:spacing w:val="0"/>
                <w:kern w:val="2"/>
                <w:sz w:val="21"/>
                <w:lang w:val="en-US" w:eastAsia="zh-CN" w:bidi="ar-SA"/>
              </w:rPr>
              <w:t>设计室</w:t>
            </w:r>
            <w:r>
              <w:rPr>
                <w:rFonts w:hint="eastAsia" w:ascii="Times New Roman" w:hAnsi="Times New Roman" w:eastAsia="宋体" w:cs="Times New Roman"/>
                <w:bCs w:val="0"/>
                <w:spacing w:val="0"/>
                <w:kern w:val="2"/>
                <w:sz w:val="21"/>
                <w:lang w:val="en-US" w:eastAsia="zh-CN" w:bidi="ar-SA"/>
              </w:rPr>
              <w:t>，无宿舍和食堂。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企业办公及经营过程无工业废水产生，生活废水排入市政管道。企业办公及经营过程无废气产生。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垃圾主要包含可回收垃圾、硒鼓、废纸。公司配置了垃圾箱，</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统一处理。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对可回收的固体废弃物，一部分由厂家回收，厂家不回收的公司统一回收再利用或由物资回收公司处理。不可回收的废弃物由公司</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统一处理，各部门不得单独处理。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查到“废弃物处理记录”，记录了日常生活、办公过程中的可回收及不可回收的废弃物的处理情况。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抽2022</w:t>
            </w:r>
            <w:r>
              <w:rPr>
                <w:rFonts w:hint="eastAsia" w:cs="Times New Roman"/>
                <w:bCs w:val="0"/>
                <w:spacing w:val="0"/>
                <w:kern w:val="2"/>
                <w:sz w:val="21"/>
                <w:lang w:val="en-US" w:eastAsia="zh-CN" w:bidi="ar-SA"/>
              </w:rPr>
              <w:t>年</w:t>
            </w:r>
            <w:r>
              <w:rPr>
                <w:rFonts w:hint="eastAsia" w:ascii="Times New Roman" w:hAnsi="Times New Roman" w:eastAsia="宋体" w:cs="Times New Roman"/>
                <w:bCs w:val="0"/>
                <w:spacing w:val="0"/>
                <w:kern w:val="2"/>
                <w:sz w:val="21"/>
                <w:lang w:val="en-US" w:eastAsia="zh-CN" w:bidi="ar-SA"/>
              </w:rPr>
              <w:t>废弃物处理情况，废弃物种类：固体墨盒、废旧灯管、废电脑显示屏，处置方法：交物业处理。处理人：宋丽丽。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现场查看垃圾篓内无危险废物。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cs="Times New Roman"/>
                <w:bCs w:val="0"/>
                <w:color w:val="auto"/>
                <w:spacing w:val="0"/>
                <w:kern w:val="2"/>
                <w:sz w:val="21"/>
                <w:lang w:val="en-US" w:eastAsia="zh-CN" w:bidi="ar-SA"/>
              </w:rPr>
              <w:t>综合部</w:t>
            </w:r>
            <w:r>
              <w:rPr>
                <w:rFonts w:hint="eastAsia" w:ascii="Times New Roman" w:hAnsi="Times New Roman" w:eastAsia="宋体" w:cs="Times New Roman"/>
                <w:bCs w:val="0"/>
                <w:color w:val="auto"/>
                <w:spacing w:val="0"/>
                <w:kern w:val="2"/>
                <w:sz w:val="21"/>
                <w:lang w:val="en-US" w:eastAsia="zh-CN" w:bidi="ar-SA"/>
              </w:rPr>
              <w:t>定期组织环保和安全知识培训，员工具备了基本的环保和职业健康安全防护意识。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按公司要求人走关灯，</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电脑要求人走后电源切断，办公纸张尽量采取双面打印，定期检查水管跑冒滴漏，发现损坏及时维修。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为满足环境和职业健康安全体系的运行，公司投入了环保及安全资金，主要是消防器材、劳保用品费、社保</w:t>
            </w:r>
            <w:r>
              <w:rPr>
                <w:rFonts w:hint="eastAsia" w:cs="Times New Roman"/>
                <w:bCs w:val="0"/>
                <w:spacing w:val="0"/>
                <w:kern w:val="2"/>
                <w:sz w:val="21"/>
                <w:lang w:val="en-US" w:eastAsia="zh-CN" w:bidi="ar-SA"/>
              </w:rPr>
              <w:t>、体检</w:t>
            </w:r>
            <w:r>
              <w:rPr>
                <w:rFonts w:hint="eastAsia" w:ascii="Times New Roman" w:hAnsi="Times New Roman" w:eastAsia="宋体" w:cs="Times New Roman"/>
                <w:bCs w:val="0"/>
                <w:spacing w:val="0"/>
                <w:kern w:val="2"/>
                <w:sz w:val="21"/>
                <w:lang w:val="en-US" w:eastAsia="zh-CN" w:bidi="ar-SA"/>
              </w:rPr>
              <w:t>等，</w:t>
            </w:r>
            <w:r>
              <w:rPr>
                <w:rFonts w:hint="eastAsia" w:cs="Times New Roman"/>
                <w:bCs w:val="0"/>
                <w:spacing w:val="0"/>
                <w:kern w:val="2"/>
                <w:sz w:val="21"/>
                <w:lang w:val="en-US" w:eastAsia="zh-CN" w:bidi="ar-SA"/>
              </w:rPr>
              <w:t>2022年</w:t>
            </w:r>
            <w:r>
              <w:rPr>
                <w:rFonts w:hint="eastAsia" w:ascii="Times New Roman" w:hAnsi="Times New Roman" w:eastAsia="宋体" w:cs="Times New Roman"/>
                <w:bCs w:val="0"/>
                <w:spacing w:val="0"/>
                <w:kern w:val="2"/>
                <w:sz w:val="21"/>
                <w:lang w:val="en-US" w:eastAsia="zh-CN" w:bidi="ar-SA"/>
              </w:rPr>
              <w:t>支出约2</w:t>
            </w:r>
            <w:r>
              <w:rPr>
                <w:rFonts w:hint="eastAsia" w:cs="Times New Roman"/>
                <w:bCs w:val="0"/>
                <w:spacing w:val="0"/>
                <w:kern w:val="2"/>
                <w:sz w:val="21"/>
                <w:lang w:val="en-US" w:eastAsia="zh-CN" w:bidi="ar-SA"/>
              </w:rPr>
              <w:t>0</w:t>
            </w:r>
            <w:r>
              <w:rPr>
                <w:rFonts w:hint="eastAsia" w:ascii="Times New Roman" w:hAnsi="Times New Roman" w:eastAsia="宋体" w:cs="Times New Roman"/>
                <w:bCs w:val="0"/>
                <w:spacing w:val="0"/>
                <w:kern w:val="2"/>
                <w:sz w:val="21"/>
                <w:lang w:val="en-US" w:eastAsia="zh-CN" w:bidi="ar-SA"/>
              </w:rPr>
              <w:t>万元。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为长期员工购买了社保，</w:t>
            </w:r>
            <w:r>
              <w:rPr>
                <w:rFonts w:hint="eastAsia" w:cs="Times New Roman"/>
                <w:bCs w:val="0"/>
                <w:color w:val="auto"/>
                <w:spacing w:val="0"/>
                <w:kern w:val="2"/>
                <w:sz w:val="21"/>
                <w:lang w:val="en-US" w:eastAsia="zh-CN" w:bidi="ar-SA"/>
              </w:rPr>
              <w:t>提供</w:t>
            </w:r>
            <w:r>
              <w:rPr>
                <w:rFonts w:hint="eastAsia" w:ascii="Times New Roman" w:hAnsi="Times New Roman" w:eastAsia="宋体" w:cs="Times New Roman"/>
                <w:bCs w:val="0"/>
                <w:color w:val="auto"/>
                <w:spacing w:val="0"/>
                <w:kern w:val="2"/>
                <w:sz w:val="21"/>
                <w:lang w:val="en-US" w:eastAsia="zh-CN" w:bidi="ar-SA"/>
              </w:rPr>
              <w:t>2022</w:t>
            </w:r>
            <w:r>
              <w:rPr>
                <w:rFonts w:hint="eastAsia" w:cs="Times New Roman"/>
                <w:bCs w:val="0"/>
                <w:color w:val="auto"/>
                <w:spacing w:val="0"/>
                <w:kern w:val="2"/>
                <w:sz w:val="21"/>
                <w:lang w:val="en-US" w:eastAsia="zh-CN" w:bidi="ar-SA"/>
              </w:rPr>
              <w:t>年1月至2023年1月</w:t>
            </w:r>
            <w:r>
              <w:rPr>
                <w:rFonts w:hint="eastAsia" w:ascii="Times New Roman" w:hAnsi="Times New Roman" w:eastAsia="宋体" w:cs="Times New Roman"/>
                <w:bCs w:val="0"/>
                <w:color w:val="auto"/>
                <w:spacing w:val="0"/>
                <w:kern w:val="2"/>
                <w:sz w:val="21"/>
                <w:lang w:val="en-US" w:eastAsia="zh-CN" w:bidi="ar-SA"/>
              </w:rPr>
              <w:t>的缴费单。</w:t>
            </w:r>
          </w:p>
          <w:p>
            <w:pPr>
              <w:pStyle w:val="2"/>
              <w:ind w:firstLine="420" w:firstLineChars="200"/>
              <w:rPr>
                <w:rFonts w:hint="default"/>
                <w:lang w:val="en-US" w:eastAsia="zh-CN"/>
              </w:rPr>
            </w:pPr>
            <w:r>
              <w:rPr>
                <w:rFonts w:hint="eastAsia" w:cs="Times New Roman"/>
                <w:bCs w:val="0"/>
                <w:color w:val="auto"/>
                <w:spacing w:val="0"/>
                <w:kern w:val="2"/>
                <w:sz w:val="21"/>
                <w:lang w:val="en-US" w:eastAsia="zh-CN" w:bidi="ar-SA"/>
              </w:rPr>
              <w:t>抽查刘仁军、林霞、王晓明劳动合同，均在有效期内。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部门运行控制基本符合要求。</w:t>
            </w:r>
          </w:p>
        </w:tc>
        <w:tc>
          <w:tcPr>
            <w:tcW w:w="1585" w:type="dxa"/>
            <w:vAlign w:val="top"/>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jc w:val="both"/>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应急准备和响应</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制定了《应急准备和响应控制程序》，确定并编制了触电事故应急预案、火灾应急预案，包含事件发生时的处理步骤、事件处理职责分工及事后分析等要求。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应急设施配置：办公场所配备了灭火器等消防设施，均在有效期内，状态良好。</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抽查2022</w:t>
            </w:r>
            <w:r>
              <w:rPr>
                <w:rFonts w:hint="eastAsia"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4</w:t>
            </w:r>
            <w:r>
              <w:rPr>
                <w:rFonts w:hint="eastAsia"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18</w:t>
            </w:r>
            <w:r>
              <w:rPr>
                <w:rFonts w:hint="eastAsia" w:ascii="Times New Roman" w:hAnsi="Times New Roman" w:eastAsia="宋体" w:cs="Times New Roman"/>
                <w:bCs w:val="0"/>
                <w:spacing w:val="0"/>
                <w:kern w:val="2"/>
                <w:sz w:val="21"/>
                <w:lang w:val="en-US" w:eastAsia="zh-CN" w:bidi="ar-SA"/>
              </w:rPr>
              <w:t>进行《火灾演练应急记录》，演练内容：依据《应急准备和响应控制程序》，定期检查应急救援物资，火灾发生时，对灭火器的使用方法，应急小组的处理能力。</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bookmarkStart w:id="1" w:name="_GoBack"/>
            <w:bookmarkEnd w:id="1"/>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 xml:space="preserve"> 再查2022</w:t>
            </w:r>
            <w:r>
              <w:rPr>
                <w:rFonts w:hint="eastAsia"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5</w:t>
            </w:r>
            <w:r>
              <w:rPr>
                <w:rFonts w:hint="eastAsia" w:eastAsia="宋体" w:cs="Times New Roman"/>
                <w:bCs w:val="0"/>
                <w:spacing w:val="0"/>
                <w:kern w:val="2"/>
                <w:sz w:val="21"/>
                <w:lang w:val="en-US" w:eastAsia="zh-CN" w:bidi="ar-SA"/>
              </w:rPr>
              <w:t>.2</w:t>
            </w:r>
            <w:r>
              <w:rPr>
                <w:rFonts w:hint="eastAsia" w:cs="Times New Roman"/>
                <w:bCs w:val="0"/>
                <w:spacing w:val="0"/>
                <w:kern w:val="2"/>
                <w:sz w:val="21"/>
                <w:lang w:val="en-US" w:eastAsia="zh-CN" w:bidi="ar-SA"/>
              </w:rPr>
              <w:t>3</w:t>
            </w:r>
            <w:r>
              <w:rPr>
                <w:rFonts w:hint="eastAsia" w:ascii="Times New Roman" w:hAnsi="Times New Roman" w:eastAsia="宋体" w:cs="Times New Roman"/>
                <w:bCs w:val="0"/>
                <w:spacing w:val="0"/>
                <w:kern w:val="2"/>
                <w:sz w:val="21"/>
                <w:lang w:val="en-US" w:eastAsia="zh-CN" w:bidi="ar-SA"/>
              </w:rPr>
              <w:t>进行《触电演练应急记录》基本同上。</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自体系运行以来尚未发生紧急情况。</w:t>
            </w:r>
          </w:p>
        </w:tc>
        <w:tc>
          <w:tcPr>
            <w:tcW w:w="1585" w:type="dxa"/>
            <w:vAlign w:val="top"/>
          </w:tcPr>
          <w:p>
            <w:pPr>
              <w:spacing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监视、测量、分析和评价总则</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分析与评价</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QEO:9.1.1</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Q:9.1.3</w:t>
            </w:r>
          </w:p>
        </w:tc>
        <w:tc>
          <w:tcPr>
            <w:tcW w:w="10004" w:type="dxa"/>
            <w:vAlign w:val="top"/>
          </w:tcPr>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color w:val="auto"/>
                <w:spacing w:val="0"/>
                <w:kern w:val="2"/>
                <w:sz w:val="21"/>
                <w:lang w:val="en-US" w:eastAsia="zh-CN" w:bidi="ar-SA"/>
              </w:rPr>
              <w:t>公司对产品、过程和管理体系进行监视和测量，及时采取纠正和预防措施，确保</w:t>
            </w:r>
            <w:r>
              <w:rPr>
                <w:rFonts w:hint="eastAsia" w:cs="Times New Roman"/>
                <w:bCs w:val="0"/>
                <w:color w:val="auto"/>
                <w:spacing w:val="0"/>
                <w:kern w:val="2"/>
                <w:sz w:val="21"/>
                <w:lang w:val="en-US" w:eastAsia="zh-CN" w:bidi="ar-SA"/>
              </w:rPr>
              <w:t>设计开发</w:t>
            </w:r>
            <w:r>
              <w:rPr>
                <w:rFonts w:hint="eastAsia" w:ascii="Times New Roman" w:hAnsi="Times New Roman" w:eastAsia="宋体" w:cs="Times New Roman"/>
                <w:bCs w:val="0"/>
                <w:color w:val="auto"/>
                <w:spacing w:val="0"/>
                <w:kern w:val="2"/>
                <w:sz w:val="21"/>
                <w:lang w:val="en-US" w:eastAsia="zh-CN" w:bidi="ar-SA"/>
              </w:rPr>
              <w:t>和销售服务符合规定要求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1、公司组织各部门策划和实施必要的</w:t>
            </w:r>
            <w:r>
              <w:rPr>
                <w:rFonts w:hint="eastAsia" w:ascii="Times New Roman" w:hAnsi="Times New Roman" w:eastAsia="宋体" w:cs="Times New Roman"/>
                <w:bCs w:val="0"/>
                <w:spacing w:val="0"/>
                <w:kern w:val="2"/>
                <w:sz w:val="21"/>
                <w:lang w:val="en-US" w:eastAsia="zh-CN" w:bidi="ar-SA"/>
              </w:rPr>
              <w:t>监视和测量活动，确保产品、体系和过程的符合性，以持续改进质量管理体系的有效性。</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2、对目标完成情况进行考核，</w:t>
            </w:r>
            <w:r>
              <w:rPr>
                <w:rFonts w:hint="eastAsia" w:eastAsia="宋体" w:cs="Times New Roman"/>
                <w:bCs w:val="0"/>
                <w:spacing w:val="0"/>
                <w:kern w:val="2"/>
                <w:sz w:val="21"/>
                <w:lang w:val="en-US" w:eastAsia="zh-CN" w:bidi="ar-SA"/>
              </w:rPr>
              <w:t>2022年进行了考核，</w:t>
            </w:r>
            <w:r>
              <w:rPr>
                <w:rFonts w:hint="eastAsia" w:ascii="Times New Roman" w:hAnsi="Times New Roman" w:eastAsia="宋体" w:cs="Times New Roman"/>
                <w:bCs w:val="0"/>
                <w:spacing w:val="0"/>
                <w:kern w:val="2"/>
                <w:sz w:val="21"/>
                <w:lang w:val="en-US" w:eastAsia="zh-CN" w:bidi="ar-SA"/>
              </w:rPr>
              <w:t>考核人：刘洪彬</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3、公司的过程和体系的监视和测量主要是通过内审、管理评审、目标考核以及日常工作监督、</w:t>
            </w:r>
            <w:r>
              <w:rPr>
                <w:rFonts w:hint="eastAsia" w:cs="Times New Roman"/>
                <w:bCs w:val="0"/>
                <w:spacing w:val="0"/>
                <w:kern w:val="2"/>
                <w:sz w:val="21"/>
                <w:lang w:val="en-US" w:eastAsia="zh-CN" w:bidi="ar-SA"/>
              </w:rPr>
              <w:t>设计开发产品验收</w:t>
            </w:r>
            <w:r>
              <w:rPr>
                <w:rFonts w:hint="eastAsia" w:ascii="Times New Roman" w:hAnsi="Times New Roman" w:eastAsia="宋体" w:cs="Times New Roman"/>
                <w:bCs w:val="0"/>
                <w:spacing w:val="0"/>
                <w:kern w:val="2"/>
                <w:sz w:val="21"/>
                <w:lang w:val="en-US" w:eastAsia="zh-CN" w:bidi="ar-SA"/>
              </w:rPr>
              <w:t>、顾客满意度测量等的方式完成。</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4、采购人员负责对供方予以评价，对供方实施了监视和测量；销售人员对产品销售过程的监视和测量活动进行了策划和实施，对顾客满意度进行了定期评价和分析；</w:t>
            </w:r>
            <w:r>
              <w:rPr>
                <w:rFonts w:hint="eastAsia" w:eastAsia="宋体" w:cs="Times New Roman"/>
                <w:bCs w:val="0"/>
                <w:spacing w:val="0"/>
                <w:kern w:val="2"/>
                <w:sz w:val="21"/>
                <w:lang w:val="en-US" w:eastAsia="zh-CN" w:bidi="ar-SA"/>
              </w:rPr>
              <w:t>技术</w:t>
            </w:r>
            <w:r>
              <w:rPr>
                <w:rFonts w:hint="eastAsia" w:ascii="Times New Roman" w:hAnsi="Times New Roman" w:eastAsia="宋体" w:cs="Times New Roman"/>
                <w:bCs w:val="0"/>
                <w:spacing w:val="0"/>
                <w:kern w:val="2"/>
                <w:sz w:val="21"/>
                <w:lang w:val="en-US" w:eastAsia="zh-CN" w:bidi="ar-SA"/>
              </w:rPr>
              <w:t>部对</w:t>
            </w:r>
            <w:r>
              <w:rPr>
                <w:rFonts w:hint="eastAsia" w:eastAsia="宋体" w:cs="Times New Roman"/>
                <w:bCs w:val="0"/>
                <w:spacing w:val="0"/>
                <w:kern w:val="2"/>
                <w:sz w:val="21"/>
                <w:lang w:val="en-US" w:eastAsia="zh-CN" w:bidi="ar-SA"/>
              </w:rPr>
              <w:t>技术开发</w:t>
            </w:r>
            <w:r>
              <w:rPr>
                <w:rFonts w:hint="eastAsia" w:ascii="Times New Roman" w:hAnsi="Times New Roman" w:eastAsia="宋体" w:cs="Times New Roman"/>
                <w:bCs w:val="0"/>
                <w:spacing w:val="0"/>
                <w:kern w:val="2"/>
                <w:sz w:val="21"/>
                <w:lang w:val="en-US" w:eastAsia="zh-CN" w:bidi="ar-SA"/>
              </w:rPr>
              <w:t>产品实现各过程进行监督检查、分析与评价。</w:t>
            </w:r>
          </w:p>
          <w:p>
            <w:pPr>
              <w:spacing w:line="400" w:lineRule="exact"/>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5、</w:t>
            </w:r>
            <w:r>
              <w:rPr>
                <w:rFonts w:hint="eastAsia" w:ascii="Times New Roman" w:hAnsi="Times New Roman" w:eastAsia="宋体" w:cs="Times New Roman"/>
                <w:bCs w:val="0"/>
                <w:color w:val="auto"/>
                <w:spacing w:val="0"/>
                <w:kern w:val="2"/>
                <w:sz w:val="21"/>
                <w:lang w:val="en-US" w:eastAsia="zh-CN" w:bidi="ar-SA"/>
              </w:rPr>
              <w:t>提供“</w:t>
            </w:r>
            <w:r>
              <w:rPr>
                <w:rFonts w:hint="eastAsia" w:cs="Times New Roman"/>
                <w:bCs w:val="0"/>
                <w:color w:val="auto"/>
                <w:spacing w:val="0"/>
                <w:kern w:val="2"/>
                <w:sz w:val="21"/>
                <w:lang w:val="en-US" w:eastAsia="zh-CN" w:bidi="ar-SA"/>
              </w:rPr>
              <w:t>办公</w:t>
            </w:r>
            <w:r>
              <w:rPr>
                <w:rFonts w:hint="eastAsia" w:ascii="Times New Roman" w:hAnsi="Times New Roman" w:eastAsia="宋体" w:cs="Times New Roman"/>
                <w:bCs w:val="0"/>
                <w:spacing w:val="0"/>
                <w:kern w:val="2"/>
                <w:sz w:val="21"/>
                <w:lang w:val="en-US" w:eastAsia="zh-CN" w:bidi="ar-SA"/>
              </w:rPr>
              <w:t>环境安全检查记录”，检查项目包括：水、电、气和原材料消耗是否在控制范围，有无跑冒滴漏现象；消防设施是否完好，通道是否畅通；电器设施是否完好，日常操作是否符合程序规定，有无安全隐患；应急预案是否培训，措施及设施是否准备到位等，抽查2022年6月、2022年8月、2022年10月检查结果均合格，检查</w:t>
            </w:r>
            <w:r>
              <w:rPr>
                <w:rFonts w:hint="eastAsia" w:ascii="Times New Roman" w:hAnsi="Times New Roman" w:eastAsia="宋体" w:cs="Times New Roman"/>
                <w:bCs w:val="0"/>
                <w:spacing w:val="0"/>
                <w:kern w:val="2"/>
                <w:sz w:val="21"/>
                <w:lang w:val="en-US" w:eastAsia="zh-CN" w:bidi="ar-SA"/>
              </w:rPr>
              <w:t>人宋丽丽。</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6、</w:t>
            </w:r>
            <w:r>
              <w:rPr>
                <w:rFonts w:hint="eastAsia" w:cs="Times New Roman"/>
                <w:bCs w:val="0"/>
                <w:spacing w:val="0"/>
                <w:kern w:val="2"/>
                <w:sz w:val="21"/>
                <w:lang w:val="en-US" w:eastAsia="zh-CN" w:bidi="ar-SA"/>
              </w:rPr>
              <w:t>抽</w:t>
            </w:r>
            <w:r>
              <w:rPr>
                <w:rFonts w:hint="eastAsia" w:ascii="Times New Roman" w:hAnsi="Times New Roman" w:eastAsia="宋体" w:cs="Times New Roman"/>
                <w:bCs w:val="0"/>
                <w:spacing w:val="0"/>
                <w:kern w:val="2"/>
                <w:sz w:val="21"/>
                <w:lang w:val="en-US" w:eastAsia="zh-CN" w:bidi="ar-SA"/>
              </w:rPr>
              <w:t>查员工体检报告，2022.</w:t>
            </w:r>
            <w:r>
              <w:rPr>
                <w:rFonts w:hint="eastAsia" w:cs="Times New Roman"/>
                <w:bCs w:val="0"/>
                <w:spacing w:val="0"/>
                <w:kern w:val="2"/>
                <w:sz w:val="21"/>
                <w:lang w:val="en-US" w:eastAsia="zh-CN" w:bidi="ar-SA"/>
              </w:rPr>
              <w:t>5</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6</w:t>
            </w:r>
            <w:r>
              <w:rPr>
                <w:rFonts w:hint="eastAsia" w:ascii="Times New Roman" w:hAnsi="Times New Roman" w:eastAsia="宋体" w:cs="Times New Roman"/>
                <w:bCs w:val="0"/>
                <w:spacing w:val="0"/>
                <w:kern w:val="2"/>
                <w:sz w:val="21"/>
                <w:lang w:val="en-US" w:eastAsia="zh-CN" w:bidi="ar-SA"/>
              </w:rPr>
              <w:t>日</w:t>
            </w:r>
            <w:r>
              <w:rPr>
                <w:rFonts w:hint="eastAsia"/>
                <w:lang w:val="en-US" w:eastAsia="zh-CN"/>
              </w:rPr>
              <w:t>刘仁军</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民航总医院体检中心</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2022.8.12</w:t>
            </w:r>
            <w:r>
              <w:rPr>
                <w:rFonts w:hint="eastAsia"/>
                <w:lang w:val="en-US" w:eastAsia="zh-CN"/>
              </w:rPr>
              <w:t>林霞</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北京华康健康体检中心</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2022.6.16</w:t>
            </w:r>
            <w:r>
              <w:rPr>
                <w:rFonts w:hint="eastAsia"/>
              </w:rPr>
              <w:t>王晓明</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正定县第一人民医院</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7、</w:t>
            </w:r>
            <w:r>
              <w:rPr>
                <w:rFonts w:hint="eastAsia" w:cs="Times New Roman"/>
                <w:bCs w:val="0"/>
                <w:spacing w:val="0"/>
                <w:kern w:val="2"/>
                <w:sz w:val="21"/>
                <w:lang w:val="en-US" w:eastAsia="zh-CN" w:bidi="ar-SA"/>
              </w:rPr>
              <w:t>办公</w:t>
            </w:r>
            <w:r>
              <w:rPr>
                <w:rFonts w:hint="eastAsia" w:ascii="Times New Roman" w:hAnsi="Times New Roman" w:eastAsia="宋体" w:cs="Times New Roman"/>
                <w:bCs w:val="0"/>
                <w:spacing w:val="0"/>
                <w:kern w:val="2"/>
                <w:sz w:val="21"/>
                <w:lang w:val="en-US" w:eastAsia="zh-CN" w:bidi="ar-SA"/>
              </w:rPr>
              <w:t>现场基本无噪声和废气，所以没有进行环境监测和工作场所职业病危害因素检测。</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8、无需环境和职业健康安全监测设备。</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公司经营能遵守相关的法律法规，没有违反环境、职业健康安全法律法规现象。</w:t>
            </w:r>
          </w:p>
        </w:tc>
        <w:tc>
          <w:tcPr>
            <w:tcW w:w="1585"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kern w:val="2"/>
                <w:sz w:val="21"/>
                <w:szCs w:val="21"/>
                <w:lang w:val="en-US" w:eastAsia="zh-CN" w:bidi="ar-S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00000"/>
    <w:rsid w:val="01D8148B"/>
    <w:rsid w:val="10A76D95"/>
    <w:rsid w:val="14E04D86"/>
    <w:rsid w:val="16BC7E7D"/>
    <w:rsid w:val="1F2C09E5"/>
    <w:rsid w:val="24697B84"/>
    <w:rsid w:val="27603B95"/>
    <w:rsid w:val="28207393"/>
    <w:rsid w:val="2B0514B0"/>
    <w:rsid w:val="30AB17BD"/>
    <w:rsid w:val="3275288D"/>
    <w:rsid w:val="36313A92"/>
    <w:rsid w:val="44DC50C3"/>
    <w:rsid w:val="459D1975"/>
    <w:rsid w:val="4A9D3FE0"/>
    <w:rsid w:val="4CEE252B"/>
    <w:rsid w:val="4E3D002E"/>
    <w:rsid w:val="58A50EE9"/>
    <w:rsid w:val="5B1466B5"/>
    <w:rsid w:val="5BC414F3"/>
    <w:rsid w:val="62030993"/>
    <w:rsid w:val="65FB1340"/>
    <w:rsid w:val="66263F98"/>
    <w:rsid w:val="6ED125BD"/>
    <w:rsid w:val="7F010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2950</Words>
  <Characters>3193</Characters>
  <Lines>1</Lines>
  <Paragraphs>1</Paragraphs>
  <TotalTime>16</TotalTime>
  <ScaleCrop>false</ScaleCrop>
  <LinksUpToDate>false</LinksUpToDate>
  <CharactersWithSpaces>3238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2023-02-21T08:07:28Z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