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1206-2022-EO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重庆星帆电力机械有限公司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重庆星帆电力机械有限公司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重庆市大足区龙水工业园区</w:t>
            </w:r>
            <w:bookmarkEnd w:id="6"/>
          </w:p>
        </w:tc>
        <w:tc>
          <w:tcPr>
            <w:tcW w:w="1242" w:type="dxa"/>
            <w:vMerge w:val="restart"/>
            <w:vAlign w:val="center"/>
          </w:tcPr>
          <w:p>
            <w:r>
              <w:rPr>
                <w:rFonts w:hint="eastAsia"/>
              </w:rPr>
              <w:t>邮编</w:t>
            </w:r>
          </w:p>
        </w:tc>
        <w:tc>
          <w:tcPr>
            <w:tcW w:w="1771" w:type="dxa"/>
          </w:tcPr>
          <w:p>
            <w:bookmarkStart w:id="7" w:name="注册邮编"/>
            <w:r>
              <w:t>402368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重庆市大足区龙水工业园区</w:t>
            </w:r>
            <w:bookmarkEnd w:id="8"/>
          </w:p>
        </w:tc>
        <w:tc>
          <w:tcPr>
            <w:tcW w:w="1242" w:type="dxa"/>
            <w:vMerge w:val="continue"/>
            <w:vAlign w:val="center"/>
          </w:tcPr>
          <w:p/>
        </w:tc>
        <w:tc>
          <w:tcPr>
            <w:tcW w:w="1771" w:type="dxa"/>
          </w:tcPr>
          <w:p>
            <w:bookmarkStart w:id="9" w:name="办公邮编"/>
            <w:r>
              <w:t>402368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王源</w:t>
            </w:r>
            <w:bookmarkEnd w:id="10"/>
          </w:p>
        </w:tc>
        <w:tc>
          <w:tcPr>
            <w:tcW w:w="1313" w:type="dxa"/>
            <w:vAlign w:val="center"/>
          </w:tcPr>
          <w:p>
            <w:r>
              <w:rPr>
                <w:rFonts w:hint="eastAsia"/>
              </w:rPr>
              <w:t>电话.</w:t>
            </w:r>
          </w:p>
        </w:tc>
        <w:tc>
          <w:tcPr>
            <w:tcW w:w="2180" w:type="dxa"/>
            <w:vAlign w:val="center"/>
          </w:tcPr>
          <w:p>
            <w:bookmarkStart w:id="11" w:name="联系人电话"/>
            <w:r>
              <w:t>023-43452955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王源</w:t>
            </w:r>
            <w:bookmarkEnd w:id="13"/>
          </w:p>
        </w:tc>
        <w:tc>
          <w:tcPr>
            <w:tcW w:w="1313" w:type="dxa"/>
            <w:vAlign w:val="center"/>
          </w:tcPr>
          <w:p>
            <w:r>
              <w:rPr>
                <w:rFonts w:hint="eastAsia"/>
              </w:rPr>
              <w:t>管理者代表</w:t>
            </w:r>
          </w:p>
        </w:tc>
        <w:tc>
          <w:tcPr>
            <w:tcW w:w="2180" w:type="dxa"/>
          </w:tcPr>
          <w:p>
            <w:bookmarkStart w:id="14" w:name="管理者代表"/>
            <w:r>
              <w:t>王源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销售流程：</w:t>
            </w:r>
            <w:r>
              <w:rPr>
                <w:rFonts w:hint="eastAsia" w:ascii="宋体" w:hAnsi="宋体" w:eastAsia="宋体" w:cs="宋体"/>
                <w:bCs/>
                <w:color w:val="auto"/>
                <w:sz w:val="21"/>
                <w:szCs w:val="21"/>
                <w:highlight w:val="none"/>
              </w:rPr>
              <w:t>联系客户—业务洽谈—合同签订—产品销售—客户签收—售后服务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2022年11月12日 上午至2022年11月12日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cs="宋体"/>
                <w:color w:val="000000"/>
                <w:kern w:val="0"/>
                <w:szCs w:val="21"/>
              </w:rPr>
              <w:t>重庆市大足区龙水工业园区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E：电力铁附件、输电线路铁塔、电力金具、建筑钢结构制品、抗震支架的销售所涉及场所的相关环境管理活动</w:t>
            </w:r>
          </w:p>
          <w:p>
            <w:r>
              <w:t>O：电力铁附件、输电线路铁塔、电力金具、建筑钢结构制品、抗震支架的销售所涉及场所的相关职业健康安全管理活动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lang w:val="en-US" w:eastAsia="zh-CN"/>
              </w:rPr>
              <w:t>/</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46"/>
        <w:gridCol w:w="1186"/>
        <w:gridCol w:w="958"/>
        <w:gridCol w:w="3712"/>
        <w:gridCol w:w="97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46" w:type="dxa"/>
            <w:shd w:val="clear" w:color="auto" w:fill="F3F3F3"/>
            <w:tcMar>
              <w:left w:w="57" w:type="dxa"/>
              <w:right w:w="57" w:type="dxa"/>
            </w:tcMar>
          </w:tcPr>
          <w:p>
            <w:r>
              <w:rPr>
                <w:rFonts w:hint="eastAsia"/>
              </w:rPr>
              <w:t>组织名称及注册场所地址</w:t>
            </w:r>
          </w:p>
        </w:tc>
        <w:tc>
          <w:tcPr>
            <w:tcW w:w="1186" w:type="dxa"/>
            <w:shd w:val="clear" w:color="auto" w:fill="F3F3F3"/>
            <w:tcMar>
              <w:left w:w="57" w:type="dxa"/>
              <w:right w:w="57" w:type="dxa"/>
            </w:tcMar>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3712" w:type="dxa"/>
            <w:shd w:val="clear" w:color="auto" w:fill="F3F3F3"/>
            <w:tcMar>
              <w:left w:w="57" w:type="dxa"/>
              <w:right w:w="57" w:type="dxa"/>
            </w:tcMar>
          </w:tcPr>
          <w:p>
            <w:r>
              <w:rPr>
                <w:rFonts w:hint="eastAsia"/>
              </w:rPr>
              <w:t>审核范围（产品和过程）</w:t>
            </w:r>
          </w:p>
          <w:p/>
          <w:p/>
        </w:tc>
        <w:tc>
          <w:tcPr>
            <w:tcW w:w="97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46"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重庆星帆电力机械有限公司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重庆市大足区龙水工业园区</w:t>
            </w:r>
          </w:p>
        </w:tc>
        <w:tc>
          <w:tcPr>
            <w:tcW w:w="1186"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重庆市大足区龙水工业园区</w:t>
            </w:r>
          </w:p>
        </w:tc>
        <w:tc>
          <w:tcPr>
            <w:tcW w:w="958"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18人</w:t>
            </w:r>
          </w:p>
        </w:tc>
        <w:tc>
          <w:tcPr>
            <w:tcW w:w="3712" w:type="dxa"/>
            <w:vAlign w:val="center"/>
          </w:tcPr>
          <w:p>
            <w:pPr>
              <w:widowControl/>
              <w:spacing w:line="400" w:lineRule="exact"/>
              <w:jc w:val="left"/>
              <w:rPr>
                <w:rFonts w:ascii="宋体" w:hAnsi="宋体" w:eastAsia="宋体" w:cs="Times New Roman"/>
                <w:b/>
                <w:color w:val="000000"/>
                <w:kern w:val="2"/>
                <w:sz w:val="21"/>
                <w:szCs w:val="21"/>
                <w:lang w:val="en-US" w:eastAsia="ja-JP" w:bidi="ar-SA"/>
              </w:rPr>
            </w:pPr>
            <w:r>
              <w:rPr>
                <w:rFonts w:ascii="宋体" w:hAnsi="宋体" w:cs="宋体"/>
                <w:color w:val="000000"/>
                <w:kern w:val="0"/>
                <w:szCs w:val="21"/>
              </w:rPr>
              <w:t>电力铁附件、输电线路铁塔、电力金具、建筑钢结构制品、抗震支架的销售所涉及场所的相关环境管理活动</w:t>
            </w:r>
          </w:p>
        </w:tc>
        <w:tc>
          <w:tcPr>
            <w:tcW w:w="975" w:type="dxa"/>
            <w:vAlign w:val="top"/>
          </w:tcPr>
          <w:p>
            <w:pPr>
              <w:spacing w:before="40" w:after="40"/>
              <w:rPr>
                <w:rFonts w:ascii="宋体" w:hAnsi="宋体"/>
                <w:bCs/>
                <w:szCs w:val="21"/>
              </w:rPr>
            </w:pPr>
            <w:r>
              <w:rPr>
                <w:rFonts w:hint="eastAsia" w:ascii="宋体" w:hAnsi="宋体"/>
                <w:bCs/>
                <w:szCs w:val="21"/>
              </w:rPr>
              <w:t>GB/T24001-2016</w:t>
            </w:r>
          </w:p>
          <w:p>
            <w:pPr>
              <w:rPr>
                <w:rFonts w:ascii="Times New Roman" w:hAnsi="Times New Roman" w:eastAsia="黑体" w:cs="Times New Roman"/>
                <w:bCs/>
                <w:kern w:val="2"/>
                <w:sz w:val="21"/>
                <w:szCs w:val="21"/>
                <w:lang w:val="en-US" w:eastAsia="ja-JP" w:bidi="ar-SA"/>
              </w:rPr>
            </w:pPr>
          </w:p>
        </w:tc>
        <w:tc>
          <w:tcPr>
            <w:tcW w:w="668" w:type="dxa"/>
            <w:shd w:val="clear" w:color="auto" w:fill="FFFFFF"/>
            <w:vAlign w:val="top"/>
          </w:tcPr>
          <w:p>
            <w:pPr>
              <w:rPr>
                <w:rFonts w:eastAsia="黑体"/>
                <w:szCs w:val="21"/>
              </w:rPr>
            </w:pPr>
            <w:r>
              <w:rPr>
                <w:rFonts w:hint="eastAsia" w:ascii="宋体" w:hAnsi="宋体" w:cs="宋体"/>
                <w:szCs w:val="21"/>
              </w:rPr>
              <w:t>■</w:t>
            </w:r>
          </w:p>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46"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重庆星帆电力机械有限公司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重庆市大足区龙水工业园区</w:t>
            </w:r>
          </w:p>
        </w:tc>
        <w:tc>
          <w:tcPr>
            <w:tcW w:w="1186"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重庆市大足区龙水工业园区</w:t>
            </w:r>
          </w:p>
        </w:tc>
        <w:tc>
          <w:tcPr>
            <w:tcW w:w="958"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18人</w:t>
            </w:r>
          </w:p>
        </w:tc>
        <w:tc>
          <w:tcPr>
            <w:tcW w:w="3712" w:type="dxa"/>
            <w:vAlign w:val="center"/>
          </w:tcPr>
          <w:p>
            <w:pPr>
              <w:spacing w:line="400" w:lineRule="exact"/>
              <w:rPr>
                <w:rFonts w:ascii="宋体" w:hAnsi="宋体" w:eastAsia="宋体" w:cs="Times New Roman"/>
                <w:b/>
                <w:color w:val="000000"/>
                <w:kern w:val="2"/>
                <w:sz w:val="21"/>
                <w:szCs w:val="21"/>
                <w:lang w:val="en-US" w:eastAsia="ja-JP" w:bidi="ar-SA"/>
              </w:rPr>
            </w:pPr>
            <w:r>
              <w:rPr>
                <w:rFonts w:ascii="宋体" w:hAnsi="宋体" w:cs="宋体"/>
                <w:color w:val="000000"/>
                <w:kern w:val="0"/>
                <w:szCs w:val="21"/>
              </w:rPr>
              <w:t>电力铁附件、输电线路铁塔、电力金具、建筑钢结构制品、抗震支架的销售所涉及场所的相关职业健康安全管理活动</w:t>
            </w:r>
          </w:p>
        </w:tc>
        <w:tc>
          <w:tcPr>
            <w:tcW w:w="975"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eastAsia="黑体"/>
                    <w:szCs w:val="21"/>
                  </w:rPr>
                </w:pP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46" w:type="dxa"/>
            <w:vAlign w:val="center"/>
          </w:tcPr>
          <w:p>
            <w:pPr>
              <w:rPr>
                <w:lang w:eastAsia="ja-JP"/>
              </w:rPr>
            </w:pPr>
          </w:p>
        </w:tc>
        <w:tc>
          <w:tcPr>
            <w:tcW w:w="1186" w:type="dxa"/>
            <w:vAlign w:val="center"/>
          </w:tcPr>
          <w:p>
            <w:pPr>
              <w:rPr>
                <w:lang w:eastAsia="ja-JP"/>
              </w:rPr>
            </w:pPr>
          </w:p>
        </w:tc>
        <w:tc>
          <w:tcPr>
            <w:tcW w:w="958" w:type="dxa"/>
            <w:vAlign w:val="center"/>
          </w:tcPr>
          <w:p>
            <w:pPr>
              <w:rPr>
                <w:lang w:eastAsia="ja-JP"/>
              </w:rPr>
            </w:pPr>
          </w:p>
        </w:tc>
        <w:tc>
          <w:tcPr>
            <w:tcW w:w="3712" w:type="dxa"/>
            <w:vAlign w:val="center"/>
          </w:tcPr>
          <w:p>
            <w:pPr>
              <w:rPr>
                <w:lang w:eastAsia="ja-JP"/>
              </w:rPr>
            </w:pPr>
          </w:p>
        </w:tc>
        <w:tc>
          <w:tcPr>
            <w:tcW w:w="97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46" w:type="dxa"/>
            <w:vAlign w:val="center"/>
          </w:tcPr>
          <w:p>
            <w:pPr>
              <w:rPr>
                <w:lang w:eastAsia="ja-JP"/>
              </w:rPr>
            </w:pPr>
          </w:p>
        </w:tc>
        <w:tc>
          <w:tcPr>
            <w:tcW w:w="1186" w:type="dxa"/>
            <w:vAlign w:val="center"/>
          </w:tcPr>
          <w:p>
            <w:pPr>
              <w:rPr>
                <w:lang w:eastAsia="ja-JP"/>
              </w:rPr>
            </w:pPr>
          </w:p>
        </w:tc>
        <w:tc>
          <w:tcPr>
            <w:tcW w:w="958" w:type="dxa"/>
            <w:vAlign w:val="center"/>
          </w:tcPr>
          <w:p>
            <w:pPr>
              <w:rPr>
                <w:lang w:eastAsia="ja-JP"/>
              </w:rPr>
            </w:pPr>
          </w:p>
        </w:tc>
        <w:tc>
          <w:tcPr>
            <w:tcW w:w="3712" w:type="dxa"/>
            <w:vAlign w:val="center"/>
          </w:tcPr>
          <w:p>
            <w:pPr>
              <w:rPr>
                <w:lang w:eastAsia="ja-JP"/>
              </w:rPr>
            </w:pPr>
          </w:p>
        </w:tc>
        <w:tc>
          <w:tcPr>
            <w:tcW w:w="97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46" w:type="dxa"/>
            <w:vAlign w:val="center"/>
          </w:tcPr>
          <w:p>
            <w:pPr>
              <w:rPr>
                <w:lang w:eastAsia="ja-JP"/>
              </w:rPr>
            </w:pPr>
          </w:p>
        </w:tc>
        <w:tc>
          <w:tcPr>
            <w:tcW w:w="1186" w:type="dxa"/>
            <w:vAlign w:val="center"/>
          </w:tcPr>
          <w:p>
            <w:pPr>
              <w:rPr>
                <w:lang w:eastAsia="ja-JP"/>
              </w:rPr>
            </w:pPr>
          </w:p>
        </w:tc>
        <w:tc>
          <w:tcPr>
            <w:tcW w:w="958" w:type="dxa"/>
            <w:vAlign w:val="center"/>
          </w:tcPr>
          <w:p>
            <w:pPr>
              <w:rPr>
                <w:lang w:eastAsia="ja-JP"/>
              </w:rPr>
            </w:pPr>
          </w:p>
        </w:tc>
        <w:tc>
          <w:tcPr>
            <w:tcW w:w="3712" w:type="dxa"/>
            <w:vAlign w:val="center"/>
          </w:tcPr>
          <w:p>
            <w:pPr>
              <w:rPr>
                <w:lang w:eastAsia="ja-JP"/>
              </w:rPr>
            </w:pPr>
          </w:p>
        </w:tc>
        <w:tc>
          <w:tcPr>
            <w:tcW w:w="97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2021-N1EMS-3093566</w:t>
            </w:r>
          </w:p>
          <w:p>
            <w:r>
              <w:t>2022-N1OHSMS-3093566</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868"/>
              </w:tabs>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电力铁附件、输电线路铁塔、电力金具、建筑钢结构制品、抗震支架的销售所涉及场所的相关环境管理活动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电力铁附件、输电线路铁塔、电力金具、建筑钢结构制品、抗震支架的销售所涉及场所的相关职业健康安全管理活动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340360</wp:posOffset>
                  </wp:positionH>
                  <wp:positionV relativeFrom="paragraph">
                    <wp:posOffset>89535</wp:posOffset>
                  </wp:positionV>
                  <wp:extent cx="696595" cy="351155"/>
                  <wp:effectExtent l="0" t="0" r="1905" b="444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696595" cy="3511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color w:val="000000"/>
                <w:szCs w:val="21"/>
                <w:lang w:val="en-US" w:eastAsia="zh-CN"/>
              </w:rPr>
              <w:t>2022年11月12日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 xml:space="preserve"> </w:t>
            </w:r>
            <w:r>
              <w:rPr>
                <w:rFonts w:hint="eastAsia" w:ascii="宋体" w:hAnsi="宋体" w:eastAsia="宋体" w:cs="宋体"/>
                <w:highlight w:val="none"/>
              </w:rPr>
              <w:t>■</w:t>
            </w:r>
            <w:r>
              <w:rPr>
                <w:rFonts w:hint="eastAsia"/>
                <w:highlight w:val="none"/>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□文化 □社会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□文化  □知识 </w:t>
                  </w:r>
                  <w:r>
                    <w:rPr>
                      <w:rFonts w:hint="eastAsia"/>
                      <w:highlight w:val="none"/>
                      <w:lang w:eastAsia="zh-CN"/>
                    </w:rPr>
                    <w:t>■</w:t>
                  </w:r>
                  <w:r>
                    <w:rPr>
                      <w:rFonts w:hint="eastAsia"/>
                      <w:highlight w:val="none"/>
                    </w:rPr>
                    <w:t xml:space="preserve">绩效 </w:t>
                  </w:r>
                  <w:r>
                    <w:rPr>
                      <w:rFonts w:hint="eastAsia"/>
                      <w:highlight w:val="none"/>
                      <w:lang w:eastAsia="zh-CN"/>
                    </w:rPr>
                    <w:t>□工艺</w:t>
                  </w:r>
                  <w:r>
                    <w:rPr>
                      <w:rFonts w:hint="eastAsia"/>
                      <w:highlight w:val="none"/>
                    </w:rPr>
                    <w:t xml:space="preserve"> □设备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rPr>
                    <w:t>□</w:t>
                  </w:r>
                  <w:r>
                    <w:rPr>
                      <w:highlight w:val="none"/>
                    </w:rPr>
                    <w:t>活动、产品和服务</w:t>
                  </w:r>
                  <w:r>
                    <w:rPr>
                      <w:rFonts w:hint="eastAsia"/>
                      <w:highlight w:val="none"/>
                    </w:rPr>
                    <w:t xml:space="preserve"> □</w:t>
                  </w:r>
                  <w:r>
                    <w:rPr>
                      <w:highlight w:val="none"/>
                    </w:rPr>
                    <w:t>战略方向</w:t>
                  </w:r>
                  <w:r>
                    <w:rPr>
                      <w:rFonts w:hint="eastAsia"/>
                      <w:highlight w:val="none"/>
                    </w:rPr>
                    <w:t xml:space="preserve"> □其他</w:t>
                  </w:r>
                </w:p>
              </w:tc>
            </w:tr>
          </w:tbl>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eastAsia="宋体"/>
                      <w:highlight w:val="none"/>
                      <w:lang w:eastAsia="zh-CN"/>
                    </w:rPr>
                  </w:pPr>
                  <w:r>
                    <w:rPr>
                      <w:rFonts w:hint="eastAsia"/>
                      <w:highlight w:val="none"/>
                      <w:lang w:eastAsia="zh-CN"/>
                    </w:rPr>
                    <w:t>■社区</w:t>
                  </w:r>
                </w:p>
              </w:tc>
              <w:tc>
                <w:tcPr>
                  <w:tcW w:w="6912" w:type="dxa"/>
                </w:tcPr>
                <w:p>
                  <w:pPr>
                    <w:shd w:val="clear" w:color="auto" w:fill="EBF1DE" w:themeFill="accent3" w:themeFillTint="32"/>
                    <w:rPr>
                      <w:highlight w:val="none"/>
                    </w:rPr>
                  </w:pPr>
                  <w:r>
                    <w:rPr>
                      <w:rFonts w:hint="eastAsia"/>
                      <w:highlight w:val="none"/>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spacing w:before="40" w:after="40"/>
              <w:rPr>
                <w:highlight w:val="none"/>
              </w:rPr>
            </w:pPr>
            <w:r>
              <w:rPr>
                <w:rFonts w:hint="eastAsia"/>
                <w:highlight w:val="none"/>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highlight w:val="none"/>
              </w:rPr>
              <w:t>已将环境管理体系要求融入到其各项业务过程中，包括：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□生产 □检验 </w:t>
            </w:r>
            <w:r>
              <w:rPr>
                <w:rFonts w:hint="eastAsia" w:ascii="宋体" w:hAnsi="宋体" w:cs="宋体"/>
                <w:highlight w:val="none"/>
                <w:lang w:eastAsia="zh-CN"/>
              </w:rPr>
              <w:t xml:space="preserve">■仓库管理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达标排放 </w:t>
            </w:r>
            <w:r>
              <w:rPr>
                <w:rFonts w:hint="eastAsia"/>
                <w:highlight w:val="none"/>
                <w:lang w:eastAsia="zh-CN"/>
              </w:rPr>
              <w:t>■</w:t>
            </w:r>
            <w:r>
              <w:rPr>
                <w:rFonts w:hint="eastAsia"/>
                <w:highlight w:val="none"/>
              </w:rPr>
              <w:t xml:space="preserve">消防控制 □危化品管理 □特种设备管理 </w:t>
            </w:r>
          </w:p>
          <w:p>
            <w:pPr>
              <w:shd w:val="clear" w:color="auto" w:fill="EBF1DE" w:themeFill="accent3" w:themeFillTint="32"/>
              <w:spacing w:before="40" w:after="40"/>
              <w:rPr>
                <w:highlight w:val="none"/>
              </w:rPr>
            </w:pPr>
            <w:r>
              <w:rPr>
                <w:rFonts w:hint="eastAsia"/>
                <w:highlight w:val="none"/>
              </w:rPr>
              <w:t>□环评三同时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□危险废物处置 □消防检测 □生产/服务过程 □环保监测 □产品运输 □设备维修</w:t>
            </w:r>
          </w:p>
          <w:p>
            <w:pPr>
              <w:shd w:val="clear" w:color="auto" w:fill="EBF1DE" w:themeFill="accent3" w:themeFillTint="32"/>
              <w:spacing w:before="40" w:after="40"/>
              <w:rPr>
                <w:highlight w:val="none"/>
              </w:rPr>
            </w:pPr>
            <w:r>
              <w:rPr>
                <w:rFonts w:hint="eastAsia"/>
                <w:highlight w:val="none"/>
              </w:rPr>
              <w:t>□人员培训 □其他</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lang w:val="en-GB"/>
              </w:rPr>
              <w:t>组织通过</w:t>
            </w:r>
            <w:r>
              <w:rPr>
                <w:rFonts w:hint="eastAsia"/>
                <w:highlight w:val="none"/>
              </w:rPr>
              <w:t>环境</w:t>
            </w:r>
            <w:r>
              <w:rPr>
                <w:rFonts w:hint="eastAsia"/>
                <w:highlight w:val="none"/>
                <w:lang w:val="en-GB"/>
              </w:rPr>
              <w:t>目标的建立、实施、</w:t>
            </w:r>
            <w:r>
              <w:rPr>
                <w:rFonts w:hint="eastAsia"/>
                <w:highlight w:val="none"/>
              </w:rPr>
              <w:t>相关方反馈</w:t>
            </w:r>
            <w:r>
              <w:rPr>
                <w:rFonts w:hint="eastAsia"/>
                <w:highlight w:val="none"/>
                <w:lang w:val="en-GB"/>
              </w:rPr>
              <w:t>、内审和管理评审等方式，充分地</w:t>
            </w:r>
            <w:r>
              <w:rPr>
                <w:rFonts w:hint="eastAsia"/>
                <w:highlight w:val="none"/>
              </w:rPr>
              <w:t>评审，管理及</w:t>
            </w:r>
            <w:r>
              <w:rPr>
                <w:rFonts w:hint="eastAsia"/>
                <w:highlight w:val="none"/>
                <w:lang w:val="en-GB"/>
              </w:rPr>
              <w:t>控制这些</w:t>
            </w:r>
            <w:r>
              <w:rPr>
                <w:rFonts w:hint="eastAsia"/>
                <w:highlight w:val="none"/>
              </w:rPr>
              <w:t>环境管理体系覆盖的过程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 xml:space="preserve">风险机遇的应对 </w:t>
            </w:r>
            <w:r>
              <w:rPr>
                <w:rFonts w:hint="eastAsia"/>
                <w:highlight w:val="none"/>
                <w:lang w:eastAsia="zh-CN"/>
              </w:rPr>
              <w:t>■</w:t>
            </w:r>
            <w:r>
              <w:rPr>
                <w:rFonts w:hint="eastAsia"/>
                <w:highlight w:val="none"/>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pacing w:line="360" w:lineRule="auto"/>
              <w:jc w:val="both"/>
              <w:rPr>
                <w:highlight w:val="none"/>
                <w:u w:val="single"/>
              </w:rPr>
            </w:pPr>
            <w:r>
              <w:rPr>
                <w:rFonts w:hint="eastAsia"/>
                <w:highlight w:val="none"/>
              </w:rPr>
              <w:t>最高管理者制定了文件化的管理体系方针：</w:t>
            </w:r>
            <w:r>
              <w:rPr>
                <w:rFonts w:hint="eastAsia" w:ascii="宋体" w:hAnsi="宋体" w:cs="宋体"/>
                <w:highlight w:val="none"/>
                <w:u w:val="single"/>
                <w:lang w:eastAsia="zh-CN"/>
              </w:rPr>
              <w:t>“预防为主，遵规守法，确保环保安全；以人为本，持续改进，实现平安和谐”</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环境</w:t>
            </w:r>
            <w:r>
              <w:rPr>
                <w:rFonts w:hint="eastAsia"/>
                <w:highlight w:val="none"/>
                <w:lang w:val="en-GB"/>
              </w:rPr>
              <w:t>方针合理恰当并为相应的</w:t>
            </w:r>
            <w:r>
              <w:rPr>
                <w:rFonts w:hint="eastAsia"/>
                <w:highlight w:val="none"/>
              </w:rPr>
              <w:t>环境</w:t>
            </w:r>
            <w:r>
              <w:rPr>
                <w:rFonts w:hint="eastAsia"/>
                <w:highlight w:val="none"/>
                <w:lang w:val="en-GB"/>
              </w:rPr>
              <w:t>目标提供了框架，</w:t>
            </w:r>
            <w:r>
              <w:rPr>
                <w:rFonts w:hint="eastAsia"/>
                <w:highlight w:val="none"/>
              </w:rPr>
              <w:t>包括了</w:t>
            </w:r>
            <w:r>
              <w:rPr>
                <w:rFonts w:hint="eastAsia"/>
                <w:highlight w:val="none"/>
                <w:lang w:val="en-GB"/>
              </w:rPr>
              <w:t>保护环境的承诺、履行其合规义务的承诺，持续改进环境管理体系以提高环境绩效的承诺；</w:t>
            </w:r>
            <w:r>
              <w:rPr>
                <w:rFonts w:hint="eastAsia"/>
                <w:highlight w:val="none"/>
              </w:rPr>
              <w:t>最高</w:t>
            </w:r>
            <w:r>
              <w:rPr>
                <w:rFonts w:hint="eastAsia"/>
                <w:highlight w:val="none"/>
                <w:lang w:val="en-GB"/>
              </w:rPr>
              <w:t>管理层已经宣布了组织的</w:t>
            </w:r>
            <w:r>
              <w:rPr>
                <w:rFonts w:hint="eastAsia"/>
                <w:highlight w:val="none"/>
              </w:rPr>
              <w:t>环境</w:t>
            </w:r>
            <w:r>
              <w:rPr>
                <w:rFonts w:hint="eastAsia"/>
                <w:highlight w:val="none"/>
                <w:lang w:val="en-GB"/>
              </w:rPr>
              <w:t>方针并进行了实施，它使所有员工负起持续改进</w:t>
            </w:r>
            <w:r>
              <w:rPr>
                <w:rFonts w:hint="eastAsia"/>
                <w:highlight w:val="none"/>
              </w:rPr>
              <w:t>环境</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EMS的主管部门是——</w:t>
            </w:r>
            <w:r>
              <w:rPr>
                <w:rFonts w:hint="eastAsia"/>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highlight w:val="none"/>
                    </w:rPr>
                    <w:t>主要的风险或机遇描述</w:t>
                  </w:r>
                </w:p>
              </w:tc>
              <w:tc>
                <w:tcPr>
                  <w:tcW w:w="4396"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固体废弃物</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p>
              </w:tc>
              <w:tc>
                <w:tcPr>
                  <w:tcW w:w="4396"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highlight w:val="none"/>
              </w:rPr>
            </w:pPr>
            <w:r>
              <w:rPr>
                <w:rFonts w:hint="eastAsia"/>
                <w:highlight w:val="none"/>
              </w:rPr>
              <w:t xml:space="preserve">、异常状况和可合理预见的紧急情况。 </w:t>
            </w:r>
          </w:p>
          <w:p>
            <w:pPr>
              <w:shd w:val="clear" w:color="auto" w:fill="EBF1DE" w:themeFill="accent3" w:themeFillTint="32"/>
              <w:rPr>
                <w:highlight w:val="none"/>
              </w:rPr>
            </w:pPr>
            <w:r>
              <w:rPr>
                <w:rFonts w:hint="eastAsia"/>
                <w:highlight w:val="none"/>
              </w:rPr>
              <w:t>制订了文件化的评价重要环境因素的准则，重要环境因素已识别，且对它们的重要性和对环境的影响被定期评审和更新。</w:t>
            </w:r>
          </w:p>
          <w:p>
            <w:pPr>
              <w:shd w:val="clear" w:color="auto" w:fill="EBF1DE" w:themeFill="accent3" w:themeFillTint="32"/>
              <w:rPr>
                <w:highlight w:val="none"/>
              </w:rPr>
            </w:pPr>
            <w:r>
              <w:rPr>
                <w:rFonts w:hint="eastAsia"/>
                <w:highlight w:val="none"/>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 xml:space="preserve">能源消耗  </w:t>
            </w:r>
            <w:r>
              <w:rPr>
                <w:rFonts w:hint="eastAsia"/>
                <w:highlight w:val="none"/>
                <w:lang w:eastAsia="zh-CN"/>
              </w:rPr>
              <w:t>■</w:t>
            </w:r>
            <w:r>
              <w:rPr>
                <w:rFonts w:hint="eastAsia"/>
                <w:highlight w:val="none"/>
              </w:rPr>
              <w:t xml:space="preserve">资源消耗 □废水排放  □废气排放 □粉尘排放  </w:t>
            </w:r>
            <w:r>
              <w:rPr>
                <w:rFonts w:hint="eastAsia"/>
                <w:highlight w:val="none"/>
                <w:lang w:eastAsia="zh-CN"/>
              </w:rPr>
              <w:t>□</w:t>
            </w:r>
            <w:r>
              <w:rPr>
                <w:rFonts w:hint="eastAsia"/>
                <w:highlight w:val="none"/>
              </w:rPr>
              <w:t xml:space="preserve">危废排放 </w:t>
            </w:r>
            <w:r>
              <w:rPr>
                <w:rFonts w:hint="eastAsia"/>
                <w:highlight w:val="none"/>
                <w:lang w:eastAsia="zh-CN"/>
              </w:rPr>
              <w:t>□</w:t>
            </w:r>
            <w:r>
              <w:rPr>
                <w:rFonts w:hint="eastAsia"/>
                <w:highlight w:val="none"/>
              </w:rPr>
              <w:t xml:space="preserve">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与其环境因素有关的</w:t>
            </w:r>
            <w:r>
              <w:rPr>
                <w:rFonts w:hint="eastAsia"/>
                <w:highlight w:val="none"/>
              </w:rPr>
              <w:t>文件化的</w:t>
            </w:r>
            <w:r>
              <w:rPr>
                <w:highlight w:val="none"/>
              </w:rPr>
              <w:t>合规义务；将这些合规义务应用于组织；在建立、实施、保持和持续改进其环境管理体系时必须考虑这些合规义务。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□安全生产许可证编号：</w:t>
            </w:r>
          </w:p>
          <w:p>
            <w:pPr>
              <w:shd w:val="clear" w:color="auto" w:fill="EBF1DE" w:themeFill="accent3" w:themeFillTint="32"/>
              <w:rPr>
                <w:highlight w:val="none"/>
              </w:rPr>
            </w:pPr>
            <w:r>
              <w:rPr>
                <w:rFonts w:hint="eastAsia"/>
                <w:highlight w:val="none"/>
              </w:rPr>
              <w:t>□排污许可证编号：</w:t>
            </w:r>
          </w:p>
          <w:p>
            <w:pPr>
              <w:shd w:val="clear" w:color="auto" w:fill="EBF1DE" w:themeFill="accent3" w:themeFillTint="32"/>
              <w:rPr>
                <w:highlight w:val="none"/>
              </w:rPr>
            </w:pPr>
            <w:r>
              <w:rPr>
                <w:rFonts w:hint="eastAsia"/>
                <w:highlight w:val="none"/>
              </w:rPr>
              <w:t>□环境影响登记表日期：</w:t>
            </w:r>
          </w:p>
          <w:p>
            <w:pPr>
              <w:shd w:val="clear" w:color="auto" w:fill="EBF1DE" w:themeFill="accent3" w:themeFillTint="32"/>
              <w:rPr>
                <w:highlight w:val="none"/>
              </w:rPr>
            </w:pPr>
            <w:r>
              <w:rPr>
                <w:rFonts w:hint="eastAsia"/>
                <w:highlight w:val="none"/>
              </w:rPr>
              <w:t>□环境影响报告表日期：</w:t>
            </w:r>
          </w:p>
          <w:p>
            <w:pPr>
              <w:shd w:val="clear" w:color="auto" w:fill="EBF1DE" w:themeFill="accent3" w:themeFillTint="32"/>
              <w:rPr>
                <w:highlight w:val="none"/>
              </w:rPr>
            </w:pPr>
            <w:r>
              <w:rPr>
                <w:rFonts w:hint="eastAsia"/>
                <w:highlight w:val="none"/>
              </w:rPr>
              <w:t>□环境影响报告书日期：</w:t>
            </w:r>
          </w:p>
          <w:p>
            <w:pPr>
              <w:shd w:val="clear" w:color="auto" w:fill="EBF1DE" w:themeFill="accent3" w:themeFillTint="32"/>
              <w:rPr>
                <w:highlight w:val="none"/>
              </w:rPr>
            </w:pPr>
            <w:r>
              <w:rPr>
                <w:rFonts w:hint="eastAsia"/>
                <w:highlight w:val="none"/>
              </w:rPr>
              <w:t>□消防验收/备案证明日期：</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 xml:space="preserve">组织策划并采取措施管理其重要环境因素、合规义务和识别的风险和机遇； </w:t>
            </w:r>
          </w:p>
          <w:p>
            <w:pPr>
              <w:shd w:val="clear" w:color="auto" w:fill="EBF1DE" w:themeFill="accent3" w:themeFillTint="32"/>
              <w:rPr>
                <w:highlight w:val="none"/>
              </w:rPr>
            </w:pPr>
            <w:r>
              <w:rPr>
                <w:rFonts w:hint="eastAsia"/>
                <w:highlight w:val="none"/>
              </w:rPr>
              <w:t xml:space="preserve">□污水处理  □除尘设备 </w:t>
            </w:r>
            <w:r>
              <w:rPr>
                <w:rFonts w:hint="eastAsia"/>
                <w:highlight w:val="none"/>
                <w:lang w:eastAsia="zh-CN"/>
              </w:rPr>
              <w:t>□</w:t>
            </w:r>
            <w:r>
              <w:rPr>
                <w:rFonts w:hint="eastAsia"/>
                <w:highlight w:val="none"/>
              </w:rPr>
              <w:t xml:space="preserve">设备降噪  </w:t>
            </w:r>
            <w:r>
              <w:rPr>
                <w:rFonts w:hint="eastAsia"/>
                <w:highlight w:val="none"/>
                <w:lang w:eastAsia="zh-CN"/>
              </w:rPr>
              <w:t>□</w:t>
            </w:r>
            <w:r>
              <w:rPr>
                <w:rFonts w:hint="eastAsia"/>
                <w:highlight w:val="none"/>
              </w:rPr>
              <w:t xml:space="preserve">危废合法处置 </w:t>
            </w:r>
            <w:r>
              <w:rPr>
                <w:rFonts w:hint="eastAsia" w:ascii="宋体" w:hAnsi="宋体" w:eastAsia="宋体" w:cs="宋体"/>
                <w:highlight w:val="none"/>
              </w:rPr>
              <w:t>■</w:t>
            </w:r>
            <w:r>
              <w:rPr>
                <w:rFonts w:hint="eastAsia"/>
                <w:highlight w:val="none"/>
              </w:rPr>
              <w:t xml:space="preserve">使用节能设备  □危化品控制 </w:t>
            </w:r>
          </w:p>
          <w:p>
            <w:pPr>
              <w:shd w:val="clear" w:color="auto" w:fill="EBF1DE" w:themeFill="accent3" w:themeFillTint="32"/>
              <w:rPr>
                <w:highlight w:val="none"/>
              </w:rPr>
            </w:pPr>
            <w:r>
              <w:rPr>
                <w:rFonts w:hint="eastAsia"/>
                <w:highlight w:val="none"/>
              </w:rPr>
              <w:t xml:space="preserve">□压力容器检测  </w:t>
            </w:r>
            <w:r>
              <w:rPr>
                <w:rFonts w:hint="eastAsia"/>
                <w:highlight w:val="none"/>
                <w:lang w:eastAsia="zh-CN"/>
              </w:rPr>
              <w:t>■</w:t>
            </w:r>
            <w:r>
              <w:rPr>
                <w:rFonts w:hint="eastAsia"/>
                <w:highlight w:val="none"/>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组织建立了与方针一致的文件化的管理目标。为实现环境总目标而建立的各层级环境目标具体、有针对性、可测量并且可实现。</w:t>
            </w:r>
          </w:p>
          <w:p>
            <w:pPr>
              <w:shd w:val="clear" w:color="auto" w:fill="EBF1DE" w:themeFill="accent3" w:themeFillTint="32"/>
              <w:rPr>
                <w:highlight w:val="none"/>
              </w:rPr>
            </w:pPr>
            <w:r>
              <w:rPr>
                <w:rFonts w:hint="eastAsia"/>
                <w:highlight w:val="none"/>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29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19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szCs w:val="21"/>
                      <w:highlight w:val="none"/>
                    </w:rPr>
                    <w:t>火灾事故为0</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eastAsia="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szCs w:val="21"/>
                      <w:highlight w:val="none"/>
                    </w:rPr>
                    <w:t>固体废弃物处置率</w:t>
                  </w:r>
                  <w:r>
                    <w:rPr>
                      <w:rFonts w:ascii="宋体" w:hAnsi="宋体"/>
                      <w:szCs w:val="21"/>
                      <w:highlight w:val="none"/>
                    </w:rPr>
                    <w:t>100%</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none"/>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ascii="宋体" w:hAnsi="宋体"/>
                      <w:highlight w:val="none"/>
                    </w:rPr>
                  </w:pPr>
                </w:p>
              </w:tc>
            </w:tr>
          </w:tbl>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目标已实现</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组织的资源状况：</w:t>
            </w:r>
            <w:r>
              <w:rPr>
                <w:rFonts w:hint="eastAsia" w:ascii="宋体" w:hAnsi="宋体" w:eastAsia="宋体" w:cs="宋体"/>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宋体" w:hAnsi="宋体" w:eastAsia="宋体" w:cs="宋体"/>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可满足环境管理体系运行；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可基本满足环境管理体系运行，但是还有不足需要补充：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完全不能满足环境管理体系运行，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组织现有人力资源的能力可满足环境管理体系运行；</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□组织现有人力资源的能力可基本环境环境管理体系运行，但是还有不足需要补充：      </w:t>
            </w:r>
          </w:p>
          <w:p>
            <w:pPr>
              <w:shd w:val="clear" w:color="auto" w:fill="EBF1DE" w:themeFill="accent3" w:themeFillTint="32"/>
              <w:rPr>
                <w:highlight w:val="none"/>
              </w:rPr>
            </w:pPr>
            <w:r>
              <w:rPr>
                <w:rFonts w:hint="eastAsia" w:ascii="Times New Roman" w:hAnsi="Times New Roman" w:eastAsia="宋体" w:cs="Times New Roman"/>
                <w:highlight w:val="none"/>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10</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不适用 </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辅助场所：</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高压配电室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低压配电室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空压站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锅炉房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食堂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危化品库  </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危废库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建筑施工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污水处理站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其他</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组织现有基础设施可满足环境管理体系运行；</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□组织现有基础设施可基本满足环境管理体系运行，但是还有不足需要补充：           </w:t>
            </w:r>
          </w:p>
          <w:p>
            <w:pPr>
              <w:shd w:val="clear" w:color="auto" w:fill="EBF1DE" w:themeFill="accent3" w:themeFillTint="32"/>
              <w:rPr>
                <w:highlight w:val="none"/>
                <w:u w:val="single"/>
              </w:rPr>
            </w:pPr>
            <w:r>
              <w:rPr>
                <w:rFonts w:hint="eastAsia" w:ascii="Times New Roman" w:hAnsi="Times New Roman" w:eastAsia="宋体" w:cs="Times New Roman"/>
                <w:highlight w:val="none"/>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环境监测的计量器具有：</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rFonts w:hint="eastAsia" w:eastAsia="宋体"/>
                <w:highlight w:val="none"/>
              </w:rPr>
            </w:pPr>
            <w:r>
              <w:rPr>
                <w:rFonts w:hint="eastAsia" w:eastAsia="宋体"/>
                <w:highlight w:val="none"/>
              </w:rPr>
              <w:t xml:space="preserve">通过 </w:t>
            </w:r>
            <w:r>
              <w:rPr>
                <w:rFonts w:hint="eastAsia" w:eastAsia="宋体"/>
                <w:highlight w:val="none"/>
                <w:lang w:eastAsia="zh-CN"/>
              </w:rPr>
              <w:t>■</w:t>
            </w:r>
            <w:r>
              <w:rPr>
                <w:rFonts w:hint="eastAsia" w:eastAsia="宋体"/>
                <w:highlight w:val="none"/>
              </w:rPr>
              <w:t xml:space="preserve">招聘 </w:t>
            </w:r>
            <w:r>
              <w:rPr>
                <w:rFonts w:hint="eastAsia" w:eastAsia="宋体"/>
                <w:highlight w:val="none"/>
                <w:lang w:eastAsia="zh-CN"/>
              </w:rPr>
              <w:t>□</w:t>
            </w:r>
            <w:r>
              <w:rPr>
                <w:rFonts w:hint="eastAsia" w:eastAsia="宋体"/>
                <w:highlight w:val="none"/>
              </w:rPr>
              <w:t xml:space="preserve">换岗 </w:t>
            </w:r>
            <w:r>
              <w:rPr>
                <w:rFonts w:hint="eastAsia" w:eastAsia="宋体"/>
                <w:highlight w:val="none"/>
                <w:lang w:eastAsia="zh-CN"/>
              </w:rPr>
              <w:t>■</w:t>
            </w:r>
            <w:r>
              <w:rPr>
                <w:rFonts w:hint="eastAsia" w:eastAsia="宋体"/>
                <w:highlight w:val="none"/>
              </w:rPr>
              <w:t xml:space="preserve">培训  </w:t>
            </w:r>
            <w:r>
              <w:rPr>
                <w:rFonts w:hint="eastAsia" w:eastAsia="宋体"/>
                <w:highlight w:val="none"/>
                <w:lang w:eastAsia="zh-CN"/>
              </w:rPr>
              <w:t>■</w:t>
            </w:r>
            <w:r>
              <w:rPr>
                <w:rFonts w:hint="eastAsia" w:eastAsia="宋体"/>
                <w:highlight w:val="none"/>
              </w:rPr>
              <w:t xml:space="preserve">考核   </w:t>
            </w:r>
            <w:r>
              <w:rPr>
                <w:rFonts w:hint="eastAsia" w:eastAsia="宋体"/>
                <w:highlight w:val="none"/>
                <w:lang w:eastAsia="zh-CN"/>
              </w:rPr>
              <w:t>□</w:t>
            </w:r>
            <w:r>
              <w:rPr>
                <w:rFonts w:hint="eastAsia" w:eastAsia="宋体"/>
                <w:highlight w:val="none"/>
              </w:rPr>
              <w:t xml:space="preserve">辅导  </w:t>
            </w:r>
            <w:r>
              <w:rPr>
                <w:rFonts w:hint="eastAsia" w:eastAsia="宋体"/>
                <w:highlight w:val="none"/>
                <w:lang w:eastAsia="zh-CN"/>
              </w:rPr>
              <w:t>□</w:t>
            </w:r>
            <w:r>
              <w:rPr>
                <w:rFonts w:hint="eastAsia" w:eastAsia="宋体"/>
                <w:highlight w:val="none"/>
              </w:rPr>
              <w:t>其他</w:t>
            </w:r>
          </w:p>
          <w:p>
            <w:pPr>
              <w:shd w:val="clear" w:color="auto" w:fill="EBF1DE" w:themeFill="accent3" w:themeFillTint="32"/>
              <w:rPr>
                <w:highlight w:val="none"/>
              </w:rPr>
            </w:pPr>
            <w:r>
              <w:rPr>
                <w:rFonts w:hint="eastAsia"/>
                <w:highlight w:val="none"/>
              </w:rPr>
              <w:t>对国家规定持证上岗的人员资质进行了有效的管理。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通过</w:t>
            </w:r>
            <w:r>
              <w:rPr>
                <w:rFonts w:hint="eastAsia" w:ascii="Wingdings" w:hAnsi="Wingdings"/>
                <w:highlight w:val="none"/>
                <w:lang w:eastAsia="zh-CN"/>
              </w:rPr>
              <w:t>■</w:t>
            </w:r>
            <w:r>
              <w:rPr>
                <w:rFonts w:hint="eastAsia"/>
                <w:highlight w:val="none"/>
              </w:rPr>
              <w:t xml:space="preserve">会议传达 </w:t>
            </w:r>
            <w:r>
              <w:rPr>
                <w:rFonts w:hint="eastAsia" w:ascii="Wingdings" w:hAnsi="Wingdings"/>
                <w:highlight w:val="none"/>
                <w:lang w:eastAsia="zh-CN"/>
              </w:rPr>
              <w:t>■</w:t>
            </w:r>
            <w:r>
              <w:rPr>
                <w:rFonts w:hint="eastAsia"/>
                <w:highlight w:val="none"/>
              </w:rPr>
              <w:t xml:space="preserve">标语  </w:t>
            </w:r>
            <w:r>
              <w:rPr>
                <w:rFonts w:hint="eastAsia" w:ascii="Wingdings" w:hAnsi="Wingdings"/>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看板   </w:t>
            </w:r>
            <w:r>
              <w:rPr>
                <w:rFonts w:hint="eastAsia" w:ascii="Wingdings" w:hAnsi="Wingdings"/>
                <w:highlight w:val="none"/>
                <w:lang w:eastAsia="zh-CN"/>
              </w:rPr>
              <w:t>■</w:t>
            </w:r>
            <w:r>
              <w:rPr>
                <w:rFonts w:hint="eastAsia"/>
                <w:highlight w:val="none"/>
              </w:rPr>
              <w:t xml:space="preserve">局域网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组织已确定与环境管理体系相关的内部和外部沟通。</w:t>
            </w:r>
          </w:p>
          <w:p>
            <w:pPr>
              <w:shd w:val="clear" w:color="auto" w:fill="EBF1DE" w:themeFill="accent3" w:themeFillTint="32"/>
              <w:rPr>
                <w:rFonts w:hint="eastAsia" w:eastAsia="宋体"/>
                <w:highlight w:val="none"/>
              </w:rPr>
            </w:pPr>
            <w:r>
              <w:rPr>
                <w:rFonts w:hint="eastAsia" w:eastAsia="宋体"/>
                <w:highlight w:val="none"/>
              </w:rPr>
              <w:t>内部沟通方式：</w:t>
            </w:r>
            <w:r>
              <w:rPr>
                <w:rFonts w:hint="eastAsia" w:eastAsia="宋体"/>
                <w:highlight w:val="none"/>
                <w:lang w:eastAsia="zh-CN"/>
              </w:rPr>
              <w:t>■</w:t>
            </w:r>
            <w:r>
              <w:rPr>
                <w:rFonts w:hint="eastAsia" w:eastAsia="宋体"/>
                <w:highlight w:val="none"/>
              </w:rPr>
              <w:t xml:space="preserve">文件发放 </w:t>
            </w:r>
            <w:r>
              <w:rPr>
                <w:rFonts w:hint="eastAsia" w:eastAsia="宋体"/>
                <w:highlight w:val="none"/>
                <w:lang w:eastAsia="zh-CN"/>
              </w:rPr>
              <w:t>■</w:t>
            </w:r>
            <w:r>
              <w:rPr>
                <w:rFonts w:hint="eastAsia" w:eastAsia="宋体"/>
                <w:highlight w:val="none"/>
              </w:rPr>
              <w:t xml:space="preserve">会议 </w:t>
            </w:r>
            <w:r>
              <w:rPr>
                <w:rFonts w:hint="eastAsia" w:eastAsia="宋体"/>
                <w:highlight w:val="none"/>
                <w:lang w:eastAsia="zh-CN"/>
              </w:rPr>
              <w:t>■</w:t>
            </w:r>
            <w:r>
              <w:rPr>
                <w:rFonts w:hint="eastAsia" w:eastAsia="宋体"/>
                <w:highlight w:val="none"/>
              </w:rPr>
              <w:t xml:space="preserve">标语  </w:t>
            </w:r>
            <w:r>
              <w:rPr>
                <w:rFonts w:hint="eastAsia" w:eastAsia="宋体"/>
                <w:highlight w:val="none"/>
                <w:lang w:eastAsia="zh-CN"/>
              </w:rPr>
              <w:t>■</w:t>
            </w:r>
            <w:r>
              <w:rPr>
                <w:rFonts w:hint="eastAsia" w:eastAsia="宋体"/>
                <w:highlight w:val="none"/>
              </w:rPr>
              <w:t xml:space="preserve">展板   </w:t>
            </w:r>
            <w:r>
              <w:rPr>
                <w:rFonts w:hint="eastAsia" w:eastAsia="宋体"/>
                <w:highlight w:val="none"/>
                <w:lang w:eastAsia="zh-CN"/>
              </w:rPr>
              <w:t>□</w:t>
            </w:r>
            <w:r>
              <w:rPr>
                <w:rFonts w:hint="eastAsia" w:eastAsia="宋体"/>
                <w:highlight w:val="none"/>
              </w:rPr>
              <w:t>其他</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外部沟通方式：</w:t>
            </w:r>
            <w:r>
              <w:rPr>
                <w:rFonts w:hint="eastAsia" w:ascii="Wingdings" w:hAnsi="Wingdings"/>
                <w:highlight w:val="none"/>
                <w:lang w:eastAsia="zh-CN"/>
              </w:rPr>
              <w:t>■</w:t>
            </w:r>
            <w:r>
              <w:rPr>
                <w:rFonts w:hint="eastAsia"/>
                <w:highlight w:val="none"/>
              </w:rPr>
              <w:t xml:space="preserve">宣传材料 </w:t>
            </w:r>
            <w:r>
              <w:rPr>
                <w:rFonts w:hint="eastAsia" w:ascii="Wingdings" w:hAnsi="Wingdings"/>
                <w:highlight w:val="none"/>
                <w:lang w:eastAsia="zh-CN"/>
              </w:rPr>
              <w:t>■</w:t>
            </w:r>
            <w:r>
              <w:rPr>
                <w:rFonts w:hint="eastAsia"/>
                <w:highlight w:val="none"/>
              </w:rPr>
              <w:t xml:space="preserve">网站  </w:t>
            </w:r>
            <w:r>
              <w:rPr>
                <w:rFonts w:hint="eastAsia" w:ascii="Wingdings" w:hAnsi="Wingdings"/>
                <w:highlight w:val="none"/>
                <w:lang w:eastAsia="zh-CN"/>
              </w:rPr>
              <w:t>■</w:t>
            </w:r>
            <w:r>
              <w:rPr>
                <w:rFonts w:hint="eastAsia"/>
                <w:highlight w:val="none"/>
              </w:rPr>
              <w:t xml:space="preserve">标语 </w:t>
            </w:r>
            <w:r>
              <w:rPr>
                <w:rFonts w:hint="eastAsia"/>
                <w:highlight w:val="none"/>
                <w:lang w:eastAsia="zh-CN"/>
              </w:rPr>
              <w:t>■</w:t>
            </w:r>
            <w:r>
              <w:rPr>
                <w:rFonts w:hint="eastAsia"/>
                <w:highlight w:val="none"/>
              </w:rPr>
              <w:t xml:space="preserve">展板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u w:val="single"/>
              </w:rPr>
            </w:pPr>
            <w:r>
              <w:rPr>
                <w:rFonts w:hint="eastAsia"/>
                <w:highlight w:val="none"/>
              </w:rPr>
              <w:t xml:space="preserve">组织已建立了文件化的环境管理体系。对自编文件的编制、审批、发放、变更和作废进行了控制。 </w:t>
            </w:r>
            <w:r>
              <w:rPr>
                <w:rFonts w:hint="eastAsia" w:ascii="Wingdings" w:hAnsi="Wingdings"/>
                <w:highlight w:val="none"/>
                <w:lang w:eastAsia="zh-CN"/>
              </w:rPr>
              <w:t>■</w:t>
            </w:r>
            <w:r>
              <w:rPr>
                <w:rFonts w:hint="eastAsia"/>
                <w:highlight w:val="none"/>
              </w:rPr>
              <w:t xml:space="preserve">体系文件受控 </w:t>
            </w:r>
            <w:r>
              <w:rPr>
                <w:rFonts w:hint="eastAsia" w:ascii="Wingdings" w:hAnsi="Wingdings"/>
                <w:highlight w:val="none"/>
                <w:lang w:eastAsia="zh-CN"/>
              </w:rPr>
              <w:t>□</w:t>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对环境相关的外来文件（法律法规、产品标准）进行了识别和贯彻。</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 xml:space="preserve"> </w:t>
            </w:r>
            <w:r>
              <w:rPr>
                <w:rFonts w:hint="eastAsia" w:ascii="Wingdings" w:hAnsi="Wingdings"/>
                <w:highlight w:val="none"/>
                <w:lang w:eastAsia="zh-CN"/>
              </w:rPr>
              <w:t>□工艺</w:t>
            </w:r>
            <w:r>
              <w:rPr>
                <w:rFonts w:hint="eastAsia"/>
                <w:highlight w:val="none"/>
              </w:rPr>
              <w:t xml:space="preserve">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MSDS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组织建立并实施了与顾客沟通；如产品和服务的环境信息、顾客财产、应急措施等。</w:t>
            </w:r>
          </w:p>
          <w:p>
            <w:pPr>
              <w:shd w:val="clear" w:color="auto" w:fill="EBF1DE" w:themeFill="accent3" w:themeFillTint="32"/>
              <w:rPr>
                <w:highlight w:val="none"/>
              </w:rPr>
            </w:pPr>
            <w:r>
              <w:rPr>
                <w:rFonts w:hint="eastAsia"/>
                <w:highlight w:val="none"/>
              </w:rPr>
              <w:t>组织对产品和服务的环境要求进行了评审，确保有能力向顾客提供满足要求的产品和服务。</w:t>
            </w:r>
          </w:p>
          <w:p>
            <w:pPr>
              <w:shd w:val="clear" w:color="auto" w:fill="EBF1DE" w:themeFill="accent3" w:themeFillTint="32"/>
              <w:rPr>
                <w:highlight w:val="none"/>
              </w:rPr>
            </w:pPr>
            <w:r>
              <w:rPr>
                <w:rFonts w:hint="eastAsia"/>
                <w:highlight w:val="none"/>
              </w:rPr>
              <w:t>顾客的环境要求为：</w:t>
            </w:r>
            <w:r>
              <w:rPr>
                <w:rFonts w:hint="eastAsia" w:ascii="Wingdings" w:hAnsi="Wingdings"/>
                <w:highlight w:val="none"/>
                <w:lang w:eastAsia="zh-CN"/>
              </w:rPr>
              <w:t>□</w:t>
            </w:r>
            <w:r>
              <w:rPr>
                <w:rFonts w:hint="eastAsia"/>
                <w:highlight w:val="none"/>
              </w:rPr>
              <w:t>Rohs</w:t>
            </w:r>
            <w:r>
              <w:rPr>
                <w:rFonts w:hint="eastAsia" w:ascii="Wingdings" w:hAnsi="Wingdings"/>
                <w:highlight w:val="none"/>
                <w:lang w:eastAsia="zh-CN"/>
              </w:rPr>
              <w:t>□</w:t>
            </w:r>
            <w:r>
              <w:rPr>
                <w:rFonts w:hint="eastAsia"/>
                <w:highlight w:val="none"/>
              </w:rPr>
              <w:t>MSDS</w:t>
            </w:r>
            <w:r>
              <w:rPr>
                <w:rFonts w:hint="eastAsia" w:ascii="Wingdings" w:hAnsi="Wingdings"/>
                <w:highlight w:val="none"/>
                <w:lang w:eastAsia="zh-CN"/>
              </w:rPr>
              <w:t>□</w:t>
            </w:r>
            <w:r>
              <w:rPr>
                <w:rFonts w:hint="eastAsia"/>
                <w:highlight w:val="none"/>
              </w:rPr>
              <w:t>EMS认证证书</w:t>
            </w:r>
            <w:r>
              <w:rPr>
                <w:rFonts w:hint="eastAsia" w:ascii="Wingdings" w:hAnsi="Wingdings"/>
                <w:highlight w:val="none"/>
                <w:lang w:eastAsia="zh-CN"/>
              </w:rPr>
              <w:t>□</w:t>
            </w:r>
            <w:r>
              <w:rPr>
                <w:rFonts w:hint="eastAsia"/>
                <w:highlight w:val="none"/>
              </w:rPr>
              <w:t>特殊包装</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lang w:val="en-US" w:eastAsia="zh-CN"/>
              </w:rPr>
              <w:t xml:space="preserve">  </w:t>
            </w:r>
            <w:r>
              <w:rPr>
                <w:rFonts w:hint="eastAsia" w:cs="Times New Roman"/>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jc w:val="left"/>
              <w:rPr>
                <w:highlight w:val="none"/>
              </w:rPr>
            </w:pPr>
            <w:r>
              <w:rPr>
                <w:rFonts w:hint="eastAsia"/>
                <w:highlight w:val="none"/>
              </w:rPr>
              <w:t>组织对外部提供的过程、产品（危化品）和服务的供方按照对环境因素的影响程度实施控制。</w:t>
            </w:r>
          </w:p>
          <w:p>
            <w:pPr>
              <w:shd w:val="clear" w:color="auto" w:fill="EBF1DE" w:themeFill="accent3" w:themeFillTint="32"/>
              <w:jc w:val="left"/>
              <w:rPr>
                <w:highlight w:val="none"/>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施工 </w:t>
            </w:r>
            <w:r>
              <w:rPr>
                <w:rFonts w:hint="eastAsia" w:ascii="Wingdings" w:hAnsi="Wingdings"/>
                <w:highlight w:val="none"/>
                <w:lang w:eastAsia="zh-CN"/>
              </w:rPr>
              <w:t>□</w:t>
            </w:r>
            <w:r>
              <w:rPr>
                <w:rFonts w:hint="eastAsia"/>
                <w:highlight w:val="none"/>
              </w:rPr>
              <w:t xml:space="preserve">设备维保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ascii="Wingdings" w:hAnsi="Wingdings"/>
                <w:highlight w:val="none"/>
                <w:lang w:eastAsia="zh-CN"/>
              </w:rPr>
              <w:t>□</w:t>
            </w:r>
            <w:r>
              <w:rPr>
                <w:rFonts w:hint="eastAsia"/>
                <w:highlight w:val="none"/>
              </w:rPr>
              <w:t xml:space="preserve">合同约定 </w:t>
            </w:r>
            <w:r>
              <w:rPr>
                <w:rFonts w:hint="eastAsia" w:ascii="Wingdings" w:hAnsi="Wingdings"/>
                <w:highlight w:val="none"/>
                <w:lang w:eastAsia="zh-CN"/>
              </w:rPr>
              <w:t>□</w:t>
            </w:r>
            <w:r>
              <w:rPr>
                <w:rFonts w:hint="eastAsia"/>
                <w:highlight w:val="none"/>
              </w:rPr>
              <w:t xml:space="preserve">危害告知  </w:t>
            </w:r>
            <w:r>
              <w:rPr>
                <w:rFonts w:hint="eastAsia" w:ascii="Wingdings" w:hAnsi="Wingdings"/>
                <w:highlight w:val="none"/>
                <w:lang w:eastAsia="zh-CN"/>
              </w:rPr>
              <w:t>□</w:t>
            </w:r>
            <w:r>
              <w:rPr>
                <w:rFonts w:hint="eastAsia"/>
                <w:highlight w:val="none"/>
              </w:rPr>
              <w:t xml:space="preserve">现场检查 </w:t>
            </w:r>
            <w:r>
              <w:rPr>
                <w:rFonts w:hint="eastAsia" w:ascii="Wingdings" w:hAnsi="Wingdings"/>
                <w:highlight w:val="none"/>
                <w:lang w:eastAsia="zh-CN"/>
              </w:rPr>
              <w:t>□</w:t>
            </w:r>
            <w:r>
              <w:rPr>
                <w:rFonts w:hint="eastAsia"/>
                <w:highlight w:val="none"/>
              </w:rPr>
              <w:t xml:space="preserve">专人跟踪  </w:t>
            </w:r>
            <w:r>
              <w:rPr>
                <w:rFonts w:hint="eastAsia" w:ascii="Wingdings" w:hAnsi="Wingdings"/>
                <w:highlight w:val="none"/>
                <w:lang w:eastAsia="zh-CN"/>
              </w:rPr>
              <w:t>□</w:t>
            </w:r>
            <w:r>
              <w:rPr>
                <w:rFonts w:hint="eastAsia"/>
                <w:highlight w:val="none"/>
              </w:rPr>
              <w:t xml:space="preserve">出入控制  </w:t>
            </w:r>
            <w:r>
              <w:rPr>
                <w:rFonts w:hint="eastAsia" w:ascii="Wingdings" w:hAnsi="Wingdings"/>
                <w:highlight w:val="none"/>
                <w:lang w:eastAsia="zh-CN"/>
              </w:rPr>
              <w:t>□</w:t>
            </w:r>
            <w:r>
              <w:rPr>
                <w:rFonts w:hint="eastAsia"/>
                <w:highlight w:val="none"/>
              </w:rPr>
              <w:t>其他</w:t>
            </w:r>
          </w:p>
          <w:p>
            <w:pPr>
              <w:shd w:val="clear" w:color="auto" w:fill="EBF1DE" w:themeFill="accent3"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对外部供方的控制：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rPr>
                      <w:highlight w:val="none"/>
                    </w:rPr>
                  </w:pPr>
                  <w:r>
                    <w:rPr>
                      <w:rFonts w:hint="eastAsia"/>
                      <w:highlight w:val="none"/>
                    </w:rPr>
                    <w:t>重要环境因素</w:t>
                  </w:r>
                </w:p>
              </w:tc>
              <w:tc>
                <w:tcPr>
                  <w:tcW w:w="3594"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rPr>
                      <w:highlight w:val="none"/>
                    </w:rPr>
                  </w:pPr>
                  <w:r>
                    <w:rPr>
                      <w:rFonts w:hint="eastAsia"/>
                      <w:highlight w:val="none"/>
                    </w:rPr>
                    <w:t>其他</w:t>
                  </w:r>
                </w:p>
              </w:tc>
              <w:tc>
                <w:tcPr>
                  <w:tcW w:w="3594"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对生产和服务提供过程的环境因素控制</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进行了定期检验</w:t>
            </w:r>
            <w:r>
              <w:rPr>
                <w:rFonts w:hint="eastAsia" w:ascii="Wingdings" w:hAnsi="Wingdings"/>
                <w:highlight w:val="none"/>
                <w:lang w:eastAsia="zh-CN"/>
              </w:rPr>
              <w:t>□</w:t>
            </w:r>
            <w:r>
              <w:rPr>
                <w:rFonts w:hint="eastAsia"/>
                <w:highlight w:val="none"/>
              </w:rPr>
              <w:t>未进行定期检验的有：</w:t>
            </w:r>
          </w:p>
          <w:p>
            <w:pPr>
              <w:shd w:val="clear" w:color="auto" w:fill="EBF1DE" w:themeFill="accent3" w:themeFillTint="32"/>
              <w:rPr>
                <w:highlight w:val="none"/>
              </w:rPr>
            </w:pPr>
            <w:r>
              <w:rPr>
                <w:rFonts w:hint="eastAsia"/>
                <w:highlight w:val="none"/>
              </w:rPr>
              <w:t>特种设备检测报告，如：</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组织在生产和服务提供的整个过程中对危化品特性的进行了标识。</w:t>
            </w:r>
          </w:p>
          <w:p>
            <w:pPr>
              <w:shd w:val="clear" w:color="auto" w:fill="EBF1DE" w:themeFill="accent3" w:themeFillTint="32"/>
              <w:jc w:val="left"/>
              <w:rPr>
                <w:highlight w:val="none"/>
              </w:rPr>
            </w:pPr>
            <w:r>
              <w:rPr>
                <w:rFonts w:hint="eastAsia"/>
                <w:highlight w:val="none"/>
              </w:rPr>
              <w:t>采用的标识方式：</w:t>
            </w:r>
            <w:r>
              <w:rPr>
                <w:rFonts w:hint="eastAsia" w:ascii="Wingdings" w:hAnsi="Wingdings"/>
                <w:highlight w:val="none"/>
                <w:lang w:eastAsia="zh-CN"/>
              </w:rPr>
              <w:t>□</w:t>
            </w:r>
            <w:r>
              <w:rPr>
                <w:rFonts w:hint="eastAsia"/>
                <w:highlight w:val="none"/>
              </w:rPr>
              <w:t>MSDS</w:t>
            </w:r>
            <w:r>
              <w:rPr>
                <w:rFonts w:hint="eastAsia" w:ascii="Wingdings" w:hAnsi="Wingdings"/>
                <w:highlight w:val="none"/>
                <w:lang w:eastAsia="zh-CN"/>
              </w:rPr>
              <w:t>□</w:t>
            </w:r>
            <w:r>
              <w:rPr>
                <w:rFonts w:hint="eastAsia"/>
                <w:highlight w:val="none"/>
              </w:rPr>
              <w:t>危害告知标牌</w:t>
            </w:r>
            <w:r>
              <w:rPr>
                <w:rFonts w:hint="eastAsia" w:ascii="Wingdings" w:hAnsi="Wingdings"/>
                <w:highlight w:val="none"/>
                <w:lang w:eastAsia="zh-CN"/>
              </w:rPr>
              <w:t>□</w:t>
            </w:r>
            <w:r>
              <w:rPr>
                <w:rFonts w:hint="eastAsia"/>
                <w:highlight w:val="none"/>
              </w:rPr>
              <w:t>其他</w:t>
            </w:r>
          </w:p>
          <w:p>
            <w:pPr>
              <w:shd w:val="clear" w:color="auto" w:fill="EBF1DE" w:themeFill="accent3" w:themeFillTint="32"/>
              <w:jc w:val="left"/>
              <w:rPr>
                <w:highlight w:val="none"/>
              </w:rPr>
            </w:pPr>
            <w:r>
              <w:rPr>
                <w:rFonts w:hint="eastAsia"/>
                <w:highlight w:val="none"/>
              </w:rPr>
              <w:t>可追溯性实现：</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p>
          <w:p>
            <w:pPr>
              <w:shd w:val="clear" w:color="auto" w:fill="EBF1DE" w:themeFill="accent3" w:themeFillTint="32"/>
              <w:jc w:val="left"/>
              <w:rPr>
                <w:highlight w:val="none"/>
              </w:rPr>
            </w:pPr>
            <w:r>
              <w:rPr>
                <w:rFonts w:hint="eastAsia"/>
                <w:highlight w:val="none"/>
              </w:rPr>
              <w:t>危化品：</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ascii="Wingdings" w:hAnsi="Wingdings"/>
                <w:highlight w:val="none"/>
                <w:lang w:eastAsia="zh-CN"/>
              </w:rPr>
              <w:t>□</w:t>
            </w:r>
            <w:r>
              <w:rPr>
                <w:rFonts w:hint="eastAsia"/>
                <w:highlight w:val="none"/>
              </w:rPr>
              <w:t>废物回收</w:t>
            </w:r>
            <w:r>
              <w:rPr>
                <w:rFonts w:hint="eastAsia" w:ascii="Wingdings" w:hAnsi="Wingdings"/>
                <w:highlight w:val="none"/>
                <w:lang w:eastAsia="zh-CN"/>
              </w:rPr>
              <w:t>□</w:t>
            </w:r>
            <w:r>
              <w:rPr>
                <w:rFonts w:hint="eastAsia"/>
                <w:highlight w:val="none"/>
              </w:rPr>
              <w:t>最终处置</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EBF1DE" w:themeFill="accent3"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组织对生产和服务提供的有预期和非预期的更改进行必要的环境因素评审和制订控制措施，以确保持续地符合法规要求。</w:t>
            </w:r>
          </w:p>
          <w:p>
            <w:pPr>
              <w:shd w:val="clear" w:color="auto" w:fill="EBF1DE" w:themeFill="accent3" w:themeFillTint="32"/>
              <w:rPr>
                <w:highlight w:val="none"/>
              </w:rPr>
            </w:pPr>
            <w:r>
              <w:rPr>
                <w:rFonts w:hint="eastAsia"/>
                <w:highlight w:val="none"/>
              </w:rPr>
              <w:t>已发生的更改包括：</w:t>
            </w:r>
            <w:r>
              <w:rPr>
                <w:rFonts w:hint="eastAsia" w:ascii="Wingdings" w:hAnsi="Wingdings"/>
                <w:highlight w:val="none"/>
                <w:lang w:eastAsia="zh-CN"/>
              </w:rPr>
              <w:t>□</w:t>
            </w:r>
            <w:r>
              <w:rPr>
                <w:rFonts w:hint="eastAsia"/>
                <w:highlight w:val="none"/>
              </w:rPr>
              <w:t>重要原材料</w:t>
            </w:r>
            <w:r>
              <w:rPr>
                <w:rFonts w:hint="eastAsia" w:ascii="Wingdings" w:hAnsi="Wingdings"/>
                <w:highlight w:val="none"/>
                <w:lang w:eastAsia="zh-CN"/>
              </w:rPr>
              <w:t>□</w:t>
            </w:r>
            <w:r>
              <w:rPr>
                <w:rFonts w:hint="eastAsia"/>
                <w:highlight w:val="none"/>
              </w:rPr>
              <w:t>设备</w:t>
            </w:r>
            <w:r>
              <w:rPr>
                <w:rFonts w:hint="eastAsia" w:ascii="Wingdings" w:hAnsi="Wingdings"/>
                <w:highlight w:val="none"/>
                <w:lang w:eastAsia="zh-CN"/>
              </w:rPr>
              <w:t>□</w:t>
            </w:r>
            <w:r>
              <w:rPr>
                <w:rFonts w:hint="eastAsia"/>
                <w:highlight w:val="none"/>
              </w:rPr>
              <w:t>检测设备</w:t>
            </w:r>
            <w:r>
              <w:rPr>
                <w:rFonts w:hint="eastAsia" w:ascii="Wingdings" w:hAnsi="Wingdings"/>
                <w:highlight w:val="none"/>
                <w:lang w:eastAsia="zh-CN"/>
              </w:rPr>
              <w:t>□</w:t>
            </w:r>
            <w:r>
              <w:rPr>
                <w:rFonts w:hint="eastAsia"/>
                <w:highlight w:val="none"/>
              </w:rPr>
              <w:t>图纸</w:t>
            </w:r>
            <w:r>
              <w:rPr>
                <w:rFonts w:hint="eastAsia" w:ascii="Wingdings" w:hAnsi="Wingdings"/>
                <w:highlight w:val="none"/>
                <w:lang w:eastAsia="zh-CN"/>
              </w:rPr>
              <w:t>□</w:t>
            </w:r>
            <w:r>
              <w:rPr>
                <w:rFonts w:hint="eastAsia"/>
                <w:highlight w:val="none"/>
              </w:rPr>
              <w:t>工艺</w:t>
            </w:r>
            <w:r>
              <w:rPr>
                <w:rFonts w:hint="eastAsia" w:ascii="Wingdings" w:hAnsi="Wingdings"/>
                <w:highlight w:val="none"/>
                <w:lang w:eastAsia="zh-CN"/>
              </w:rPr>
              <w:t>□</w:t>
            </w:r>
            <w:r>
              <w:rPr>
                <w:rFonts w:hint="eastAsia"/>
                <w:highlight w:val="none"/>
              </w:rPr>
              <w:t>加工场所</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highlight w:val="none"/>
              </w:rPr>
              <w:t>于</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9</w:t>
            </w:r>
            <w:r>
              <w:rPr>
                <w:rFonts w:hint="eastAsia"/>
                <w:highlight w:val="none"/>
                <w:u w:val="single"/>
                <w:lang w:eastAsia="zh-CN"/>
              </w:rPr>
              <w:t>月5日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 xml:space="preserve">；并总结了预案的可行性和有效性。 </w:t>
            </w:r>
          </w:p>
          <w:p>
            <w:pPr>
              <w:shd w:val="clear" w:color="auto" w:fill="EBF1DE" w:themeFill="accent3" w:themeFillTint="32"/>
              <w:rPr>
                <w:highlight w:val="none"/>
              </w:rPr>
            </w:pPr>
            <w:r>
              <w:rPr>
                <w:rFonts w:hint="eastAsia"/>
                <w:highlight w:val="none"/>
              </w:rPr>
              <w:t xml:space="preserve">定期评审并修订过程和策划的响应措施，特别是发生紧急情况后或进行试验后； </w:t>
            </w:r>
          </w:p>
          <w:p>
            <w:pPr>
              <w:shd w:val="clear" w:color="auto" w:fill="EBF1DE" w:themeFill="accent3" w:themeFillTint="32"/>
              <w:rPr>
                <w:highlight w:val="none"/>
              </w:rPr>
            </w:pPr>
            <w:r>
              <w:rPr>
                <w:rFonts w:hint="eastAsia"/>
                <w:highlight w:val="none"/>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应急准备和响应控制：</w:t>
            </w:r>
            <w:r>
              <w:rPr>
                <w:rFonts w:hint="eastAsia" w:eastAsia="宋体"/>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vAlign w:val="top"/>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default" w:eastAsia="宋体"/>
                <w:highlight w:val="none"/>
                <w:lang w:val="en-US" w:eastAsia="zh-CN"/>
              </w:rPr>
            </w:pPr>
            <w:r>
              <w:rPr>
                <w:rFonts w:hint="eastAsia"/>
                <w:highlight w:val="none"/>
                <w:lang w:eastAsia="zh-CN"/>
              </w:rPr>
              <w:t>■</w:t>
            </w:r>
            <w:r>
              <w:rPr>
                <w:rFonts w:hint="eastAsia"/>
                <w:highlight w:val="none"/>
              </w:rPr>
              <w:t>定期（每年） ：</w:t>
            </w:r>
            <w:r>
              <w:rPr>
                <w:rFonts w:hint="eastAsia" w:ascii="Times New Roman" w:hAnsi="Times New Roman" w:eastAsia="宋体" w:cs="Times New Roman"/>
                <w:b w:val="0"/>
                <w:bCs w:val="0"/>
                <w:color w:val="auto"/>
                <w:u w:val="single"/>
                <w:lang w:eastAsia="zh-CN"/>
              </w:rPr>
              <w:t>查见</w:t>
            </w:r>
            <w:r>
              <w:rPr>
                <w:rFonts w:hint="eastAsia" w:ascii="Times New Roman" w:hAnsi="Times New Roman" w:eastAsia="宋体" w:cs="Times New Roman"/>
                <w:b w:val="0"/>
                <w:bCs w:val="0"/>
                <w:color w:val="auto"/>
                <w:u w:val="single"/>
                <w:lang w:val="en-US" w:eastAsia="zh-CN"/>
              </w:rPr>
              <w:t>公司于</w:t>
            </w:r>
            <w:r>
              <w:rPr>
                <w:rFonts w:hint="eastAsia" w:ascii="Times New Roman" w:hAnsi="Times New Roman" w:eastAsia="宋体" w:cs="Times New Roman"/>
                <w:b w:val="0"/>
                <w:bCs w:val="0"/>
                <w:color w:val="auto"/>
                <w:u w:val="single"/>
                <w:lang w:eastAsia="zh-CN"/>
              </w:rPr>
              <w:t>2022年09月15日</w:t>
            </w:r>
            <w:r>
              <w:rPr>
                <w:rFonts w:hint="eastAsia" w:ascii="Times New Roman" w:hAnsi="Times New Roman" w:eastAsia="宋体" w:cs="Times New Roman"/>
                <w:b w:val="0"/>
                <w:bCs w:val="0"/>
                <w:color w:val="auto"/>
                <w:u w:val="single"/>
                <w:lang w:val="en-US" w:eastAsia="zh-CN"/>
              </w:rPr>
              <w:t>进行了</w:t>
            </w:r>
            <w:r>
              <w:rPr>
                <w:rFonts w:hint="eastAsia" w:ascii="Times New Roman" w:hAnsi="Times New Roman" w:eastAsia="宋体" w:cs="Times New Roman"/>
                <w:b w:val="0"/>
                <w:bCs w:val="0"/>
                <w:color w:val="auto"/>
                <w:u w:val="single"/>
                <w:lang w:eastAsia="zh-CN"/>
              </w:rPr>
              <w:t>合规性评价，</w:t>
            </w:r>
            <w:r>
              <w:rPr>
                <w:rFonts w:hint="eastAsia" w:ascii="Times New Roman" w:hAnsi="Times New Roman" w:eastAsia="宋体" w:cs="Times New Roman"/>
                <w:b w:val="0"/>
                <w:bCs w:val="0"/>
                <w:color w:val="auto"/>
                <w:u w:val="single"/>
                <w:lang w:val="en-US" w:eastAsia="zh-CN"/>
              </w:rPr>
              <w:t>提供有评价</w:t>
            </w:r>
            <w:r>
              <w:rPr>
                <w:rFonts w:hint="eastAsia" w:ascii="Times New Roman" w:hAnsi="Times New Roman" w:eastAsia="宋体" w:cs="Times New Roman"/>
                <w:b w:val="0"/>
                <w:bCs w:val="0"/>
                <w:color w:val="auto"/>
                <w:u w:val="single"/>
                <w:lang w:eastAsia="zh-CN"/>
              </w:rPr>
              <w:t>记录，未提供合规性评价结论及报告，</w:t>
            </w:r>
            <w:r>
              <w:rPr>
                <w:rFonts w:hint="eastAsia" w:ascii="Times New Roman" w:hAnsi="Times New Roman" w:eastAsia="宋体" w:cs="Times New Roman"/>
                <w:b w:val="0"/>
                <w:bCs w:val="0"/>
                <w:color w:val="auto"/>
                <w:u w:val="single"/>
                <w:lang w:val="en-US" w:eastAsia="zh-CN"/>
              </w:rPr>
              <w:t>已开具不符合</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宋体" w:hAnsi="宋体" w:eastAsia="宋体" w:cs="宋体"/>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2022年09月10日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2022年10月10日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“预防为主，遵规守法，确保环保安全；以人为本，持续改进，实现平安和谐</w:t>
            </w:r>
            <w:r>
              <w:rPr>
                <w:rFonts w:hint="eastAsia"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cs="Times New Roman"/>
                <w:highlight w:val="none"/>
                <w:lang w:val="en-US" w:eastAsia="zh-CN"/>
              </w:rPr>
              <w:t>张万山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火灾</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default"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lang w:val="en-US" w:eastAsia="zh-CN"/>
                    </w:rPr>
                    <w:t>意外伤害</w:t>
                  </w:r>
                </w:p>
              </w:tc>
              <w:tc>
                <w:tcPr>
                  <w:tcW w:w="4396"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pPr>
                </w:p>
              </w:tc>
              <w:tc>
                <w:tcPr>
                  <w:tcW w:w="4396"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ascii="宋体" w:hAnsi="宋体" w:eastAsia="宋体" w:cs="宋体"/>
                <w:highlight w:val="none"/>
              </w:rPr>
              <w:t>■</w:t>
            </w:r>
            <w:r>
              <w:rPr>
                <w:rFonts w:hint="eastAsia"/>
                <w:highlight w:val="none"/>
              </w:rPr>
              <w:t>其他</w:t>
            </w:r>
            <w:r>
              <w:rPr>
                <w:rFonts w:hint="eastAsia"/>
                <w:highlight w:val="none"/>
                <w:lang w:eastAsia="zh-CN"/>
              </w:rPr>
              <w:t>：</w:t>
            </w:r>
            <w:r>
              <w:rPr>
                <w:rFonts w:hint="eastAsia"/>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宋体" w:hAnsi="宋体" w:eastAsia="宋体" w:cs="宋体"/>
                      <w:b w:val="0"/>
                      <w:bCs w:val="0"/>
                      <w:color w:val="auto"/>
                      <w:kern w:val="0"/>
                      <w:sz w:val="22"/>
                      <w:szCs w:val="24"/>
                      <w:lang w:val="en-US" w:eastAsia="zh-CN" w:bidi="ar-SA"/>
                    </w:rPr>
                  </w:pPr>
                  <w:r>
                    <w:rPr>
                      <w:rFonts w:hint="eastAsia"/>
                      <w:color w:val="000000"/>
                      <w:szCs w:val="18"/>
                      <w:lang w:val="en-US" w:eastAsia="zh-CN"/>
                    </w:rPr>
                    <w:t>火灾发生率为0</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宋体" w:hAnsi="宋体" w:eastAsia="宋体" w:cs="宋体"/>
                      <w:b w:val="0"/>
                      <w:bCs w:val="0"/>
                      <w:color w:val="auto"/>
                      <w:kern w:val="0"/>
                      <w:sz w:val="22"/>
                      <w:szCs w:val="24"/>
                      <w:lang w:val="en-US" w:eastAsia="zh-CN" w:bidi="ar-SA"/>
                    </w:rPr>
                  </w:pPr>
                  <w:r>
                    <w:rPr>
                      <w:rFonts w:hint="eastAsia"/>
                      <w:color w:val="000000"/>
                      <w:szCs w:val="18"/>
                      <w:lang w:val="en-US" w:eastAsia="zh-CN"/>
                    </w:rPr>
                    <w:t>员工意外伤害为0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100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rPr>
              <w:t xml:space="preserve">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lang w:eastAsia="zh-CN"/>
                    </w:rPr>
                  </w:pPr>
                  <w:r>
                    <w:rPr>
                      <w:rFonts w:hint="eastAsia"/>
                      <w:lang w:val="en-US" w:eastAsia="zh-CN"/>
                    </w:rPr>
                    <w:t>交通事故</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制定管理方案进行控制</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2022年9月5日</w:t>
            </w:r>
            <w:r>
              <w:rPr>
                <w:rFonts w:hint="eastAsia" w:eastAsia="宋体"/>
                <w:highlight w:val="none"/>
              </w:rPr>
              <w:t>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Times New Roman" w:hAnsi="Times New Roman" w:eastAsia="宋体" w:cs="Times New Roman"/>
                <w:b w:val="0"/>
                <w:bCs w:val="0"/>
                <w:color w:val="auto"/>
                <w:u w:val="single"/>
                <w:lang w:eastAsia="zh-CN"/>
              </w:rPr>
              <w:t>查见</w:t>
            </w:r>
            <w:r>
              <w:rPr>
                <w:rFonts w:hint="eastAsia" w:ascii="Times New Roman" w:hAnsi="Times New Roman" w:eastAsia="宋体" w:cs="Times New Roman"/>
                <w:b w:val="0"/>
                <w:bCs w:val="0"/>
                <w:color w:val="auto"/>
                <w:u w:val="single"/>
                <w:lang w:val="en-US" w:eastAsia="zh-CN"/>
              </w:rPr>
              <w:t>公司于</w:t>
            </w:r>
            <w:r>
              <w:rPr>
                <w:rFonts w:hint="eastAsia" w:ascii="Times New Roman" w:hAnsi="Times New Roman" w:eastAsia="宋体" w:cs="Times New Roman"/>
                <w:b w:val="0"/>
                <w:bCs w:val="0"/>
                <w:color w:val="auto"/>
                <w:u w:val="single"/>
                <w:lang w:eastAsia="zh-CN"/>
              </w:rPr>
              <w:t>2022年09月15日</w:t>
            </w:r>
            <w:r>
              <w:rPr>
                <w:rFonts w:hint="eastAsia" w:ascii="Times New Roman" w:hAnsi="Times New Roman" w:eastAsia="宋体" w:cs="Times New Roman"/>
                <w:b w:val="0"/>
                <w:bCs w:val="0"/>
                <w:color w:val="auto"/>
                <w:u w:val="single"/>
                <w:lang w:val="en-US" w:eastAsia="zh-CN"/>
              </w:rPr>
              <w:t>进行了</w:t>
            </w:r>
            <w:r>
              <w:rPr>
                <w:rFonts w:hint="eastAsia" w:ascii="Times New Roman" w:hAnsi="Times New Roman" w:eastAsia="宋体" w:cs="Times New Roman"/>
                <w:b w:val="0"/>
                <w:bCs w:val="0"/>
                <w:color w:val="auto"/>
                <w:u w:val="single"/>
                <w:lang w:eastAsia="zh-CN"/>
              </w:rPr>
              <w:t>合规性评价，</w:t>
            </w:r>
            <w:r>
              <w:rPr>
                <w:rFonts w:hint="eastAsia" w:ascii="Times New Roman" w:hAnsi="Times New Roman" w:eastAsia="宋体" w:cs="Times New Roman"/>
                <w:b w:val="0"/>
                <w:bCs w:val="0"/>
                <w:color w:val="auto"/>
                <w:u w:val="single"/>
                <w:lang w:val="en-US" w:eastAsia="zh-CN"/>
              </w:rPr>
              <w:t>提供有评价</w:t>
            </w:r>
            <w:r>
              <w:rPr>
                <w:rFonts w:hint="eastAsia" w:ascii="Times New Roman" w:hAnsi="Times New Roman" w:eastAsia="宋体" w:cs="Times New Roman"/>
                <w:b w:val="0"/>
                <w:bCs w:val="0"/>
                <w:color w:val="auto"/>
                <w:u w:val="single"/>
                <w:lang w:eastAsia="zh-CN"/>
              </w:rPr>
              <w:t>记录，未提供合规性评价结论及报告，</w:t>
            </w:r>
            <w:r>
              <w:rPr>
                <w:rFonts w:hint="eastAsia" w:ascii="Times New Roman" w:hAnsi="Times New Roman" w:eastAsia="宋体" w:cs="Times New Roman"/>
                <w:b w:val="0"/>
                <w:bCs w:val="0"/>
                <w:color w:val="auto"/>
                <w:u w:val="single"/>
                <w:lang w:val="en-US" w:eastAsia="zh-CN"/>
              </w:rPr>
              <w:t>已开具不符合</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eastAsia="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2022年09月10日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2022年10月10日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pStyle w:val="13"/>
      </w:pPr>
    </w:p>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6762E78"/>
    <w:rsid w:val="4E7D698E"/>
    <w:rsid w:val="71530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首行缩进"/>
    <w:basedOn w:val="1"/>
    <w:qFormat/>
    <w:uiPriority w:val="0"/>
    <w:pPr>
      <w:spacing w:line="360" w:lineRule="auto"/>
      <w:ind w:firstLine="480" w:firstLineChars="200"/>
    </w:pPr>
    <w:rPr>
      <w:rFonts w:ascii="宋体" w:hAnsi="宋体" w:cs="宋体"/>
      <w:kern w:val="0"/>
      <w:sz w:val="24"/>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18670</Words>
  <Characters>19426</Characters>
  <Lines>150</Lines>
  <Paragraphs>42</Paragraphs>
  <TotalTime>1</TotalTime>
  <ScaleCrop>false</ScaleCrop>
  <LinksUpToDate>false</LinksUpToDate>
  <CharactersWithSpaces>19547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2022-11-14T03:37:24Z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