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重庆铭庭包装印刷有限公司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07.02.05;29.12.00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蒲春梅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不干胶标签的生产、包装装潢印刷品销售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66675</wp:posOffset>
                  </wp:positionV>
                  <wp:extent cx="746125" cy="376555"/>
                  <wp:effectExtent l="0" t="0" r="3175" b="4445"/>
                  <wp:wrapNone/>
                  <wp:docPr id="8" name="图片 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不干胶标签的生产工艺流程：</w:t>
            </w:r>
          </w:p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原材料检验---印刷---模切/烫金/覆膜--分条--检验包装--入库</w:t>
            </w:r>
          </w:p>
          <w:p>
            <w:pPr>
              <w:pStyle w:val="3"/>
              <w:spacing w:line="240" w:lineRule="auto"/>
              <w:outlineLvl w:val="0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其中印刷、烫金/覆膜、分条按客户技术要求，在需要时增减该工序。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印刷的清晰度、印刷位置是否正确、间距等。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关键过程：印刷过程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依据印刷机操作规程、产品出厂检验标准及客户提供图纸和技术要求进行控制。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公司产品执行标准：印刷技术不干胶标签质量要求及检验方法和客户技术要求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color w:val="000000"/>
                <w:spacing w:val="0"/>
                <w:kern w:val="0"/>
                <w:sz w:val="24"/>
                <w:szCs w:val="21"/>
                <w:lang w:val="en-US" w:eastAsia="zh-CN" w:bidi="ar-SA"/>
              </w:rPr>
              <w:t>不干胶标签的尺寸、图文清晰度。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84455</wp:posOffset>
                  </wp:positionV>
                  <wp:extent cx="1104900" cy="533400"/>
                  <wp:effectExtent l="0" t="0" r="0" b="0"/>
                  <wp:wrapNone/>
                  <wp:docPr id="7" name="图片 7" descr="微信图片_2022110410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21104101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158115</wp:posOffset>
                  </wp:positionV>
                  <wp:extent cx="777875" cy="392430"/>
                  <wp:effectExtent l="0" t="0" r="9525" b="1270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重庆铭庭包装印刷有限公司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07.02.05;29.12.00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蒲春梅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不干胶标签的生产、包装装潢印刷品销售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66675</wp:posOffset>
                  </wp:positionV>
                  <wp:extent cx="746125" cy="376555"/>
                  <wp:effectExtent l="0" t="0" r="3175" b="4445"/>
                  <wp:wrapNone/>
                  <wp:docPr id="10" name="图片 10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不干胶标签的生产工艺流程：</w:t>
            </w:r>
          </w:p>
          <w:p>
            <w:pPr>
              <w:pStyle w:val="3"/>
              <w:spacing w:line="240" w:lineRule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原材料检验---印刷---模切/烫金/覆膜--分条--检验包装--入库</w:t>
            </w:r>
          </w:p>
          <w:p>
            <w:pPr>
              <w:pStyle w:val="3"/>
              <w:spacing w:line="240" w:lineRule="auto"/>
              <w:outlineLvl w:val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其中印刷、烫金/覆膜、分条按客户技术要求，在需要时增减该工序。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潜在火灾、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废气、废水、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固废排放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和化学品泄漏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bookmarkStart w:id="2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eastAsia="zh-CN" w:bidi="ar-SA"/>
              </w:rPr>
              <w:t>《中华人民共和国消防法》、《中华人民共和国大气污染防治法》、《中华人民共和国固体废物污染环境防治法》、《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 w:bidi="ar-SA"/>
              </w:rPr>
              <w:t>包装印刷业大气污染排放标准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eastAsia="zh-CN" w:bidi="ar-SA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lang w:val="en-US" w:eastAsia="zh-CN" w:bidi="ar-SA"/>
              </w:rPr>
              <w:t>、《污水综合排放标准》等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定期对废气、废水进行监测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114935</wp:posOffset>
                  </wp:positionV>
                  <wp:extent cx="1104900" cy="508635"/>
                  <wp:effectExtent l="0" t="0" r="0" b="12065"/>
                  <wp:wrapNone/>
                  <wp:docPr id="11" name="图片 11" descr="微信图片_2022110410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21104101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238125</wp:posOffset>
                  </wp:positionV>
                  <wp:extent cx="696595" cy="351155"/>
                  <wp:effectExtent l="0" t="0" r="1905" b="4445"/>
                  <wp:wrapNone/>
                  <wp:docPr id="5" name="图片 5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2022年11月0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A405084"/>
    <w:rsid w:val="58E258BC"/>
    <w:rsid w:val="678F6CBF"/>
    <w:rsid w:val="7D834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769</Words>
  <Characters>861</Characters>
  <Lines>2</Lines>
  <Paragraphs>1</Paragraphs>
  <TotalTime>14</TotalTime>
  <ScaleCrop>false</ScaleCrop>
  <LinksUpToDate>false</LinksUpToDate>
  <CharactersWithSpaces>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2022-11-29T08:03:18Z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