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1048"/>
        <w:gridCol w:w="11348"/>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3" w:type="pct"/>
            <w:vMerge w:val="restart"/>
            <w:noWrap w:val="0"/>
            <w:vAlign w:val="center"/>
          </w:tcPr>
          <w:p>
            <w:pPr>
              <w:spacing w:before="120"/>
            </w:pPr>
            <w:r>
              <w:rPr>
                <w:rFonts w:hint="eastAsia" w:cs="宋体"/>
              </w:rPr>
              <w:t>过程与活动、抽样计划</w:t>
            </w:r>
          </w:p>
        </w:tc>
        <w:tc>
          <w:tcPr>
            <w:tcW w:w="352" w:type="pct"/>
            <w:vMerge w:val="restart"/>
            <w:noWrap w:val="0"/>
            <w:vAlign w:val="center"/>
          </w:tcPr>
          <w:p>
            <w:r>
              <w:rPr>
                <w:rFonts w:hint="eastAsia" w:cs="宋体"/>
              </w:rPr>
              <w:t>涉及</w:t>
            </w:r>
          </w:p>
          <w:p>
            <w:r>
              <w:rPr>
                <w:rFonts w:hint="eastAsia" w:cs="宋体"/>
              </w:rPr>
              <w:t>条款</w:t>
            </w:r>
          </w:p>
        </w:tc>
        <w:tc>
          <w:tcPr>
            <w:tcW w:w="3812" w:type="pct"/>
            <w:noWrap w:val="0"/>
            <w:vAlign w:val="center"/>
          </w:tcPr>
          <w:p>
            <w:pPr>
              <w:rPr>
                <w:rFonts w:hint="eastAsia" w:eastAsia="宋体"/>
                <w:lang w:eastAsia="zh-CN"/>
              </w:rPr>
            </w:pPr>
            <w:r>
              <w:rPr>
                <w:rFonts w:hint="eastAsia" w:cs="宋体"/>
              </w:rPr>
              <w:t>受审核部门：</w:t>
            </w:r>
            <w:r>
              <w:rPr>
                <w:rFonts w:hint="eastAsia" w:cs="宋体"/>
                <w:lang w:val="en-US" w:eastAsia="zh-CN"/>
              </w:rPr>
              <w:t>销售部</w:t>
            </w:r>
            <w:r>
              <w:t xml:space="preserve"> </w:t>
            </w:r>
            <w:r>
              <w:rPr>
                <w:rFonts w:hint="eastAsia"/>
                <w:lang w:val="en-US" w:eastAsia="zh-CN"/>
              </w:rPr>
              <w:t xml:space="preserve">           </w:t>
            </w:r>
            <w:r>
              <w:rPr>
                <w:rFonts w:hint="eastAsia" w:cs="宋体"/>
              </w:rPr>
              <w:t>主管领导：</w:t>
            </w:r>
            <w:r>
              <w:rPr>
                <w:rFonts w:hint="eastAsia"/>
                <w:sz w:val="21"/>
                <w:szCs w:val="21"/>
                <w:lang w:val="en-US" w:eastAsia="zh-CN"/>
              </w:rPr>
              <w:t>周兴旺</w:t>
            </w:r>
            <w:r>
              <w:rPr>
                <w:rFonts w:hint="eastAsia" w:cs="宋体"/>
              </w:rPr>
              <w:t xml:space="preserve">  </w:t>
            </w:r>
            <w:r>
              <w:rPr>
                <w:rFonts w:hint="eastAsia" w:cs="宋体"/>
                <w:lang w:val="en-US" w:eastAsia="zh-CN"/>
              </w:rPr>
              <w:t xml:space="preserve">      </w:t>
            </w:r>
            <w:r>
              <w:rPr>
                <w:rFonts w:hint="eastAsia" w:ascii="Times New Roman" w:hAnsi="Times New Roman" w:cs="宋体"/>
              </w:rPr>
              <w:t xml:space="preserve">  </w:t>
            </w:r>
            <w:r>
              <w:rPr>
                <w:rFonts w:hint="eastAsia" w:ascii="Times New Roman" w:hAnsi="Times New Roman" w:cs="宋体"/>
                <w:lang w:val="en-US" w:eastAsia="zh-CN"/>
              </w:rPr>
              <w:t>陪同人员：</w:t>
            </w:r>
            <w:r>
              <w:rPr>
                <w:rFonts w:hint="eastAsia" w:ascii="宋体" w:hAnsi="宋体"/>
                <w:sz w:val="24"/>
                <w:lang w:val="en-US" w:eastAsia="zh-CN"/>
              </w:rPr>
              <w:t>马志国</w:t>
            </w:r>
          </w:p>
        </w:tc>
        <w:tc>
          <w:tcPr>
            <w:tcW w:w="322"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3" w:type="pct"/>
            <w:vMerge w:val="continue"/>
            <w:noWrap w:val="0"/>
            <w:vAlign w:val="center"/>
          </w:tcPr>
          <w:p/>
        </w:tc>
        <w:tc>
          <w:tcPr>
            <w:tcW w:w="352" w:type="pct"/>
            <w:vMerge w:val="continue"/>
            <w:noWrap w:val="0"/>
            <w:vAlign w:val="center"/>
          </w:tcPr>
          <w:p/>
        </w:tc>
        <w:tc>
          <w:tcPr>
            <w:tcW w:w="3812" w:type="pct"/>
            <w:noWrap w:val="0"/>
            <w:vAlign w:val="center"/>
          </w:tcPr>
          <w:p>
            <w:pPr>
              <w:spacing w:before="120"/>
              <w:rPr>
                <w:rFonts w:hint="default" w:eastAsia="宋体"/>
                <w:lang w:val="en-US" w:eastAsia="zh-CN"/>
              </w:rPr>
            </w:pPr>
            <w:r>
              <w:rPr>
                <w:rFonts w:hint="eastAsia" w:cs="宋体"/>
              </w:rPr>
              <w:t>审核员：</w:t>
            </w:r>
            <w:r>
              <w:rPr>
                <w:rFonts w:hint="eastAsia" w:cs="宋体"/>
                <w:lang w:val="en-US" w:eastAsia="zh-CN"/>
              </w:rPr>
              <w:t xml:space="preserve">吉洁                   </w:t>
            </w:r>
            <w:r>
              <w:rPr>
                <w:rFonts w:hint="eastAsia" w:cs="宋体"/>
              </w:rPr>
              <w:t>审核时间：</w:t>
            </w:r>
            <w:r>
              <w:rPr>
                <w:rFonts w:hint="eastAsia" w:cs="宋体"/>
                <w:lang w:val="en-US" w:eastAsia="zh-CN"/>
              </w:rPr>
              <w:t>2022.11.11-12</w:t>
            </w:r>
          </w:p>
        </w:tc>
        <w:tc>
          <w:tcPr>
            <w:tcW w:w="32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3" w:type="pct"/>
            <w:vMerge w:val="continue"/>
            <w:noWrap w:val="0"/>
            <w:vAlign w:val="center"/>
          </w:tcPr>
          <w:p/>
        </w:tc>
        <w:tc>
          <w:tcPr>
            <w:tcW w:w="352" w:type="pct"/>
            <w:vMerge w:val="continue"/>
            <w:noWrap w:val="0"/>
            <w:vAlign w:val="center"/>
          </w:tcP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pPr>
            <w:r>
              <w:rPr>
                <w:rFonts w:hint="eastAsia" w:cs="宋体"/>
              </w:rPr>
              <w:t>审核条款：</w:t>
            </w:r>
            <w:r>
              <w:rPr>
                <w:rFonts w:hint="eastAsia" w:ascii="Times New Roman" w:hAnsi="Times New Roman" w:cs="Times New Roman"/>
                <w:sz w:val="21"/>
                <w:szCs w:val="21"/>
                <w:lang w:eastAsia="zh-CN"/>
              </w:rPr>
              <w:t>EO</w:t>
            </w:r>
            <w:r>
              <w:rPr>
                <w:rFonts w:hint="default" w:ascii="Times New Roman" w:hAnsi="Times New Roman" w:cs="Times New Roman"/>
                <w:sz w:val="21"/>
                <w:szCs w:val="21"/>
              </w:rPr>
              <w:t>5.3/6.1.2/6.2/8.1/8.2</w:t>
            </w:r>
          </w:p>
        </w:tc>
        <w:tc>
          <w:tcPr>
            <w:tcW w:w="32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noWrap w:val="0"/>
            <w:vAlign w:val="center"/>
          </w:tcPr>
          <w:p>
            <w:pPr>
              <w:rPr>
                <w:rFonts w:hint="eastAsia"/>
                <w:kern w:val="2"/>
                <w:sz w:val="21"/>
                <w:szCs w:val="21"/>
                <w:lang w:val="en-US" w:eastAsia="zh-CN" w:bidi="ar-SA"/>
              </w:rPr>
            </w:pPr>
            <w:r>
              <w:rPr>
                <w:rFonts w:hint="eastAsia"/>
                <w:sz w:val="21"/>
                <w:szCs w:val="21"/>
              </w:rPr>
              <w:t>组织的岗位、职责权限</w:t>
            </w:r>
          </w:p>
        </w:tc>
        <w:tc>
          <w:tcPr>
            <w:tcW w:w="352" w:type="pct"/>
            <w:noWrap w:val="0"/>
            <w:vAlign w:val="center"/>
          </w:tcPr>
          <w:p>
            <w:pPr>
              <w:rPr>
                <w:rFonts w:hint="eastAsia"/>
                <w:kern w:val="2"/>
                <w:sz w:val="21"/>
                <w:szCs w:val="21"/>
                <w:lang w:val="en-US" w:eastAsia="zh-CN" w:bidi="ar-SA"/>
              </w:rPr>
            </w:pPr>
            <w:r>
              <w:rPr>
                <w:rFonts w:hint="eastAsia"/>
                <w:sz w:val="21"/>
                <w:szCs w:val="21"/>
                <w:lang w:eastAsia="zh-CN"/>
              </w:rPr>
              <w:t>EO</w:t>
            </w:r>
            <w:r>
              <w:rPr>
                <w:rFonts w:hint="eastAsia"/>
                <w:sz w:val="21"/>
                <w:szCs w:val="21"/>
              </w:rPr>
              <w:t>5.3</w:t>
            </w:r>
          </w:p>
        </w:tc>
        <w:tc>
          <w:tcPr>
            <w:tcW w:w="3812" w:type="pct"/>
            <w:noWrap w:val="0"/>
            <w:vAlign w:val="center"/>
          </w:tcPr>
          <w:p>
            <w:pPr>
              <w:rPr>
                <w:rFonts w:hint="eastAsia" w:eastAsia="宋体"/>
                <w:sz w:val="21"/>
                <w:szCs w:val="21"/>
                <w:lang w:val="en-US" w:eastAsia="zh-CN"/>
              </w:rPr>
            </w:pPr>
            <w:r>
              <w:rPr>
                <w:rFonts w:hint="eastAsia"/>
                <w:sz w:val="21"/>
                <w:szCs w:val="21"/>
                <w:lang w:val="en-US" w:eastAsia="zh-CN"/>
              </w:rPr>
              <w:t>销售</w:t>
            </w:r>
            <w:r>
              <w:rPr>
                <w:rFonts w:hint="eastAsia"/>
                <w:sz w:val="21"/>
                <w:szCs w:val="21"/>
              </w:rPr>
              <w:t>部负责人：</w:t>
            </w:r>
            <w:r>
              <w:rPr>
                <w:rFonts w:hint="eastAsia"/>
                <w:sz w:val="21"/>
                <w:szCs w:val="21"/>
                <w:lang w:val="en-US" w:eastAsia="zh-CN"/>
              </w:rPr>
              <w:t>周兴旺</w:t>
            </w:r>
          </w:p>
          <w:p>
            <w:pPr>
              <w:rPr>
                <w:rFonts w:hint="eastAsia"/>
                <w:sz w:val="21"/>
                <w:szCs w:val="21"/>
              </w:rPr>
            </w:pPr>
            <w:r>
              <w:rPr>
                <w:rFonts w:hint="eastAsia"/>
                <w:sz w:val="21"/>
                <w:szCs w:val="21"/>
              </w:rPr>
              <w:t>主要负责：</w:t>
            </w:r>
          </w:p>
          <w:p>
            <w:pPr>
              <w:rPr>
                <w:rFonts w:hint="eastAsia"/>
                <w:sz w:val="21"/>
                <w:szCs w:val="21"/>
              </w:rPr>
            </w:pPr>
            <w:r>
              <w:rPr>
                <w:rFonts w:hint="eastAsia"/>
                <w:sz w:val="21"/>
                <w:szCs w:val="21"/>
              </w:rPr>
              <w:t>1、负责与产品及服务有关的要求的识别，组织与销售有关的要求的评审；</w:t>
            </w:r>
          </w:p>
          <w:p>
            <w:pPr>
              <w:rPr>
                <w:rFonts w:hint="eastAsia"/>
                <w:sz w:val="21"/>
                <w:szCs w:val="21"/>
              </w:rPr>
            </w:pPr>
            <w:r>
              <w:rPr>
                <w:rFonts w:hint="eastAsia"/>
                <w:sz w:val="21"/>
                <w:szCs w:val="21"/>
              </w:rPr>
              <w:t>2、负责顾客接待工作及与顾客的沟通和联络，准确掌握市场信息；</w:t>
            </w:r>
          </w:p>
          <w:p>
            <w:pPr>
              <w:rPr>
                <w:rFonts w:hint="eastAsia"/>
                <w:sz w:val="21"/>
                <w:szCs w:val="21"/>
              </w:rPr>
            </w:pPr>
            <w:r>
              <w:rPr>
                <w:rFonts w:hint="eastAsia"/>
                <w:sz w:val="21"/>
                <w:szCs w:val="21"/>
              </w:rPr>
              <w:t>3、负责招、投标、合同签订、续签、评审及更改等工作；</w:t>
            </w:r>
          </w:p>
          <w:p>
            <w:pPr>
              <w:rPr>
                <w:rFonts w:hint="eastAsia"/>
                <w:sz w:val="21"/>
                <w:szCs w:val="21"/>
              </w:rPr>
            </w:pPr>
            <w:r>
              <w:rPr>
                <w:rFonts w:hint="eastAsia"/>
                <w:sz w:val="21"/>
                <w:szCs w:val="21"/>
              </w:rPr>
              <w:t>4、负责公司范围内的质量/环境/职业健康安全管理体系为满足产品和服务的符合性的运行策划和控制管理工作；</w:t>
            </w:r>
          </w:p>
          <w:p>
            <w:pPr>
              <w:rPr>
                <w:rFonts w:hint="eastAsia"/>
                <w:sz w:val="21"/>
                <w:szCs w:val="21"/>
              </w:rPr>
            </w:pPr>
            <w:r>
              <w:rPr>
                <w:rFonts w:hint="eastAsia"/>
                <w:sz w:val="21"/>
                <w:szCs w:val="21"/>
              </w:rPr>
              <w:t>5、负责公司过程运行环境和基础设施的管理工作；</w:t>
            </w:r>
          </w:p>
          <w:p>
            <w:pPr>
              <w:rPr>
                <w:rFonts w:hint="eastAsia"/>
                <w:sz w:val="21"/>
                <w:szCs w:val="21"/>
              </w:rPr>
            </w:pPr>
            <w:r>
              <w:rPr>
                <w:rFonts w:hint="eastAsia"/>
                <w:sz w:val="21"/>
                <w:szCs w:val="21"/>
              </w:rPr>
              <w:t>6、负责供应商的评选，组织与采购有关的要求的评审；</w:t>
            </w:r>
          </w:p>
          <w:p>
            <w:pPr>
              <w:rPr>
                <w:rFonts w:hint="eastAsia"/>
                <w:sz w:val="21"/>
                <w:szCs w:val="21"/>
              </w:rPr>
            </w:pPr>
            <w:r>
              <w:rPr>
                <w:rFonts w:hint="eastAsia"/>
                <w:sz w:val="21"/>
                <w:szCs w:val="21"/>
              </w:rPr>
              <w:t>7、负责供应商沟通以及产品质量的评定，准确掌握市场信息；</w:t>
            </w:r>
          </w:p>
          <w:p>
            <w:pPr>
              <w:rPr>
                <w:rFonts w:hint="eastAsia"/>
                <w:sz w:val="21"/>
                <w:szCs w:val="21"/>
              </w:rPr>
            </w:pPr>
            <w:r>
              <w:rPr>
                <w:rFonts w:hint="eastAsia"/>
                <w:sz w:val="21"/>
                <w:szCs w:val="21"/>
              </w:rPr>
              <w:t>8、负责产品的采购、检验管理工作。。</w:t>
            </w:r>
          </w:p>
          <w:p>
            <w:pPr>
              <w:rPr>
                <w:rFonts w:hint="eastAsia"/>
                <w:kern w:val="2"/>
                <w:sz w:val="21"/>
                <w:szCs w:val="21"/>
                <w:lang w:val="en-US" w:eastAsia="zh-CN" w:bidi="ar-SA"/>
              </w:rPr>
            </w:pPr>
            <w:r>
              <w:rPr>
                <w:rFonts w:hint="eastAsia"/>
                <w:sz w:val="21"/>
                <w:szCs w:val="21"/>
              </w:rPr>
              <w:t>部门负责人对本部门的职责和权限以及工作流程清楚、明确完成本部门的目标指标。</w:t>
            </w:r>
          </w:p>
        </w:tc>
        <w:tc>
          <w:tcPr>
            <w:tcW w:w="32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noWrap w:val="0"/>
            <w:vAlign w:val="center"/>
          </w:tcPr>
          <w:p>
            <w:pPr>
              <w:rPr>
                <w:rFonts w:hint="eastAsia"/>
                <w:kern w:val="2"/>
                <w:sz w:val="21"/>
                <w:szCs w:val="21"/>
                <w:lang w:val="en-US" w:eastAsia="zh-CN" w:bidi="ar-SA"/>
              </w:rPr>
            </w:pPr>
            <w:r>
              <w:rPr>
                <w:rFonts w:hint="eastAsia"/>
                <w:sz w:val="21"/>
                <w:szCs w:val="21"/>
              </w:rPr>
              <w:t>目标和方案</w:t>
            </w:r>
          </w:p>
        </w:tc>
        <w:tc>
          <w:tcPr>
            <w:tcW w:w="352" w:type="pct"/>
            <w:noWrap w:val="0"/>
            <w:vAlign w:val="center"/>
          </w:tcPr>
          <w:p>
            <w:pPr>
              <w:rPr>
                <w:rFonts w:hint="eastAsia"/>
                <w:kern w:val="2"/>
                <w:sz w:val="21"/>
                <w:szCs w:val="21"/>
                <w:lang w:val="en-US" w:eastAsia="zh-CN" w:bidi="ar-SA"/>
              </w:rPr>
            </w:pPr>
            <w:r>
              <w:rPr>
                <w:rFonts w:hint="eastAsia"/>
                <w:sz w:val="21"/>
                <w:szCs w:val="21"/>
                <w:lang w:eastAsia="zh-CN"/>
              </w:rPr>
              <w:t>EO</w:t>
            </w:r>
            <w:r>
              <w:rPr>
                <w:rFonts w:hint="eastAsia"/>
                <w:sz w:val="21"/>
                <w:szCs w:val="21"/>
              </w:rPr>
              <w:t>6.2</w:t>
            </w:r>
          </w:p>
        </w:tc>
        <w:tc>
          <w:tcPr>
            <w:tcW w:w="3812" w:type="pct"/>
            <w:noWrap w:val="0"/>
            <w:vAlign w:val="center"/>
          </w:tcPr>
          <w:p>
            <w:pPr>
              <w:rPr>
                <w:rFonts w:hint="eastAsia"/>
                <w:lang w:eastAsia="zh-CN"/>
              </w:rPr>
            </w:pPr>
            <w:r>
              <w:rPr>
                <w:rFonts w:hint="eastAsia"/>
                <w:lang w:eastAsia="zh-CN"/>
              </w:rPr>
              <w:t>提供了《2022年环境、职业健康安全目标考核实施计划》，计划有考核方法考核频次等的要求。</w:t>
            </w:r>
          </w:p>
          <w:p>
            <w:pPr>
              <w:rPr>
                <w:rFonts w:hint="eastAsia"/>
              </w:rPr>
            </w:pPr>
            <w:r>
              <w:rPr>
                <w:rFonts w:hint="eastAsia"/>
                <w:lang w:eastAsia="zh-CN"/>
              </w:rPr>
              <w:t>提供了《2022年第3季度环境、职业健康安全目标考核记录》，按计划实施了目标考核</w:t>
            </w:r>
            <w:r>
              <w:rPr>
                <w:rFonts w:hint="eastAsia"/>
              </w:rPr>
              <w:t>：</w:t>
            </w:r>
          </w:p>
          <w:p>
            <w:pPr>
              <w:rPr>
                <w:rFonts w:hint="eastAsia"/>
                <w:sz w:val="21"/>
                <w:szCs w:val="21"/>
              </w:rPr>
            </w:pPr>
            <w:r>
              <w:rPr>
                <w:rFonts w:hint="eastAsia" w:cs="宋体"/>
                <w:color w:val="auto"/>
                <w:lang w:val="en-US" w:eastAsia="zh-CN"/>
              </w:rPr>
              <w:t>销售部</w:t>
            </w:r>
            <w:r>
              <w:rPr>
                <w:rFonts w:hint="eastAsia" w:cs="宋体"/>
                <w:color w:val="auto"/>
              </w:rPr>
              <w:t>目标：</w:t>
            </w:r>
            <w:r>
              <w:rPr>
                <w:color w:val="auto"/>
              </w:rPr>
              <w:t xml:space="preserve">       </w:t>
            </w:r>
            <w:r>
              <w:rPr>
                <w:rFonts w:hint="eastAsia"/>
                <w:color w:val="auto"/>
                <w:lang w:val="en-US" w:eastAsia="zh-CN"/>
              </w:rPr>
              <w:t xml:space="preserve">   </w:t>
            </w:r>
            <w:r>
              <w:rPr>
                <w:rFonts w:hint="eastAsia" w:cs="宋体"/>
                <w:color w:val="auto"/>
              </w:rPr>
              <w:t>考核情况</w:t>
            </w:r>
            <w:r>
              <w:rPr>
                <w:rFonts w:hint="eastAsia" w:cs="宋体"/>
                <w:color w:val="auto"/>
                <w:lang w:eastAsia="zh-CN"/>
              </w:rPr>
              <w:t>（</w:t>
            </w:r>
            <w:r>
              <w:rPr>
                <w:rFonts w:hint="eastAsia" w:cs="宋体"/>
                <w:color w:val="auto"/>
                <w:lang w:val="en-US" w:eastAsia="zh-CN"/>
              </w:rPr>
              <w:t>2022年3季度</w:t>
            </w:r>
            <w:r>
              <w:rPr>
                <w:rFonts w:hint="eastAsia" w:cs="宋体"/>
                <w:color w:val="auto"/>
                <w:lang w:eastAsia="zh-CN"/>
              </w:rPr>
              <w:t>）</w:t>
            </w:r>
          </w:p>
          <w:p>
            <w:pPr>
              <w:rPr>
                <w:rFonts w:hint="eastAsia"/>
                <w:sz w:val="21"/>
                <w:szCs w:val="21"/>
              </w:rPr>
            </w:pPr>
            <w:r>
              <w:rPr>
                <w:rFonts w:hint="eastAsia"/>
                <w:sz w:val="21"/>
                <w:szCs w:val="21"/>
              </w:rPr>
              <w:t>不发生火灾</w:t>
            </w:r>
            <w:r>
              <w:rPr>
                <w:rFonts w:hint="eastAsia"/>
                <w:sz w:val="21"/>
                <w:szCs w:val="21"/>
              </w:rPr>
              <w:tab/>
            </w:r>
            <w:r>
              <w:rPr>
                <w:rFonts w:hint="eastAsia"/>
                <w:sz w:val="21"/>
                <w:szCs w:val="21"/>
                <w:lang w:val="en-US" w:eastAsia="zh-CN"/>
              </w:rPr>
              <w:t xml:space="preserve">          </w:t>
            </w:r>
            <w:r>
              <w:rPr>
                <w:rFonts w:hint="eastAsia"/>
                <w:sz w:val="21"/>
                <w:szCs w:val="21"/>
              </w:rPr>
              <w:t>未发生</w:t>
            </w:r>
          </w:p>
          <w:p>
            <w:pPr>
              <w:rPr>
                <w:rFonts w:hint="eastAsia"/>
                <w:sz w:val="21"/>
                <w:szCs w:val="21"/>
              </w:rPr>
            </w:pPr>
            <w:r>
              <w:rPr>
                <w:rFonts w:hint="eastAsia"/>
                <w:sz w:val="21"/>
                <w:szCs w:val="21"/>
              </w:rPr>
              <w:t>固体废物分类、收集</w:t>
            </w:r>
            <w:r>
              <w:rPr>
                <w:rFonts w:hint="eastAsia"/>
                <w:sz w:val="21"/>
                <w:szCs w:val="21"/>
              </w:rPr>
              <w:tab/>
            </w:r>
            <w:r>
              <w:rPr>
                <w:rFonts w:hint="eastAsia"/>
                <w:sz w:val="21"/>
                <w:szCs w:val="21"/>
                <w:lang w:val="en-US" w:eastAsia="zh-CN"/>
              </w:rPr>
              <w:t xml:space="preserve"> </w:t>
            </w:r>
            <w:r>
              <w:rPr>
                <w:rFonts w:hint="eastAsia"/>
                <w:sz w:val="21"/>
                <w:szCs w:val="21"/>
              </w:rPr>
              <w:t>符合要求</w:t>
            </w:r>
          </w:p>
          <w:p>
            <w:pPr>
              <w:rPr>
                <w:rFonts w:hint="eastAsia"/>
                <w:sz w:val="21"/>
                <w:szCs w:val="21"/>
              </w:rPr>
            </w:pPr>
            <w:r>
              <w:rPr>
                <w:rFonts w:hint="eastAsia"/>
                <w:sz w:val="21"/>
                <w:szCs w:val="21"/>
              </w:rPr>
              <w:t>无环境投诉</w:t>
            </w:r>
            <w:r>
              <w:rPr>
                <w:rFonts w:hint="eastAsia"/>
                <w:sz w:val="21"/>
                <w:szCs w:val="21"/>
              </w:rPr>
              <w:tab/>
            </w:r>
            <w:r>
              <w:rPr>
                <w:rFonts w:hint="eastAsia"/>
                <w:sz w:val="21"/>
                <w:szCs w:val="21"/>
                <w:lang w:val="en-US" w:eastAsia="zh-CN"/>
              </w:rPr>
              <w:t xml:space="preserve">           </w:t>
            </w:r>
            <w:r>
              <w:rPr>
                <w:rFonts w:hint="eastAsia"/>
                <w:sz w:val="21"/>
                <w:szCs w:val="21"/>
              </w:rPr>
              <w:t>无</w:t>
            </w:r>
          </w:p>
          <w:p>
            <w:pPr>
              <w:rPr>
                <w:rFonts w:hint="eastAsia"/>
                <w:sz w:val="21"/>
                <w:szCs w:val="21"/>
              </w:rPr>
            </w:pPr>
            <w:r>
              <w:rPr>
                <w:rFonts w:hint="eastAsia"/>
                <w:sz w:val="21"/>
                <w:szCs w:val="21"/>
              </w:rPr>
              <w:t>无安全事故</w:t>
            </w:r>
            <w:r>
              <w:rPr>
                <w:rFonts w:hint="eastAsia"/>
                <w:sz w:val="21"/>
                <w:szCs w:val="21"/>
              </w:rPr>
              <w:tab/>
            </w:r>
            <w:r>
              <w:rPr>
                <w:rFonts w:hint="eastAsia"/>
                <w:sz w:val="21"/>
                <w:szCs w:val="21"/>
                <w:lang w:val="en-US" w:eastAsia="zh-CN"/>
              </w:rPr>
              <w:t xml:space="preserve">           </w:t>
            </w:r>
            <w:r>
              <w:rPr>
                <w:rFonts w:hint="eastAsia"/>
                <w:sz w:val="21"/>
                <w:szCs w:val="21"/>
              </w:rPr>
              <w:t>无</w:t>
            </w:r>
          </w:p>
          <w:p>
            <w:pPr>
              <w:rPr>
                <w:rFonts w:hint="eastAsia"/>
                <w:sz w:val="21"/>
                <w:szCs w:val="21"/>
              </w:rPr>
            </w:pPr>
            <w:r>
              <w:rPr>
                <w:rFonts w:hint="eastAsia"/>
                <w:sz w:val="21"/>
                <w:szCs w:val="21"/>
              </w:rPr>
              <w:t>职业伤害零发生</w:t>
            </w:r>
            <w:r>
              <w:rPr>
                <w:rFonts w:hint="eastAsia"/>
                <w:sz w:val="21"/>
                <w:szCs w:val="21"/>
              </w:rPr>
              <w:tab/>
            </w:r>
            <w:r>
              <w:rPr>
                <w:rFonts w:hint="eastAsia"/>
                <w:sz w:val="21"/>
                <w:szCs w:val="21"/>
                <w:lang w:val="en-US" w:eastAsia="zh-CN"/>
              </w:rPr>
              <w:t xml:space="preserve">      </w:t>
            </w:r>
            <w:r>
              <w:rPr>
                <w:rFonts w:hint="eastAsia"/>
                <w:sz w:val="21"/>
                <w:szCs w:val="21"/>
              </w:rPr>
              <w:t>未发生</w:t>
            </w:r>
          </w:p>
          <w:p>
            <w:pPr>
              <w:pStyle w:val="14"/>
              <w:rPr>
                <w:rFonts w:hint="eastAsia"/>
              </w:rPr>
            </w:pPr>
            <w:r>
              <w:rPr>
                <w:rFonts w:hint="eastAsia" w:ascii="Times New Roman" w:hAnsi="Times New Roman" w:eastAsia="宋体" w:cs="Times New Roman"/>
                <w:lang w:val="en-US" w:eastAsia="zh-CN"/>
              </w:rPr>
              <w:t>考核人：崔永佳 ， 批准人：王林会，日期：2022.9.30</w:t>
            </w:r>
          </w:p>
          <w:p>
            <w:pPr>
              <w:rPr>
                <w:rFonts w:hint="eastAsia"/>
                <w:sz w:val="21"/>
                <w:szCs w:val="21"/>
              </w:rPr>
            </w:pPr>
            <w:r>
              <w:rPr>
                <w:rFonts w:hint="eastAsia"/>
                <w:sz w:val="21"/>
                <w:szCs w:val="21"/>
              </w:rPr>
              <w:t>对以上的目标指标制定了管理方案：</w:t>
            </w:r>
          </w:p>
          <w:p>
            <w:pPr>
              <w:rPr>
                <w:rFonts w:hint="eastAsia"/>
                <w:sz w:val="21"/>
                <w:szCs w:val="21"/>
                <w:lang w:val="en-US" w:eastAsia="zh-CN"/>
              </w:rPr>
            </w:pPr>
            <w:r>
              <w:rPr>
                <w:rFonts w:hint="eastAsia"/>
                <w:sz w:val="21"/>
                <w:szCs w:val="21"/>
                <w:lang w:val="en-US" w:eastAsia="zh-CN"/>
              </w:rPr>
              <w:t>抽——潜在火灾</w:t>
            </w:r>
            <w:r>
              <w:rPr>
                <w:rFonts w:hint="eastAsia"/>
                <w:sz w:val="21"/>
                <w:szCs w:val="21"/>
                <w:lang w:val="en-US" w:eastAsia="zh-CN"/>
              </w:rPr>
              <w:tab/>
            </w:r>
            <w:r>
              <w:rPr>
                <w:rFonts w:hint="eastAsia"/>
                <w:sz w:val="21"/>
                <w:szCs w:val="21"/>
                <w:lang w:val="en-US" w:eastAsia="zh-CN"/>
              </w:rPr>
              <w:t>对火灾防范措施检查，火灾事件为0</w:t>
            </w:r>
            <w:r>
              <w:rPr>
                <w:rFonts w:hint="eastAsia"/>
                <w:sz w:val="21"/>
                <w:szCs w:val="21"/>
                <w:lang w:val="en-US" w:eastAsia="zh-CN"/>
              </w:rPr>
              <w:tab/>
            </w:r>
          </w:p>
          <w:p>
            <w:pPr>
              <w:rPr>
                <w:rFonts w:hint="eastAsia"/>
                <w:sz w:val="21"/>
                <w:szCs w:val="21"/>
                <w:lang w:val="en-US" w:eastAsia="zh-CN"/>
              </w:rPr>
            </w:pPr>
            <w:r>
              <w:rPr>
                <w:rFonts w:hint="eastAsia"/>
                <w:sz w:val="21"/>
                <w:szCs w:val="21"/>
                <w:lang w:val="en-US" w:eastAsia="zh-CN"/>
              </w:rPr>
              <w:t>措施：1、更换有效的灭火器</w:t>
            </w:r>
          </w:p>
          <w:p>
            <w:pPr>
              <w:rPr>
                <w:rFonts w:hint="eastAsia"/>
                <w:sz w:val="21"/>
                <w:szCs w:val="21"/>
                <w:lang w:val="en-US" w:eastAsia="zh-CN"/>
              </w:rPr>
            </w:pPr>
            <w:r>
              <w:rPr>
                <w:rFonts w:hint="eastAsia"/>
                <w:sz w:val="21"/>
                <w:szCs w:val="21"/>
                <w:lang w:val="en-US" w:eastAsia="zh-CN"/>
              </w:rPr>
              <w:t>2、对有关岗位进行培训</w:t>
            </w:r>
          </w:p>
          <w:p>
            <w:pPr>
              <w:rPr>
                <w:rFonts w:hint="eastAsia"/>
                <w:sz w:val="21"/>
                <w:szCs w:val="21"/>
                <w:lang w:val="en-US" w:eastAsia="zh-CN"/>
              </w:rPr>
            </w:pPr>
            <w:r>
              <w:rPr>
                <w:rFonts w:hint="eastAsia"/>
                <w:sz w:val="21"/>
                <w:szCs w:val="21"/>
                <w:lang w:val="en-US" w:eastAsia="zh-CN"/>
              </w:rPr>
              <w:t>3、办公区设禁烟标识</w:t>
            </w:r>
          </w:p>
          <w:p>
            <w:pPr>
              <w:rPr>
                <w:rFonts w:hint="eastAsia"/>
                <w:sz w:val="21"/>
                <w:szCs w:val="21"/>
                <w:lang w:val="en-US" w:eastAsia="zh-CN"/>
              </w:rPr>
            </w:pPr>
            <w:r>
              <w:rPr>
                <w:rFonts w:hint="eastAsia"/>
                <w:sz w:val="21"/>
                <w:szCs w:val="21"/>
                <w:lang w:val="en-US" w:eastAsia="zh-CN"/>
              </w:rPr>
              <w:t>4、对火灾防范、控制情况进行检查</w:t>
            </w:r>
          </w:p>
          <w:p>
            <w:pPr>
              <w:rPr>
                <w:rFonts w:hint="eastAsia"/>
                <w:sz w:val="21"/>
                <w:szCs w:val="21"/>
                <w:lang w:val="en-US" w:eastAsia="zh-CN"/>
              </w:rPr>
            </w:pPr>
            <w:r>
              <w:rPr>
                <w:rFonts w:hint="eastAsia"/>
                <w:sz w:val="21"/>
                <w:szCs w:val="21"/>
                <w:lang w:val="en-US" w:eastAsia="zh-CN"/>
              </w:rPr>
              <w:t>5、对火灾应急预案进行演练</w:t>
            </w:r>
            <w:r>
              <w:rPr>
                <w:rFonts w:hint="eastAsia"/>
                <w:sz w:val="21"/>
                <w:szCs w:val="21"/>
                <w:lang w:val="en-US" w:eastAsia="zh-CN"/>
              </w:rPr>
              <w:tab/>
            </w:r>
          </w:p>
          <w:p>
            <w:pPr>
              <w:rPr>
                <w:rFonts w:hint="eastAsia" w:eastAsia="宋体"/>
                <w:sz w:val="21"/>
                <w:szCs w:val="21"/>
                <w:lang w:val="en-US" w:eastAsia="zh-CN"/>
              </w:rPr>
            </w:pPr>
            <w:r>
              <w:rPr>
                <w:rFonts w:hint="eastAsia"/>
                <w:sz w:val="21"/>
                <w:szCs w:val="21"/>
                <w:lang w:val="en-US" w:eastAsia="zh-CN"/>
              </w:rPr>
              <w:t>费用500</w:t>
            </w:r>
            <w:r>
              <w:rPr>
                <w:rFonts w:hint="eastAsia"/>
                <w:sz w:val="21"/>
                <w:szCs w:val="21"/>
                <w:lang w:val="en-US" w:eastAsia="zh-CN"/>
              </w:rPr>
              <w:tab/>
            </w:r>
            <w:r>
              <w:rPr>
                <w:rFonts w:hint="eastAsia"/>
                <w:sz w:val="21"/>
                <w:szCs w:val="21"/>
                <w:lang w:val="en-US" w:eastAsia="zh-CN"/>
              </w:rPr>
              <w:t xml:space="preserve"> 责任部门：办公室</w:t>
            </w:r>
            <w:r>
              <w:rPr>
                <w:rFonts w:hint="eastAsia"/>
                <w:sz w:val="21"/>
                <w:szCs w:val="21"/>
                <w:lang w:val="en-US" w:eastAsia="zh-CN"/>
              </w:rPr>
              <w:tab/>
            </w:r>
            <w:r>
              <w:rPr>
                <w:rFonts w:hint="eastAsia"/>
                <w:sz w:val="21"/>
                <w:szCs w:val="21"/>
                <w:lang w:val="en-US" w:eastAsia="zh-CN"/>
              </w:rPr>
              <w:t>完成期限：2022.7.1-2022年底</w:t>
            </w:r>
          </w:p>
          <w:p>
            <w:pPr>
              <w:rPr>
                <w:rFonts w:hint="eastAsia"/>
                <w:sz w:val="21"/>
                <w:szCs w:val="21"/>
                <w:lang w:val="en-US" w:eastAsia="zh-CN"/>
              </w:rPr>
            </w:pPr>
            <w:r>
              <w:rPr>
                <w:rFonts w:hint="eastAsia"/>
                <w:sz w:val="21"/>
                <w:szCs w:val="21"/>
                <w:lang w:val="en-US" w:eastAsia="zh-CN"/>
              </w:rPr>
              <w:t>抽——危化品泄露 杜绝危化品泄露事故</w:t>
            </w:r>
          </w:p>
          <w:p>
            <w:pPr>
              <w:rPr>
                <w:rFonts w:hint="default"/>
                <w:sz w:val="21"/>
                <w:szCs w:val="21"/>
                <w:lang w:val="en-US" w:eastAsia="zh-CN"/>
              </w:rPr>
            </w:pPr>
            <w:r>
              <w:rPr>
                <w:rFonts w:hint="eastAsia"/>
                <w:sz w:val="21"/>
                <w:szCs w:val="21"/>
                <w:lang w:val="en-US" w:eastAsia="zh-CN"/>
              </w:rPr>
              <w:t>措施：1、配备应急处置装置</w:t>
            </w:r>
          </w:p>
          <w:p>
            <w:pPr>
              <w:rPr>
                <w:rFonts w:hint="eastAsia"/>
                <w:sz w:val="21"/>
                <w:szCs w:val="21"/>
                <w:lang w:val="en-US" w:eastAsia="zh-CN"/>
              </w:rPr>
            </w:pPr>
            <w:r>
              <w:rPr>
                <w:rFonts w:hint="eastAsia"/>
                <w:sz w:val="21"/>
                <w:szCs w:val="21"/>
                <w:lang w:val="en-US" w:eastAsia="zh-CN"/>
              </w:rPr>
              <w:t>2、对有关岗位进行培训</w:t>
            </w:r>
          </w:p>
          <w:p>
            <w:pPr>
              <w:rPr>
                <w:rFonts w:hint="eastAsia"/>
                <w:sz w:val="21"/>
                <w:szCs w:val="21"/>
                <w:lang w:val="en-US" w:eastAsia="zh-CN"/>
              </w:rPr>
            </w:pPr>
            <w:r>
              <w:rPr>
                <w:rFonts w:hint="eastAsia"/>
                <w:sz w:val="21"/>
                <w:szCs w:val="21"/>
                <w:lang w:val="en-US" w:eastAsia="zh-CN"/>
              </w:rPr>
              <w:t>3、关键区域、岗位设置标识</w:t>
            </w:r>
          </w:p>
          <w:p>
            <w:pPr>
              <w:rPr>
                <w:rFonts w:hint="eastAsia"/>
                <w:sz w:val="21"/>
                <w:szCs w:val="21"/>
                <w:lang w:val="en-US" w:eastAsia="zh-CN"/>
              </w:rPr>
            </w:pPr>
            <w:r>
              <w:rPr>
                <w:rFonts w:hint="eastAsia"/>
                <w:sz w:val="21"/>
                <w:szCs w:val="21"/>
                <w:lang w:val="en-US" w:eastAsia="zh-CN"/>
              </w:rPr>
              <w:t>4、对危化品防范、控制情况进行检查</w:t>
            </w:r>
          </w:p>
          <w:p>
            <w:pPr>
              <w:rPr>
                <w:rFonts w:hint="eastAsia"/>
                <w:sz w:val="21"/>
                <w:szCs w:val="21"/>
                <w:lang w:val="en-US" w:eastAsia="zh-CN"/>
              </w:rPr>
            </w:pPr>
            <w:r>
              <w:rPr>
                <w:rFonts w:hint="eastAsia"/>
                <w:sz w:val="21"/>
                <w:szCs w:val="21"/>
                <w:lang w:val="en-US" w:eastAsia="zh-CN"/>
              </w:rPr>
              <w:t>5、对危化品泄露应急预案进行演练</w:t>
            </w:r>
            <w:r>
              <w:rPr>
                <w:rFonts w:hint="eastAsia"/>
                <w:sz w:val="21"/>
                <w:szCs w:val="21"/>
                <w:lang w:val="en-US" w:eastAsia="zh-CN"/>
              </w:rPr>
              <w:tab/>
            </w:r>
          </w:p>
          <w:p>
            <w:pPr>
              <w:rPr>
                <w:rFonts w:hint="eastAsia"/>
                <w:sz w:val="21"/>
                <w:szCs w:val="21"/>
                <w:lang w:val="en-US" w:eastAsia="zh-CN"/>
              </w:rPr>
            </w:pPr>
            <w:r>
              <w:rPr>
                <w:rFonts w:hint="eastAsia"/>
                <w:sz w:val="21"/>
                <w:szCs w:val="21"/>
                <w:lang w:val="en-US" w:eastAsia="zh-CN"/>
              </w:rPr>
              <w:t>费用5000</w:t>
            </w:r>
            <w:r>
              <w:rPr>
                <w:rFonts w:hint="eastAsia"/>
                <w:sz w:val="21"/>
                <w:szCs w:val="21"/>
                <w:lang w:val="en-US" w:eastAsia="zh-CN"/>
              </w:rPr>
              <w:tab/>
            </w:r>
            <w:r>
              <w:rPr>
                <w:rFonts w:hint="eastAsia"/>
                <w:sz w:val="21"/>
                <w:szCs w:val="21"/>
                <w:lang w:val="en-US" w:eastAsia="zh-CN"/>
              </w:rPr>
              <w:t xml:space="preserve"> 责任部门：销售部</w:t>
            </w:r>
            <w:r>
              <w:rPr>
                <w:rFonts w:hint="eastAsia"/>
                <w:sz w:val="21"/>
                <w:szCs w:val="21"/>
                <w:lang w:val="en-US" w:eastAsia="zh-CN"/>
              </w:rPr>
              <w:tab/>
            </w:r>
            <w:r>
              <w:rPr>
                <w:rFonts w:hint="eastAsia"/>
                <w:sz w:val="21"/>
                <w:szCs w:val="21"/>
                <w:lang w:val="en-US" w:eastAsia="zh-CN"/>
              </w:rPr>
              <w:t>完成期限：2022.7.1-2022年底</w:t>
            </w:r>
          </w:p>
          <w:p>
            <w:pPr>
              <w:rPr>
                <w:rFonts w:hint="eastAsia"/>
                <w:sz w:val="21"/>
                <w:szCs w:val="21"/>
              </w:rPr>
            </w:pPr>
            <w:r>
              <w:rPr>
                <w:rFonts w:hint="eastAsia"/>
                <w:sz w:val="21"/>
                <w:szCs w:val="21"/>
              </w:rPr>
              <w:t>每季度组织一次对目标、指标管理方案进行程度、完成情况的考核，提供安全目标、指标考核记录，20</w:t>
            </w:r>
            <w:r>
              <w:rPr>
                <w:rFonts w:hint="eastAsia"/>
                <w:sz w:val="21"/>
                <w:szCs w:val="21"/>
                <w:lang w:val="en-US" w:eastAsia="zh-CN"/>
              </w:rPr>
              <w:t>22</w:t>
            </w:r>
            <w:r>
              <w:rPr>
                <w:rFonts w:hint="eastAsia"/>
                <w:sz w:val="21"/>
                <w:szCs w:val="21"/>
              </w:rPr>
              <w:t>年</w:t>
            </w:r>
            <w:r>
              <w:rPr>
                <w:rFonts w:hint="eastAsia"/>
                <w:sz w:val="21"/>
                <w:szCs w:val="21"/>
                <w:lang w:val="en-US" w:eastAsia="zh-CN"/>
              </w:rPr>
              <w:t>3</w:t>
            </w:r>
            <w:r>
              <w:rPr>
                <w:rFonts w:hint="eastAsia"/>
                <w:sz w:val="21"/>
                <w:szCs w:val="21"/>
              </w:rPr>
              <w:t>季度的目标、指标管理方案完成情况考核，达到了阶段性的目标要求。</w:t>
            </w:r>
          </w:p>
          <w:p>
            <w:pPr>
              <w:rPr>
                <w:rFonts w:hint="eastAsia"/>
                <w:kern w:val="2"/>
                <w:sz w:val="21"/>
                <w:szCs w:val="21"/>
                <w:lang w:val="en-US" w:eastAsia="zh-CN" w:bidi="ar-SA"/>
              </w:rPr>
            </w:pPr>
            <w:r>
              <w:rPr>
                <w:rFonts w:hint="eastAsia"/>
                <w:sz w:val="21"/>
                <w:szCs w:val="21"/>
              </w:rPr>
              <w:t>制定的指标和管理方案基本可行。</w:t>
            </w:r>
          </w:p>
        </w:tc>
        <w:tc>
          <w:tcPr>
            <w:tcW w:w="32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13" w:type="pct"/>
            <w:noWrap w:val="0"/>
            <w:vAlign w:val="center"/>
          </w:tcPr>
          <w:p>
            <w:pPr>
              <w:rPr>
                <w:rFonts w:hint="eastAsia"/>
                <w:kern w:val="2"/>
                <w:sz w:val="21"/>
                <w:szCs w:val="21"/>
                <w:lang w:val="en-US" w:eastAsia="zh-CN" w:bidi="ar-SA"/>
              </w:rPr>
            </w:pPr>
            <w:r>
              <w:rPr>
                <w:rFonts w:hint="eastAsia"/>
                <w:sz w:val="21"/>
                <w:szCs w:val="21"/>
              </w:rPr>
              <w:t>环境因素</w:t>
            </w:r>
            <w:r>
              <w:rPr>
                <w:rFonts w:hint="eastAsia"/>
                <w:sz w:val="21"/>
                <w:szCs w:val="21"/>
                <w:lang w:eastAsia="zh-CN"/>
              </w:rPr>
              <w:t>、</w:t>
            </w:r>
            <w:r>
              <w:rPr>
                <w:rFonts w:hint="eastAsia"/>
                <w:sz w:val="21"/>
                <w:szCs w:val="21"/>
                <w:lang w:val="en-US" w:eastAsia="zh-CN"/>
              </w:rPr>
              <w:t>危险源</w:t>
            </w:r>
            <w:r>
              <w:rPr>
                <w:rFonts w:hint="eastAsia"/>
                <w:sz w:val="21"/>
                <w:szCs w:val="21"/>
              </w:rPr>
              <w:t>评价和控制措施的确定</w:t>
            </w:r>
          </w:p>
        </w:tc>
        <w:tc>
          <w:tcPr>
            <w:tcW w:w="352" w:type="pct"/>
            <w:noWrap w:val="0"/>
            <w:vAlign w:val="center"/>
          </w:tcPr>
          <w:p>
            <w:pPr>
              <w:rPr>
                <w:rFonts w:hint="eastAsia"/>
                <w:kern w:val="2"/>
                <w:sz w:val="21"/>
                <w:szCs w:val="21"/>
                <w:lang w:val="en-US" w:eastAsia="zh-CN" w:bidi="ar-SA"/>
              </w:rPr>
            </w:pPr>
            <w:r>
              <w:rPr>
                <w:rFonts w:hint="eastAsia"/>
                <w:sz w:val="21"/>
                <w:szCs w:val="21"/>
                <w:lang w:eastAsia="zh-CN"/>
              </w:rPr>
              <w:t>E</w:t>
            </w:r>
            <w:r>
              <w:rPr>
                <w:rFonts w:hint="eastAsia"/>
                <w:sz w:val="21"/>
                <w:szCs w:val="21"/>
                <w:lang w:val="en-US" w:eastAsia="zh-CN"/>
              </w:rPr>
              <w:t>O</w:t>
            </w:r>
            <w:r>
              <w:rPr>
                <w:rFonts w:hint="eastAsia"/>
                <w:sz w:val="21"/>
                <w:szCs w:val="21"/>
              </w:rPr>
              <w:t>6.1.2</w:t>
            </w:r>
          </w:p>
        </w:tc>
        <w:tc>
          <w:tcPr>
            <w:tcW w:w="3812" w:type="pct"/>
            <w:noWrap w:val="0"/>
            <w:vAlign w:val="center"/>
          </w:tcPr>
          <w:p>
            <w:pPr>
              <w:rPr>
                <w:rFonts w:hint="eastAsia"/>
                <w:color w:val="auto"/>
                <w:sz w:val="21"/>
                <w:szCs w:val="21"/>
              </w:rPr>
            </w:pPr>
            <w:r>
              <w:rPr>
                <w:rFonts w:hint="eastAsia"/>
                <w:sz w:val="21"/>
                <w:szCs w:val="21"/>
                <w:lang w:eastAsia="zh-CN"/>
              </w:rPr>
              <w:t>查企业</w:t>
            </w:r>
            <w:r>
              <w:rPr>
                <w:rFonts w:hint="eastAsia"/>
                <w:sz w:val="21"/>
                <w:szCs w:val="21"/>
              </w:rPr>
              <w:t>编</w:t>
            </w:r>
            <w:r>
              <w:rPr>
                <w:rFonts w:hint="eastAsia"/>
                <w:color w:val="auto"/>
                <w:sz w:val="21"/>
                <w:szCs w:val="21"/>
              </w:rPr>
              <w:t>制了《环境因素识别与评价控制程序</w:t>
            </w:r>
            <w:r>
              <w:rPr>
                <w:rFonts w:hint="eastAsia"/>
                <w:color w:val="auto"/>
                <w:sz w:val="21"/>
                <w:szCs w:val="21"/>
                <w:lang w:eastAsia="zh-CN"/>
              </w:rPr>
              <w:t>》、《</w:t>
            </w:r>
            <w:r>
              <w:rPr>
                <w:rFonts w:hint="eastAsia"/>
                <w:color w:val="auto"/>
                <w:sz w:val="21"/>
                <w:szCs w:val="21"/>
              </w:rPr>
              <w:t>危险源辩识</w:t>
            </w:r>
            <w:r>
              <w:rPr>
                <w:rFonts w:hint="eastAsia"/>
                <w:color w:val="auto"/>
                <w:sz w:val="21"/>
                <w:szCs w:val="21"/>
                <w:lang w:eastAsia="zh-CN"/>
              </w:rPr>
              <w:t>和</w:t>
            </w:r>
            <w:r>
              <w:rPr>
                <w:rFonts w:hint="eastAsia"/>
                <w:color w:val="auto"/>
                <w:sz w:val="21"/>
                <w:szCs w:val="21"/>
              </w:rPr>
              <w:t>风险评价控制程序》，经文审符合标准要求</w:t>
            </w:r>
          </w:p>
          <w:p>
            <w:pPr>
              <w:rPr>
                <w:rFonts w:hint="eastAsia"/>
                <w:color w:val="auto"/>
              </w:rPr>
            </w:pPr>
            <w:r>
              <w:rPr>
                <w:rFonts w:hint="eastAsia"/>
                <w:color w:val="auto"/>
                <w:lang w:eastAsia="zh-CN"/>
              </w:rPr>
              <w:t>提供《</w:t>
            </w:r>
            <w:r>
              <w:rPr>
                <w:rFonts w:hint="eastAsia"/>
                <w:color w:val="auto"/>
              </w:rPr>
              <w:t>环境因素</w:t>
            </w:r>
            <w:r>
              <w:rPr>
                <w:rFonts w:hint="eastAsia"/>
                <w:color w:val="auto"/>
                <w:lang w:val="en-US" w:eastAsia="zh-CN"/>
              </w:rPr>
              <w:t>评价表</w:t>
            </w:r>
            <w:r>
              <w:rPr>
                <w:rFonts w:hint="eastAsia"/>
                <w:color w:val="auto"/>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区、库房</w:t>
            </w:r>
            <w:r>
              <w:rPr>
                <w:rFonts w:hint="eastAsia"/>
                <w:color w:val="auto"/>
              </w:rPr>
              <w:t>等，</w:t>
            </w:r>
            <w:r>
              <w:rPr>
                <w:rFonts w:hint="eastAsia"/>
                <w:color w:val="auto"/>
                <w:lang w:eastAsia="zh-CN"/>
              </w:rPr>
              <w:t>包括</w:t>
            </w:r>
            <w:r>
              <w:rPr>
                <w:rFonts w:hint="eastAsia"/>
                <w:color w:val="auto"/>
              </w:rPr>
              <w:t>固废废弃、意外火灾、</w:t>
            </w:r>
            <w:r>
              <w:rPr>
                <w:rFonts w:hint="eastAsia"/>
                <w:color w:val="auto"/>
                <w:lang w:eastAsia="zh-CN"/>
              </w:rPr>
              <w:t>车辆</w:t>
            </w:r>
            <w:r>
              <w:rPr>
                <w:rFonts w:hint="eastAsia"/>
                <w:color w:val="auto"/>
                <w:lang w:val="en-US" w:eastAsia="zh-CN"/>
              </w:rPr>
              <w:t>噪声、车辆尾气排放、车辆油品泄漏等</w:t>
            </w:r>
            <w:r>
              <w:rPr>
                <w:rFonts w:hint="eastAsia"/>
                <w:color w:val="auto"/>
              </w:rPr>
              <w:t>等。</w:t>
            </w:r>
          </w:p>
          <w:p>
            <w:pPr>
              <w:jc w:val="left"/>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采用是否法评价出重要环境因素：</w:t>
            </w:r>
            <w:r>
              <w:rPr>
                <w:rFonts w:hint="eastAsia" w:ascii="宋体" w:hAnsi="宋体" w:eastAsia="宋体" w:cs="宋体"/>
                <w:b w:val="0"/>
                <w:bCs w:val="0"/>
                <w:color w:val="auto"/>
                <w:sz w:val="21"/>
                <w:szCs w:val="21"/>
                <w:lang w:val="en-US" w:eastAsia="zh-CN"/>
              </w:rPr>
              <w:t>火灾、</w:t>
            </w:r>
            <w:r>
              <w:rPr>
                <w:rFonts w:hint="eastAsia" w:ascii="宋体" w:hAnsi="宋体" w:cs="宋体"/>
                <w:b w:val="0"/>
                <w:bCs w:val="0"/>
                <w:color w:val="auto"/>
                <w:sz w:val="21"/>
                <w:szCs w:val="21"/>
                <w:lang w:val="en-US" w:eastAsia="zh-CN"/>
              </w:rPr>
              <w:t>固体废弃物</w:t>
            </w:r>
            <w:r>
              <w:rPr>
                <w:rFonts w:hint="eastAsia" w:ascii="宋体" w:hAnsi="宋体" w:eastAsia="宋体" w:cs="宋体"/>
                <w:b w:val="0"/>
                <w:bCs w:val="0"/>
                <w:color w:val="auto"/>
                <w:sz w:val="21"/>
                <w:szCs w:val="21"/>
                <w:lang w:val="en-US" w:eastAsia="zh-CN"/>
              </w:rPr>
              <w:t>排放、疫情防控物资废弃物排放、危化品泄露；</w:t>
            </w:r>
          </w:p>
          <w:p>
            <w:pPr>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提供了《</w:t>
            </w:r>
            <w:r>
              <w:rPr>
                <w:rFonts w:hint="eastAsia" w:ascii="宋体" w:hAnsi="宋体" w:cs="宋体"/>
                <w:b w:val="0"/>
                <w:bCs w:val="0"/>
                <w:color w:val="auto"/>
                <w:sz w:val="21"/>
                <w:szCs w:val="21"/>
                <w:lang w:val="en-US" w:eastAsia="zh-CN"/>
              </w:rPr>
              <w:t>危险源辨识与风险评价记录</w:t>
            </w:r>
            <w:r>
              <w:rPr>
                <w:rFonts w:hint="eastAsia" w:ascii="宋体" w:hAnsi="宋体" w:eastAsia="宋体" w:cs="宋体"/>
                <w:b w:val="0"/>
                <w:bCs w:val="0"/>
                <w:color w:val="auto"/>
                <w:sz w:val="21"/>
                <w:szCs w:val="21"/>
                <w:lang w:val="en-US" w:eastAsia="zh-CN"/>
              </w:rPr>
              <w:t>》，按部门作业活动过程识别了危险源，</w:t>
            </w:r>
            <w:r>
              <w:rPr>
                <w:rFonts w:hint="eastAsia" w:ascii="宋体" w:hAnsi="宋体" w:cs="宋体"/>
                <w:b w:val="0"/>
                <w:bCs w:val="0"/>
                <w:color w:val="auto"/>
                <w:sz w:val="21"/>
                <w:szCs w:val="21"/>
                <w:lang w:val="en-US" w:eastAsia="zh-CN"/>
              </w:rPr>
              <w:t>识别出危险源如：爆炸、火灾、触电、新冠病毒感染、交通事故、危化品泄露等，</w:t>
            </w:r>
            <w:r>
              <w:rPr>
                <w:rFonts w:hint="eastAsia" w:ascii="宋体" w:hAnsi="宋体" w:eastAsia="宋体" w:cs="宋体"/>
                <w:b w:val="0"/>
                <w:bCs w:val="0"/>
                <w:color w:val="auto"/>
                <w:sz w:val="21"/>
                <w:szCs w:val="21"/>
                <w:lang w:val="en-US" w:eastAsia="zh-CN"/>
              </w:rPr>
              <w:t>编制了《不可接受风险清单》，</w:t>
            </w:r>
            <w:r>
              <w:rPr>
                <w:rFonts w:hint="eastAsia" w:ascii="宋体" w:hAnsi="宋体" w:cs="宋体"/>
                <w:b w:val="0"/>
                <w:bCs w:val="0"/>
                <w:color w:val="auto"/>
                <w:sz w:val="21"/>
                <w:szCs w:val="21"/>
                <w:lang w:val="en-US" w:eastAsia="zh-CN"/>
              </w:rPr>
              <w:t>评价出不可接受风险</w:t>
            </w:r>
            <w:r>
              <w:rPr>
                <w:rFonts w:hint="eastAsia" w:ascii="宋体" w:hAnsi="宋体" w:eastAsia="宋体" w:cs="宋体"/>
                <w:b w:val="0"/>
                <w:bCs w:val="0"/>
                <w:color w:val="auto"/>
                <w:sz w:val="21"/>
                <w:szCs w:val="21"/>
                <w:lang w:val="en-US" w:eastAsia="zh-CN"/>
              </w:rPr>
              <w:t>包括</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火灾、触电</w:t>
            </w:r>
            <w:r>
              <w:rPr>
                <w:rFonts w:hint="eastAsia" w:ascii="宋体" w:hAnsi="宋体" w:cs="宋体"/>
                <w:b w:val="0"/>
                <w:bCs w:val="0"/>
                <w:color w:val="auto"/>
                <w:sz w:val="21"/>
                <w:szCs w:val="21"/>
                <w:lang w:val="en-US" w:eastAsia="zh-CN"/>
              </w:rPr>
              <w:t>、新冠病毒感染、交通事故、危化品泄露</w:t>
            </w:r>
            <w:r>
              <w:rPr>
                <w:rFonts w:hint="eastAsia" w:ascii="宋体" w:hAnsi="宋体" w:eastAsia="宋体" w:cs="宋体"/>
                <w:b w:val="0"/>
                <w:bCs w:val="0"/>
                <w:color w:val="auto"/>
                <w:sz w:val="21"/>
                <w:szCs w:val="21"/>
                <w:lang w:val="en-US" w:eastAsia="zh-CN"/>
              </w:rPr>
              <w:t>。</w:t>
            </w:r>
          </w:p>
          <w:p>
            <w:pPr>
              <w:rPr>
                <w:rFonts w:hint="eastAsia"/>
                <w:kern w:val="2"/>
                <w:sz w:val="21"/>
                <w:szCs w:val="21"/>
                <w:lang w:val="en-US" w:eastAsia="zh-CN" w:bidi="ar-SA"/>
              </w:rPr>
            </w:pPr>
            <w:r>
              <w:rPr>
                <w:rFonts w:hint="eastAsia" w:ascii="宋体" w:hAnsi="宋体" w:eastAsia="宋体" w:cs="宋体"/>
                <w:b w:val="0"/>
                <w:bCs w:val="0"/>
                <w:color w:val="auto"/>
                <w:sz w:val="21"/>
                <w:szCs w:val="21"/>
                <w:lang w:val="en-US" w:eastAsia="zh-CN"/>
              </w:rPr>
              <w:t>针对识别出的重要环境因素和不可接受风险编制了</w:t>
            </w:r>
            <w:r>
              <w:rPr>
                <w:rFonts w:hint="eastAsia" w:ascii="宋体" w:hAnsi="宋体" w:cs="宋体"/>
                <w:b w:val="0"/>
                <w:bCs w:val="0"/>
                <w:color w:val="auto"/>
                <w:sz w:val="21"/>
                <w:szCs w:val="21"/>
                <w:lang w:val="en-US" w:eastAsia="zh-CN"/>
              </w:rPr>
              <w:t>应急预案并定期演练，制定</w:t>
            </w:r>
            <w:r>
              <w:rPr>
                <w:rFonts w:hint="eastAsia" w:ascii="宋体" w:hAnsi="宋体" w:eastAsia="宋体" w:cs="宋体"/>
                <w:b w:val="0"/>
                <w:bCs w:val="0"/>
                <w:color w:val="auto"/>
                <w:sz w:val="21"/>
                <w:szCs w:val="21"/>
                <w:lang w:val="en-US" w:eastAsia="zh-CN"/>
              </w:rPr>
              <w:t>管理方案，制定了目标指标和控制措施，并定期进行考核。</w:t>
            </w:r>
          </w:p>
        </w:tc>
        <w:tc>
          <w:tcPr>
            <w:tcW w:w="32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0" w:type="auto"/>
            <w:noWrap w:val="0"/>
            <w:vAlign w:val="center"/>
          </w:tcPr>
          <w:p>
            <w:pPr>
              <w:rPr>
                <w:rFonts w:hint="eastAsia"/>
                <w:kern w:val="2"/>
                <w:sz w:val="21"/>
                <w:szCs w:val="21"/>
                <w:lang w:val="en-US" w:eastAsia="zh-CN" w:bidi="ar-SA"/>
              </w:rPr>
            </w:pPr>
            <w:r>
              <w:rPr>
                <w:rFonts w:hint="eastAsia"/>
                <w:sz w:val="21"/>
                <w:szCs w:val="21"/>
              </w:rPr>
              <w:t>运行控制</w:t>
            </w:r>
          </w:p>
        </w:tc>
        <w:tc>
          <w:tcPr>
            <w:tcW w:w="0" w:type="auto"/>
            <w:noWrap w:val="0"/>
            <w:vAlign w:val="center"/>
          </w:tcPr>
          <w:p>
            <w:pPr>
              <w:rPr>
                <w:rFonts w:hint="eastAsia"/>
                <w:kern w:val="2"/>
                <w:sz w:val="21"/>
                <w:szCs w:val="21"/>
                <w:lang w:val="en-US" w:eastAsia="zh-CN" w:bidi="ar-SA"/>
              </w:rPr>
            </w:pPr>
            <w:r>
              <w:rPr>
                <w:rFonts w:hint="eastAsia"/>
                <w:sz w:val="21"/>
                <w:szCs w:val="21"/>
                <w:lang w:eastAsia="zh-CN"/>
              </w:rPr>
              <w:t>EO</w:t>
            </w:r>
            <w:r>
              <w:rPr>
                <w:rFonts w:hint="eastAsia"/>
                <w:sz w:val="21"/>
                <w:szCs w:val="21"/>
              </w:rPr>
              <w:t>8.1</w:t>
            </w:r>
          </w:p>
        </w:tc>
        <w:tc>
          <w:tcPr>
            <w:tcW w:w="0" w:type="auto"/>
            <w:noWrap w:val="0"/>
            <w:vAlign w:val="center"/>
          </w:tcPr>
          <w:p>
            <w:pPr>
              <w:rPr>
                <w:rFonts w:hint="eastAsia"/>
              </w:rPr>
            </w:pPr>
            <w:r>
              <w:rPr>
                <w:rFonts w:hint="eastAsia"/>
              </w:rPr>
              <w:t>本部门应执行的运行控制文件包括：</w:t>
            </w:r>
            <w:r>
              <w:rPr>
                <w:rFonts w:hint="eastAsia"/>
                <w:lang w:eastAsia="zh-CN"/>
              </w:rPr>
              <w:t>策划并执行的运行控制文件包括：重要环境因素评价标准、 固体废物管理规定、节能降耗管理规定、 相关方环境要求 、 消防管理制度、从业人员安全管理制度、车辆管理制度、环境和职业健康安全管理运行控制程序及安全标准化安全管理手册中的各项管理制度</w:t>
            </w:r>
            <w:r>
              <w:rPr>
                <w:rFonts w:hint="eastAsia"/>
              </w:rPr>
              <w:t>等</w:t>
            </w:r>
          </w:p>
          <w:p>
            <w:pPr>
              <w:rPr>
                <w:rFonts w:hint="eastAsia"/>
              </w:rPr>
            </w:pPr>
            <w:r>
              <w:rPr>
                <w:rFonts w:hint="eastAsia"/>
              </w:rPr>
              <w:t>运行控制情况：</w:t>
            </w:r>
          </w:p>
          <w:p>
            <w:pPr>
              <w:keepNext w:val="0"/>
              <w:keepLines w:val="0"/>
              <w:pageBreakBefore w:val="0"/>
              <w:widowControl w:val="0"/>
              <w:kinsoku/>
              <w:wordWrap/>
              <w:overflowPunct/>
              <w:topLinePunct w:val="0"/>
              <w:bidi w:val="0"/>
              <w:adjustRightInd w:val="0"/>
              <w:snapToGrid w:val="0"/>
              <w:spacing w:line="320" w:lineRule="exact"/>
              <w:textAlignment w:val="auto"/>
              <w:rPr>
                <w:rFonts w:hint="eastAsia"/>
              </w:rPr>
            </w:pPr>
            <w:r>
              <w:rPr>
                <w:rFonts w:hint="eastAsia"/>
                <w:lang w:val="en-US" w:eastAsia="zh-CN"/>
              </w:rPr>
              <w:t>1.</w:t>
            </w:r>
            <w:r>
              <w:rPr>
                <w:rFonts w:hint="eastAsia"/>
              </w:rPr>
              <w:t>办公过程注意节约用电，做到人走灯灭，电脑长时间不用时关机，下班前要关闭电源；</w:t>
            </w:r>
          </w:p>
          <w:p>
            <w:pPr>
              <w:keepNext w:val="0"/>
              <w:keepLines w:val="0"/>
              <w:pageBreakBefore w:val="0"/>
              <w:widowControl w:val="0"/>
              <w:kinsoku/>
              <w:wordWrap/>
              <w:overflowPunct/>
              <w:topLinePunct w:val="0"/>
              <w:bidi w:val="0"/>
              <w:adjustRightInd w:val="0"/>
              <w:snapToGrid w:val="0"/>
              <w:spacing w:line="320" w:lineRule="exact"/>
              <w:textAlignment w:val="auto"/>
              <w:rPr>
                <w:rFonts w:hint="eastAsia"/>
                <w:lang w:eastAsia="zh-CN"/>
              </w:rPr>
            </w:pPr>
            <w:r>
              <w:rPr>
                <w:rFonts w:hint="eastAsia"/>
                <w:lang w:val="en-US" w:eastAsia="zh-CN"/>
              </w:rPr>
              <w:t>2.</w:t>
            </w:r>
            <w:r>
              <w:rPr>
                <w:rFonts w:hint="eastAsia"/>
              </w:rPr>
              <w:t>办公</w:t>
            </w:r>
            <w:r>
              <w:rPr>
                <w:rFonts w:hint="eastAsia"/>
                <w:lang w:eastAsia="zh-CN"/>
              </w:rPr>
              <w:t>过程产生的固废按要求放到指定地点，查看无混放现象；办公用品按要求由</w:t>
            </w:r>
            <w:r>
              <w:rPr>
                <w:rFonts w:hint="eastAsia"/>
                <w:lang w:val="en-US" w:eastAsia="zh-CN"/>
              </w:rPr>
              <w:t>办公室</w:t>
            </w:r>
            <w:r>
              <w:rPr>
                <w:rFonts w:hint="eastAsia"/>
                <w:lang w:eastAsia="zh-CN"/>
              </w:rPr>
              <w:t xml:space="preserve">负责发放，作好记录； </w:t>
            </w:r>
          </w:p>
          <w:p>
            <w:pPr>
              <w:keepNext w:val="0"/>
              <w:keepLines w:val="0"/>
              <w:pageBreakBefore w:val="0"/>
              <w:widowControl w:val="0"/>
              <w:kinsoku/>
              <w:wordWrap/>
              <w:overflowPunct/>
              <w:topLinePunct w:val="0"/>
              <w:bidi w:val="0"/>
              <w:adjustRightInd w:val="0"/>
              <w:snapToGrid w:val="0"/>
              <w:spacing w:line="320" w:lineRule="exact"/>
              <w:textAlignment w:val="auto"/>
              <w:rPr>
                <w:rFonts w:hint="eastAsia"/>
                <w:lang w:eastAsia="zh-CN"/>
              </w:rPr>
            </w:pPr>
            <w:r>
              <w:rPr>
                <w:rFonts w:hint="eastAsia"/>
                <w:lang w:val="en-US" w:eastAsia="zh-CN"/>
              </w:rPr>
              <w:t>3.</w:t>
            </w:r>
            <w:r>
              <w:rPr>
                <w:rFonts w:hint="eastAsia"/>
                <w:lang w:eastAsia="zh-CN"/>
              </w:rPr>
              <w:t>工作时间平均每天不超过8小时，公司为员工缴纳了保险，每年为员工安排一次体检。</w:t>
            </w:r>
          </w:p>
          <w:p>
            <w:pPr>
              <w:keepNext w:val="0"/>
              <w:keepLines w:val="0"/>
              <w:pageBreakBefore w:val="0"/>
              <w:widowControl w:val="0"/>
              <w:kinsoku/>
              <w:wordWrap/>
              <w:overflowPunct/>
              <w:topLinePunct w:val="0"/>
              <w:bidi w:val="0"/>
              <w:adjustRightInd w:val="0"/>
              <w:snapToGrid w:val="0"/>
              <w:spacing w:line="320" w:lineRule="exact"/>
              <w:textAlignment w:val="auto"/>
              <w:rPr>
                <w:rFonts w:hint="default"/>
                <w:lang w:val="en-US" w:eastAsia="zh-CN"/>
              </w:rPr>
            </w:pPr>
            <w:r>
              <w:rPr>
                <w:rFonts w:hint="eastAsia"/>
                <w:lang w:val="en-US" w:eastAsia="zh-CN"/>
              </w:rPr>
              <w:t>4.新员工入职，尤其是驾驶员等特殊岗位，均安排了入职安全教育，考试合格后上岗。</w:t>
            </w:r>
          </w:p>
          <w:p>
            <w:pPr>
              <w:keepNext w:val="0"/>
              <w:keepLines w:val="0"/>
              <w:pageBreakBefore w:val="0"/>
              <w:widowControl w:val="0"/>
              <w:kinsoku/>
              <w:wordWrap/>
              <w:overflowPunct/>
              <w:topLinePunct w:val="0"/>
              <w:bidi w:val="0"/>
              <w:adjustRightInd w:val="0"/>
              <w:snapToGrid w:val="0"/>
              <w:spacing w:line="320" w:lineRule="exact"/>
              <w:textAlignment w:val="auto"/>
              <w:rPr>
                <w:rFonts w:hint="eastAsia"/>
                <w:lang w:eastAsia="zh-CN"/>
              </w:rPr>
            </w:pPr>
            <w:r>
              <w:rPr>
                <w:rFonts w:hint="eastAsia"/>
                <w:lang w:val="en-US" w:eastAsia="zh-CN"/>
              </w:rPr>
              <w:t>5.</w:t>
            </w:r>
            <w:r>
              <w:rPr>
                <w:rFonts w:hint="eastAsia"/>
                <w:lang w:eastAsia="zh-CN"/>
              </w:rPr>
              <w:t>查看办公室设备、电器状态良好，废弃物无混放现象，无火灾、触电隐患，配置了灭火器，现场查看，均在有效压力范围内。厂区内禁止烟火，张贴了安全标识。</w:t>
            </w:r>
          </w:p>
          <w:p>
            <w:pPr>
              <w:keepNext w:val="0"/>
              <w:keepLines w:val="0"/>
              <w:pageBreakBefore w:val="0"/>
              <w:widowControl w:val="0"/>
              <w:kinsoku/>
              <w:wordWrap/>
              <w:overflowPunct/>
              <w:topLinePunct w:val="0"/>
              <w:bidi w:val="0"/>
              <w:adjustRightInd w:val="0"/>
              <w:snapToGrid w:val="0"/>
              <w:spacing w:line="320" w:lineRule="exact"/>
              <w:textAlignment w:val="auto"/>
              <w:rPr>
                <w:rFonts w:hint="eastAsia"/>
                <w:lang w:val="en-US" w:eastAsia="zh-CN"/>
              </w:rPr>
            </w:pPr>
            <w:r>
              <w:rPr>
                <w:rFonts w:hint="eastAsia"/>
                <w:lang w:val="en-US" w:eastAsia="zh-CN"/>
              </w:rPr>
              <w:t>6.公司为员工提供口罩、洗手液，外出的驾驶员提供手套等劳动防护用品及卫生防疫物品，提供发放记录，内容包括</w:t>
            </w:r>
            <w:r>
              <w:rPr>
                <w:rFonts w:hint="eastAsia"/>
              </w:rPr>
              <w:t>口罩、创口贴 、纱布</w:t>
            </w:r>
            <w:r>
              <w:rPr>
                <w:rFonts w:hint="eastAsia"/>
                <w:lang w:eastAsia="zh-CN"/>
              </w:rPr>
              <w:t>、消毒液等，</w:t>
            </w:r>
            <w:r>
              <w:rPr>
                <w:rFonts w:hint="eastAsia"/>
                <w:lang w:val="en-US" w:eastAsia="zh-CN"/>
              </w:rPr>
              <w:t>有领用人员签字。公司张贴了疫情期间工作防控指南及关于响应市局疫情防控的通知等文件，实行属地责任制，防疫经理：崔永佳。公司办公场所每日消毒，提供了《办公场所消毒记录》。</w:t>
            </w:r>
          </w:p>
          <w:p>
            <w:pPr>
              <w:keepNext w:val="0"/>
              <w:keepLines w:val="0"/>
              <w:pageBreakBefore w:val="0"/>
              <w:widowControl w:val="0"/>
              <w:kinsoku/>
              <w:wordWrap/>
              <w:overflowPunct/>
              <w:topLinePunct w:val="0"/>
              <w:bidi w:val="0"/>
              <w:adjustRightInd w:val="0"/>
              <w:snapToGrid w:val="0"/>
              <w:spacing w:line="320" w:lineRule="exact"/>
              <w:textAlignment w:val="auto"/>
              <w:rPr>
                <w:rFonts w:hint="eastAsia"/>
                <w:lang w:val="en-US" w:eastAsia="zh-CN"/>
              </w:rPr>
            </w:pPr>
            <w:r>
              <w:rPr>
                <w:rFonts w:hint="eastAsia"/>
                <w:lang w:val="en-US" w:eastAsia="zh-CN"/>
              </w:rPr>
              <w:t>7.办公楼内疏散通道有应急灯、监控摄像头等设施。</w:t>
            </w:r>
          </w:p>
          <w:p>
            <w:pPr>
              <w:keepNext w:val="0"/>
              <w:keepLines w:val="0"/>
              <w:pageBreakBefore w:val="0"/>
              <w:widowControl w:val="0"/>
              <w:kinsoku/>
              <w:wordWrap/>
              <w:overflowPunct/>
              <w:topLinePunct w:val="0"/>
              <w:bidi w:val="0"/>
              <w:spacing w:line="320" w:lineRule="exact"/>
              <w:textAlignment w:val="auto"/>
              <w:rPr>
                <w:rFonts w:hint="default"/>
                <w:lang w:val="en-US" w:eastAsia="zh-CN"/>
              </w:rPr>
            </w:pPr>
            <w:r>
              <w:rPr>
                <w:rFonts w:hint="eastAsia"/>
                <w:lang w:val="en-US" w:eastAsia="zh-CN"/>
              </w:rPr>
              <w:t>8.销售产品均收集了其MSDS，不定期的进行危化品、易制毒品的安全方面培训；</w:t>
            </w:r>
          </w:p>
          <w:p>
            <w:pPr>
              <w:keepNext w:val="0"/>
              <w:keepLines w:val="0"/>
              <w:pageBreakBefore w:val="0"/>
              <w:widowControl w:val="0"/>
              <w:kinsoku/>
              <w:wordWrap/>
              <w:overflowPunct/>
              <w:topLinePunct w:val="0"/>
              <w:bidi w:val="0"/>
              <w:spacing w:line="320" w:lineRule="exact"/>
              <w:textAlignment w:val="auto"/>
              <w:rPr>
                <w:rFonts w:hint="eastAsia"/>
                <w:lang w:val="en-US" w:eastAsia="zh-CN"/>
              </w:rPr>
            </w:pPr>
            <w:r>
              <w:rPr>
                <w:rFonts w:hint="eastAsia"/>
                <w:lang w:val="en-US" w:eastAsia="zh-CN"/>
              </w:rPr>
              <w:t>9.定期对车辆进行年检，详见附件；</w:t>
            </w:r>
          </w:p>
          <w:p>
            <w:pPr>
              <w:keepNext w:val="0"/>
              <w:keepLines w:val="0"/>
              <w:pageBreakBefore w:val="0"/>
              <w:widowControl w:val="0"/>
              <w:kinsoku/>
              <w:wordWrap/>
              <w:overflowPunct/>
              <w:topLinePunct w:val="0"/>
              <w:bidi w:val="0"/>
              <w:spacing w:line="320" w:lineRule="exact"/>
              <w:textAlignment w:val="auto"/>
              <w:rPr>
                <w:rFonts w:hint="eastAsia"/>
              </w:rPr>
            </w:pPr>
            <w:r>
              <w:rPr>
                <w:rFonts w:hint="eastAsia"/>
                <w:lang w:val="en-US" w:eastAsia="zh-CN"/>
              </w:rPr>
              <w:t>10.环境方面：</w:t>
            </w:r>
            <w:r>
              <w:rPr>
                <w:rFonts w:hint="eastAsia"/>
              </w:rPr>
              <w:t>污水：日常清洁、卫生产生，统一处理，用于公司绿化，污水无外排情况。</w:t>
            </w:r>
          </w:p>
          <w:p>
            <w:pPr>
              <w:keepNext w:val="0"/>
              <w:keepLines w:val="0"/>
              <w:pageBreakBefore w:val="0"/>
              <w:widowControl w:val="0"/>
              <w:kinsoku/>
              <w:wordWrap/>
              <w:overflowPunct/>
              <w:topLinePunct w:val="0"/>
              <w:bidi w:val="0"/>
              <w:spacing w:line="320" w:lineRule="exact"/>
              <w:textAlignment w:val="auto"/>
              <w:rPr>
                <w:rFonts w:hint="eastAsia"/>
              </w:rPr>
            </w:pPr>
            <w:r>
              <w:rPr>
                <w:rFonts w:hint="eastAsia"/>
                <w:lang w:val="en-US" w:eastAsia="zh-CN"/>
              </w:rPr>
              <w:t>11.</w:t>
            </w:r>
            <w:r>
              <w:rPr>
                <w:rFonts w:hint="eastAsia"/>
              </w:rPr>
              <w:t>气体排放：主要是日常打印和复印产生，量较小，直接排空处理。</w:t>
            </w:r>
          </w:p>
          <w:p>
            <w:pPr>
              <w:keepNext w:val="0"/>
              <w:keepLines w:val="0"/>
              <w:pageBreakBefore w:val="0"/>
              <w:widowControl w:val="0"/>
              <w:kinsoku/>
              <w:wordWrap/>
              <w:overflowPunct/>
              <w:topLinePunct w:val="0"/>
              <w:bidi w:val="0"/>
              <w:spacing w:line="320" w:lineRule="exact"/>
              <w:textAlignment w:val="auto"/>
              <w:rPr>
                <w:rFonts w:hint="eastAsia"/>
                <w:lang w:eastAsia="zh-CN"/>
              </w:rPr>
            </w:pPr>
            <w:r>
              <w:rPr>
                <w:rFonts w:hint="eastAsia"/>
              </w:rPr>
              <w:t>噪声：办公活动无重大噪声。</w:t>
            </w:r>
          </w:p>
          <w:p>
            <w:pPr>
              <w:keepNext w:val="0"/>
              <w:keepLines w:val="0"/>
              <w:pageBreakBefore w:val="0"/>
              <w:widowControl w:val="0"/>
              <w:kinsoku/>
              <w:wordWrap/>
              <w:overflowPunct/>
              <w:topLinePunct w:val="0"/>
              <w:bidi w:val="0"/>
              <w:spacing w:line="320" w:lineRule="exact"/>
              <w:textAlignment w:val="auto"/>
              <w:rPr>
                <w:rFonts w:hint="eastAsia"/>
              </w:rPr>
            </w:pPr>
            <w:r>
              <w:rPr>
                <w:rFonts w:hint="eastAsia"/>
              </w:rPr>
              <w:t>固废：一般办公固废主要是纸张等，按照公司垃圾分类箱分别放置，硒鼓、墨盒、灯管等由办公室统一更换，旧物收集，定期交供应商回收处理，公司未发生乱扔现象。</w:t>
            </w:r>
          </w:p>
          <w:p>
            <w:pPr>
              <w:keepNext w:val="0"/>
              <w:keepLines w:val="0"/>
              <w:pageBreakBefore w:val="0"/>
              <w:widowControl w:val="0"/>
              <w:kinsoku/>
              <w:wordWrap/>
              <w:overflowPunct/>
              <w:topLinePunct w:val="0"/>
              <w:bidi w:val="0"/>
              <w:spacing w:line="320" w:lineRule="exact"/>
              <w:textAlignment w:val="auto"/>
              <w:rPr>
                <w:rFonts w:hint="eastAsia"/>
              </w:rPr>
            </w:pPr>
            <w:r>
              <w:rPr>
                <w:rFonts w:hint="eastAsia"/>
                <w:lang w:val="en-US" w:eastAsia="zh-CN"/>
              </w:rPr>
              <w:t>安全方面：</w:t>
            </w:r>
            <w:r>
              <w:rPr>
                <w:rFonts w:hint="eastAsia"/>
              </w:rPr>
              <w:t>火灾：</w:t>
            </w:r>
            <w:r>
              <w:rPr>
                <w:rFonts w:hint="eastAsia"/>
                <w:lang w:eastAsia="zh-CN"/>
              </w:rPr>
              <w:t>所有人员进入厂区严禁吸烟，</w:t>
            </w:r>
            <w:r>
              <w:rPr>
                <w:rFonts w:hint="eastAsia"/>
              </w:rPr>
              <w:t>定期检测用电办公设备和线路，发现故障及时修复，正确使用设备，防止火灾发生，制定了消防预案并组织进行了演练。</w:t>
            </w:r>
          </w:p>
          <w:p>
            <w:pPr>
              <w:keepNext w:val="0"/>
              <w:keepLines w:val="0"/>
              <w:pageBreakBefore w:val="0"/>
              <w:widowControl w:val="0"/>
              <w:kinsoku/>
              <w:wordWrap/>
              <w:overflowPunct/>
              <w:topLinePunct w:val="0"/>
              <w:bidi w:val="0"/>
              <w:spacing w:line="320" w:lineRule="exact"/>
              <w:textAlignment w:val="auto"/>
              <w:rPr>
                <w:rFonts w:hint="eastAsia"/>
              </w:rPr>
            </w:pPr>
            <w:r>
              <w:rPr>
                <w:rFonts w:hint="eastAsia"/>
              </w:rPr>
              <w:t>节约能源：公司在日常办公时尽量减少纸张及办公用品的消耗，日常注意节水节电，正常使用。</w:t>
            </w:r>
          </w:p>
          <w:p>
            <w:pPr>
              <w:keepNext w:val="0"/>
              <w:keepLines w:val="0"/>
              <w:pageBreakBefore w:val="0"/>
              <w:widowControl w:val="0"/>
              <w:kinsoku/>
              <w:wordWrap/>
              <w:overflowPunct/>
              <w:topLinePunct w:val="0"/>
              <w:bidi w:val="0"/>
              <w:spacing w:line="320" w:lineRule="exact"/>
              <w:textAlignment w:val="auto"/>
              <w:rPr>
                <w:rFonts w:hint="eastAsia"/>
              </w:rPr>
            </w:pPr>
            <w:r>
              <w:rPr>
                <w:rFonts w:hint="eastAsia"/>
              </w:rPr>
              <w:t>触电：定期检测用电办公设备和线路，发现故障及时修复，正确使用设备，防止触电事故发生。</w:t>
            </w:r>
          </w:p>
          <w:p>
            <w:pPr>
              <w:keepNext w:val="0"/>
              <w:keepLines w:val="0"/>
              <w:pageBreakBefore w:val="0"/>
              <w:widowControl w:val="0"/>
              <w:kinsoku/>
              <w:wordWrap/>
              <w:overflowPunct/>
              <w:topLinePunct w:val="0"/>
              <w:bidi w:val="0"/>
              <w:spacing w:line="320" w:lineRule="exact"/>
              <w:textAlignment w:val="auto"/>
              <w:rPr>
                <w:rFonts w:hint="eastAsia"/>
                <w:lang w:eastAsia="zh-CN"/>
              </w:rPr>
            </w:pPr>
            <w:r>
              <w:rPr>
                <w:rFonts w:hint="eastAsia"/>
              </w:rPr>
              <w:t>交通事故：对员工进行交通安全的培训，上下班途中</w:t>
            </w:r>
            <w:r>
              <w:rPr>
                <w:rFonts w:hint="eastAsia"/>
                <w:lang w:val="en-US" w:eastAsia="zh-CN"/>
              </w:rPr>
              <w:t>及出差过程中</w:t>
            </w:r>
            <w:r>
              <w:rPr>
                <w:rFonts w:hint="eastAsia"/>
              </w:rPr>
              <w:t>遵守交通规则，不违章，防止交通事故的发生。</w:t>
            </w:r>
            <w:r>
              <w:rPr>
                <w:rFonts w:hint="eastAsia"/>
                <w:lang w:eastAsia="zh-CN"/>
              </w:rPr>
              <w:t>进入厂区的车辆不高声鸣笛，减速行驶。</w:t>
            </w:r>
          </w:p>
          <w:p>
            <w:pPr>
              <w:bidi w:val="0"/>
              <w:rPr>
                <w:rFonts w:hint="default"/>
                <w:lang w:val="en-US" w:eastAsia="zh-CN"/>
              </w:rPr>
            </w:pPr>
            <w:r>
              <w:rPr>
                <w:rFonts w:hint="eastAsia"/>
                <w:lang w:val="en-US" w:eastAsia="zh-CN"/>
              </w:rPr>
              <w:t>经查，符合要求。</w:t>
            </w:r>
          </w:p>
        </w:tc>
        <w:tc>
          <w:tcPr>
            <w:tcW w:w="0" w:type="auto"/>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0" w:type="auto"/>
            <w:noWrap w:val="0"/>
            <w:vAlign w:val="center"/>
          </w:tcPr>
          <w:p>
            <w:pPr>
              <w:rPr>
                <w:rFonts w:hint="eastAsia"/>
                <w:kern w:val="2"/>
                <w:sz w:val="21"/>
                <w:szCs w:val="21"/>
                <w:lang w:val="en-US" w:eastAsia="zh-CN" w:bidi="ar-SA"/>
              </w:rPr>
            </w:pPr>
            <w:r>
              <w:rPr>
                <w:rFonts w:hint="eastAsia"/>
                <w:sz w:val="21"/>
                <w:szCs w:val="21"/>
              </w:rPr>
              <w:t>应急准备和响应</w:t>
            </w:r>
          </w:p>
        </w:tc>
        <w:tc>
          <w:tcPr>
            <w:tcW w:w="0" w:type="auto"/>
            <w:noWrap w:val="0"/>
            <w:vAlign w:val="center"/>
          </w:tcPr>
          <w:p>
            <w:pPr>
              <w:rPr>
                <w:rFonts w:hint="eastAsia"/>
                <w:kern w:val="2"/>
                <w:sz w:val="21"/>
                <w:szCs w:val="21"/>
                <w:lang w:val="en-US" w:eastAsia="zh-CN" w:bidi="ar-SA"/>
              </w:rPr>
            </w:pPr>
            <w:r>
              <w:rPr>
                <w:rFonts w:hint="eastAsia"/>
                <w:sz w:val="21"/>
                <w:szCs w:val="21"/>
                <w:lang w:eastAsia="zh-CN"/>
              </w:rPr>
              <w:t>EO</w:t>
            </w:r>
            <w:r>
              <w:rPr>
                <w:rFonts w:hint="eastAsia"/>
                <w:sz w:val="21"/>
                <w:szCs w:val="21"/>
              </w:rPr>
              <w:t>8.2</w:t>
            </w:r>
          </w:p>
        </w:tc>
        <w:tc>
          <w:tcPr>
            <w:tcW w:w="0" w:type="auto"/>
            <w:noWrap w:val="0"/>
            <w:vAlign w:val="center"/>
          </w:tcPr>
          <w:p>
            <w:pPr>
              <w:rPr>
                <w:rFonts w:hint="eastAsia"/>
                <w:sz w:val="21"/>
                <w:szCs w:val="21"/>
              </w:rPr>
            </w:pPr>
            <w:r>
              <w:rPr>
                <w:rFonts w:hint="eastAsia"/>
                <w:sz w:val="21"/>
                <w:szCs w:val="21"/>
              </w:rPr>
              <w:t>查策划有《应急准备与响应控制程序》，编制有</w:t>
            </w:r>
            <w:r>
              <w:rPr>
                <w:rFonts w:hint="eastAsia"/>
              </w:rPr>
              <w:t>《火灾事故应急预案》</w:t>
            </w:r>
            <w:r>
              <w:rPr>
                <w:rFonts w:hint="eastAsia"/>
                <w:lang w:eastAsia="zh-CN"/>
              </w:rPr>
              <w:t>、《触电事故应急预案》《新冠肺炎应急预案》《运输介质安全生产事故应急预案》《液氨运输风险管控方案》《车辆例检风险管控方案》《车辆制动风险管控方案》《运输介质风险管控方案》《恶劣天气风险管控方案》等风险管控方案</w:t>
            </w:r>
            <w:r>
              <w:rPr>
                <w:rFonts w:hint="eastAsia"/>
                <w:sz w:val="21"/>
                <w:szCs w:val="21"/>
              </w:rPr>
              <w:t>等。</w:t>
            </w:r>
          </w:p>
          <w:p>
            <w:pPr>
              <w:rPr>
                <w:rFonts w:hint="eastAsia"/>
                <w:kern w:val="2"/>
                <w:sz w:val="21"/>
                <w:szCs w:val="21"/>
                <w:lang w:val="en-US" w:eastAsia="zh-CN" w:bidi="ar-SA"/>
              </w:rPr>
            </w:pPr>
            <w:r>
              <w:rPr>
                <w:rFonts w:hint="eastAsia"/>
              </w:rPr>
              <w:t>20</w:t>
            </w:r>
            <w:r>
              <w:rPr>
                <w:rFonts w:hint="eastAsia"/>
                <w:lang w:val="en-US" w:eastAsia="zh-CN"/>
              </w:rPr>
              <w:t>22</w:t>
            </w:r>
            <w:r>
              <w:rPr>
                <w:rFonts w:hint="eastAsia"/>
              </w:rPr>
              <w:t>年</w:t>
            </w:r>
            <w:r>
              <w:rPr>
                <w:rFonts w:hint="eastAsia"/>
                <w:lang w:val="en-US" w:eastAsia="zh-CN"/>
              </w:rPr>
              <w:t>9.</w:t>
            </w:r>
            <w:r>
              <w:rPr>
                <w:rFonts w:hint="eastAsia"/>
              </w:rPr>
              <w:t>月</w:t>
            </w:r>
            <w:r>
              <w:rPr>
                <w:rFonts w:hint="eastAsia"/>
                <w:lang w:val="en-US" w:eastAsia="zh-CN"/>
              </w:rPr>
              <w:t>10</w:t>
            </w:r>
            <w:r>
              <w:rPr>
                <w:rFonts w:hint="eastAsia"/>
              </w:rPr>
              <w:t>日</w:t>
            </w:r>
            <w:r>
              <w:rPr>
                <w:rFonts w:hint="eastAsia" w:cs="宋体"/>
              </w:rPr>
              <w:t>参加了公司组织消防演练，</w:t>
            </w:r>
            <w:r>
              <w:rPr>
                <w:rFonts w:hint="eastAsia"/>
                <w:lang w:val="en-US" w:eastAsia="zh-CN"/>
              </w:rPr>
              <w:t>2022.6.28日与周边企业进行了联合应急救援演练，</w:t>
            </w:r>
            <w:r>
              <w:rPr>
                <w:rFonts w:hint="eastAsia" w:cs="宋体"/>
              </w:rPr>
              <w:t>相关记录详见</w:t>
            </w:r>
            <w:r>
              <w:rPr>
                <w:rFonts w:hint="eastAsia" w:cs="宋体"/>
                <w:lang w:eastAsia="zh-CN"/>
              </w:rPr>
              <w:t>办公室</w:t>
            </w:r>
            <w:r>
              <w:rPr>
                <w:rFonts w:hint="eastAsia" w:cs="宋体"/>
              </w:rPr>
              <w:t>相关条款。</w:t>
            </w:r>
          </w:p>
        </w:tc>
        <w:tc>
          <w:tcPr>
            <w:tcW w:w="0" w:type="auto"/>
            <w:noWrap w:val="0"/>
            <w:vAlign w:val="top"/>
          </w:tcPr>
          <w:p>
            <w:pPr>
              <w:rPr>
                <w:rFonts w:hint="eastAsia" w:eastAsia="宋体"/>
                <w:lang w:val="en-US" w:eastAsia="zh-CN"/>
              </w:rPr>
            </w:pPr>
            <w:r>
              <w:rPr>
                <w:rFonts w:hint="eastAsia"/>
                <w:lang w:val="en-US" w:eastAsia="zh-CN"/>
              </w:rPr>
              <w:t>Y</w:t>
            </w:r>
          </w:p>
        </w:tc>
      </w:tr>
    </w:tbl>
    <w:p>
      <w:r>
        <w:ptab w:relativeTo="margin" w:alignment="center" w:leader="none"/>
      </w:r>
    </w:p>
    <w:p/>
    <w:p/>
    <w:p>
      <w:pPr>
        <w:pStyle w:val="2"/>
      </w:pPr>
    </w:p>
    <w:tbl>
      <w:tblPr>
        <w:tblStyle w:val="8"/>
        <w:tblpPr w:leftFromText="180" w:rightFromText="180" w:vertAnchor="text" w:horzAnchor="page" w:tblpX="1072" w:tblpY="19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8"/>
        <w:gridCol w:w="1011"/>
        <w:gridCol w:w="11272"/>
        <w:gridCol w:w="943"/>
        <w:gridCol w:w="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1638" w:type="dxa"/>
            <w:vMerge w:val="restart"/>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过程与活动、</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抽样计划</w:t>
            </w:r>
          </w:p>
        </w:tc>
        <w:tc>
          <w:tcPr>
            <w:tcW w:w="1011" w:type="dxa"/>
            <w:vMerge w:val="restart"/>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涉及</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条款</w:t>
            </w:r>
          </w:p>
        </w:tc>
        <w:tc>
          <w:tcPr>
            <w:tcW w:w="11272" w:type="dxa"/>
            <w:noWrap w:val="0"/>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受审核部门：</w:t>
            </w:r>
            <w:r>
              <w:rPr>
                <w:rFonts w:hint="eastAsia" w:ascii="Times New Roman" w:hAnsi="Times New Roman" w:eastAsia="宋体" w:cs="Times New Roman"/>
                <w:sz w:val="21"/>
                <w:szCs w:val="21"/>
                <w:lang w:eastAsia="zh-CN"/>
              </w:rPr>
              <w:t>办公室</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主管领导：</w:t>
            </w:r>
            <w:r>
              <w:rPr>
                <w:rFonts w:hint="eastAsia" w:ascii="Times New Roman" w:hAnsi="Times New Roman" w:eastAsia="宋体" w:cs="Times New Roman"/>
                <w:sz w:val="21"/>
                <w:szCs w:val="21"/>
                <w:lang w:eastAsia="zh-CN"/>
              </w:rPr>
              <w:t>齐晓真</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陪同人员：</w:t>
            </w:r>
            <w:r>
              <w:rPr>
                <w:rFonts w:hint="eastAsia" w:ascii="Times New Roman" w:hAnsi="Times New Roman" w:eastAsia="宋体" w:cs="Times New Roman"/>
                <w:sz w:val="21"/>
                <w:szCs w:val="21"/>
                <w:lang w:val="en-US" w:eastAsia="zh-CN"/>
              </w:rPr>
              <w:t xml:space="preserve"> 张盛华</w:t>
            </w:r>
          </w:p>
        </w:tc>
        <w:tc>
          <w:tcPr>
            <w:tcW w:w="963" w:type="dxa"/>
            <w:gridSpan w:val="2"/>
            <w:vMerge w:val="restart"/>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blHeader/>
        </w:trPr>
        <w:tc>
          <w:tcPr>
            <w:tcW w:w="1638" w:type="dxa"/>
            <w:vMerge w:val="continue"/>
            <w:noWrap w:val="0"/>
            <w:vAlign w:val="center"/>
          </w:tcPr>
          <w:p>
            <w:pPr>
              <w:rPr>
                <w:rFonts w:hint="eastAsia" w:ascii="Times New Roman" w:hAnsi="Times New Roman" w:eastAsia="宋体" w:cs="Times New Roman"/>
                <w:sz w:val="21"/>
                <w:szCs w:val="21"/>
                <w:lang w:val="en-US" w:eastAsia="zh-CN"/>
              </w:rPr>
            </w:pPr>
          </w:p>
        </w:tc>
        <w:tc>
          <w:tcPr>
            <w:tcW w:w="1011" w:type="dxa"/>
            <w:vMerge w:val="continue"/>
            <w:noWrap w:val="0"/>
            <w:vAlign w:val="center"/>
          </w:tcPr>
          <w:p>
            <w:pPr>
              <w:rPr>
                <w:rFonts w:hint="eastAsia" w:ascii="Times New Roman" w:hAnsi="Times New Roman" w:eastAsia="宋体" w:cs="Times New Roman"/>
                <w:sz w:val="21"/>
                <w:szCs w:val="21"/>
                <w:lang w:val="en-US" w:eastAsia="zh-CN"/>
              </w:rPr>
            </w:pPr>
          </w:p>
        </w:tc>
        <w:tc>
          <w:tcPr>
            <w:tcW w:w="11272" w:type="dxa"/>
            <w:noWrap w:val="0"/>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审核员：</w:t>
            </w:r>
            <w:r>
              <w:rPr>
                <w:rFonts w:hint="eastAsia" w:ascii="Times New Roman" w:hAnsi="Times New Roman" w:eastAsia="宋体" w:cs="Times New Roman"/>
                <w:sz w:val="21"/>
                <w:szCs w:val="21"/>
                <w:lang w:eastAsia="zh-CN"/>
              </w:rPr>
              <w:t>吉洁</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审核时间：2022年</w:t>
            </w:r>
            <w:r>
              <w:rPr>
                <w:rFonts w:hint="eastAsia" w:ascii="Times New Roman" w:hAnsi="Times New Roman" w:eastAsia="宋体" w:cs="Times New Roman"/>
                <w:sz w:val="21"/>
                <w:szCs w:val="21"/>
                <w:lang w:val="en-US" w:eastAsia="zh-CN"/>
              </w:rPr>
              <w:t>11</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12-13日</w:t>
            </w:r>
          </w:p>
        </w:tc>
        <w:tc>
          <w:tcPr>
            <w:tcW w:w="963" w:type="dxa"/>
            <w:gridSpan w:val="2"/>
            <w:vMerge w:val="continue"/>
            <w:noWrap w:val="0"/>
            <w:vAlign w:val="center"/>
          </w:tcPr>
          <w:p>
            <w:pPr>
              <w:rPr>
                <w:rFonts w:hint="eastAsia"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blHeader/>
        </w:trPr>
        <w:tc>
          <w:tcPr>
            <w:tcW w:w="1638" w:type="dxa"/>
            <w:vMerge w:val="continue"/>
            <w:noWrap w:val="0"/>
            <w:vAlign w:val="center"/>
          </w:tcPr>
          <w:p>
            <w:pPr>
              <w:rPr>
                <w:rFonts w:hint="eastAsia" w:ascii="Times New Roman" w:hAnsi="Times New Roman" w:eastAsia="宋体" w:cs="Times New Roman"/>
                <w:sz w:val="21"/>
                <w:szCs w:val="21"/>
                <w:lang w:val="en-US" w:eastAsia="zh-CN"/>
              </w:rPr>
            </w:pPr>
          </w:p>
        </w:tc>
        <w:tc>
          <w:tcPr>
            <w:tcW w:w="1011" w:type="dxa"/>
            <w:vMerge w:val="continue"/>
            <w:noWrap w:val="0"/>
            <w:vAlign w:val="center"/>
          </w:tcPr>
          <w:p>
            <w:pPr>
              <w:rPr>
                <w:rFonts w:hint="eastAsia" w:ascii="Times New Roman" w:hAnsi="Times New Roman" w:eastAsia="宋体" w:cs="Times New Roman"/>
                <w:sz w:val="21"/>
                <w:szCs w:val="21"/>
                <w:lang w:val="en-US" w:eastAsia="zh-CN"/>
              </w:rPr>
            </w:pPr>
          </w:p>
        </w:tc>
        <w:tc>
          <w:tcPr>
            <w:tcW w:w="11272" w:type="dxa"/>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审核条款：</w:t>
            </w:r>
            <w:r>
              <w:rPr>
                <w:rFonts w:hint="default" w:ascii="Times New Roman" w:hAnsi="Times New Roman" w:eastAsia="宋体" w:cs="Times New Roman"/>
                <w:sz w:val="21"/>
                <w:szCs w:val="21"/>
              </w:rPr>
              <w:t>E</w:t>
            </w:r>
            <w:r>
              <w:rPr>
                <w:rFonts w:hint="eastAsia" w:ascii="Times New Roman" w:hAnsi="Times New Roman" w:eastAsia="宋体" w:cs="Times New Roman"/>
                <w:sz w:val="21"/>
                <w:szCs w:val="21"/>
                <w:lang w:val="en-US" w:eastAsia="zh-CN"/>
              </w:rPr>
              <w:t>O6.1.2/6.1.3/</w:t>
            </w:r>
            <w:r>
              <w:rPr>
                <w:rFonts w:hint="default" w:ascii="Times New Roman" w:hAnsi="Times New Roman" w:eastAsia="宋体" w:cs="Times New Roman"/>
                <w:sz w:val="21"/>
                <w:szCs w:val="21"/>
              </w:rPr>
              <w:t>7.5</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8.1</w:t>
            </w:r>
            <w:r>
              <w:rPr>
                <w:rFonts w:hint="eastAsia" w:ascii="Times New Roman" w:hAnsi="Times New Roman" w:eastAsia="宋体" w:cs="Times New Roman"/>
                <w:sz w:val="21"/>
                <w:szCs w:val="21"/>
                <w:lang w:val="en-US" w:eastAsia="zh-CN"/>
              </w:rPr>
              <w:t>/9.1.1/9.1.2</w:t>
            </w:r>
            <w:bookmarkStart w:id="0" w:name="_GoBack"/>
            <w:bookmarkEnd w:id="0"/>
          </w:p>
        </w:tc>
        <w:tc>
          <w:tcPr>
            <w:tcW w:w="963" w:type="dxa"/>
            <w:gridSpan w:val="2"/>
            <w:vMerge w:val="continue"/>
            <w:noWrap w:val="0"/>
            <w:vAlign w:val="center"/>
          </w:tcPr>
          <w:p>
            <w:pPr>
              <w:rPr>
                <w:rFonts w:hint="eastAsia"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2" w:hRule="atLeast"/>
        </w:trPr>
        <w:tc>
          <w:tcPr>
            <w:tcW w:w="1638" w:type="dxa"/>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环境因素、危险源识别</w:t>
            </w:r>
          </w:p>
        </w:tc>
        <w:tc>
          <w:tcPr>
            <w:tcW w:w="1011" w:type="dxa"/>
            <w:noWrap w:val="0"/>
            <w:vAlign w:val="center"/>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E</w:t>
            </w:r>
            <w:r>
              <w:rPr>
                <w:rFonts w:hint="eastAsia" w:ascii="Times New Roman" w:hAnsi="Times New Roman" w:eastAsia="宋体" w:cs="Times New Roman"/>
                <w:sz w:val="21"/>
                <w:szCs w:val="21"/>
                <w:lang w:eastAsia="zh-CN"/>
              </w:rPr>
              <w:t>O</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6.1.2</w:t>
            </w:r>
          </w:p>
        </w:tc>
        <w:tc>
          <w:tcPr>
            <w:tcW w:w="11272" w:type="dxa"/>
            <w:noWrap w:val="0"/>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eastAsia="zh-CN"/>
              </w:rPr>
              <w:t>查企业</w:t>
            </w:r>
            <w:r>
              <w:rPr>
                <w:rFonts w:hint="eastAsia" w:ascii="Times New Roman" w:hAnsi="Times New Roman" w:eastAsia="宋体" w:cs="Times New Roman"/>
                <w:sz w:val="21"/>
                <w:szCs w:val="21"/>
              </w:rPr>
              <w:t>编制了《环境因素识别与评价控制程序</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危险源辩识</w:t>
            </w:r>
            <w:r>
              <w:rPr>
                <w:rFonts w:hint="eastAsia" w:ascii="Times New Roman" w:hAnsi="Times New Roman" w:eastAsia="宋体" w:cs="Times New Roman"/>
                <w:sz w:val="21"/>
                <w:szCs w:val="21"/>
                <w:lang w:eastAsia="zh-CN"/>
              </w:rPr>
              <w:t>和</w:t>
            </w:r>
            <w:r>
              <w:rPr>
                <w:rFonts w:hint="eastAsia" w:ascii="Times New Roman" w:hAnsi="Times New Roman" w:eastAsia="宋体" w:cs="Times New Roman"/>
                <w:sz w:val="21"/>
                <w:szCs w:val="21"/>
              </w:rPr>
              <w:t>风险评价控制程序》，经文审符合标准要求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eastAsia="zh-CN"/>
              </w:rPr>
              <w:t>提供《</w:t>
            </w:r>
            <w:r>
              <w:rPr>
                <w:rFonts w:hint="eastAsia" w:ascii="Times New Roman" w:hAnsi="Times New Roman" w:eastAsia="宋体" w:cs="Times New Roman"/>
                <w:sz w:val="21"/>
                <w:szCs w:val="21"/>
              </w:rPr>
              <w:t>环境因素</w:t>
            </w:r>
            <w:r>
              <w:rPr>
                <w:rFonts w:hint="eastAsia" w:ascii="Times New Roman" w:hAnsi="Times New Roman" w:eastAsia="宋体" w:cs="Times New Roman"/>
                <w:sz w:val="21"/>
                <w:szCs w:val="21"/>
                <w:lang w:val="en-US" w:eastAsia="zh-CN"/>
              </w:rPr>
              <w:t>评价表</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涉及</w:t>
            </w:r>
            <w:r>
              <w:rPr>
                <w:rFonts w:hint="eastAsia" w:ascii="Times New Roman" w:hAnsi="Times New Roman" w:eastAsia="宋体" w:cs="Times New Roman"/>
                <w:sz w:val="21"/>
                <w:szCs w:val="21"/>
              </w:rPr>
              <w:t>办公</w:t>
            </w:r>
            <w:r>
              <w:rPr>
                <w:rFonts w:hint="eastAsia" w:ascii="Times New Roman" w:hAnsi="Times New Roman" w:eastAsia="宋体" w:cs="Times New Roman"/>
                <w:sz w:val="21"/>
                <w:szCs w:val="21"/>
                <w:lang w:val="en-US" w:eastAsia="zh-CN"/>
              </w:rPr>
              <w:t>区、库房</w:t>
            </w:r>
            <w:r>
              <w:rPr>
                <w:rFonts w:hint="eastAsia" w:ascii="Times New Roman" w:hAnsi="Times New Roman" w:eastAsia="宋体" w:cs="Times New Roman"/>
                <w:sz w:val="21"/>
                <w:szCs w:val="21"/>
              </w:rPr>
              <w:t>等，</w:t>
            </w:r>
            <w:r>
              <w:rPr>
                <w:rFonts w:hint="eastAsia" w:ascii="Times New Roman" w:hAnsi="Times New Roman" w:eastAsia="宋体" w:cs="Times New Roman"/>
                <w:sz w:val="21"/>
                <w:szCs w:val="21"/>
                <w:lang w:eastAsia="zh-CN"/>
              </w:rPr>
              <w:t>包括</w:t>
            </w:r>
            <w:r>
              <w:rPr>
                <w:rFonts w:hint="eastAsia" w:ascii="Times New Roman" w:hAnsi="Times New Roman" w:eastAsia="宋体" w:cs="Times New Roman"/>
                <w:sz w:val="21"/>
                <w:szCs w:val="21"/>
              </w:rPr>
              <w:t>固废废弃、意外火灾、</w:t>
            </w:r>
            <w:r>
              <w:rPr>
                <w:rFonts w:hint="eastAsia" w:ascii="Times New Roman" w:hAnsi="Times New Roman" w:eastAsia="宋体" w:cs="Times New Roman"/>
                <w:sz w:val="21"/>
                <w:szCs w:val="21"/>
                <w:lang w:eastAsia="zh-CN"/>
              </w:rPr>
              <w:t>车辆</w:t>
            </w:r>
            <w:r>
              <w:rPr>
                <w:rFonts w:hint="eastAsia" w:ascii="Times New Roman" w:hAnsi="Times New Roman" w:eastAsia="宋体" w:cs="Times New Roman"/>
                <w:sz w:val="21"/>
                <w:szCs w:val="21"/>
                <w:lang w:val="en-US" w:eastAsia="zh-CN"/>
              </w:rPr>
              <w:t>噪声、车辆尾气排放、车辆油品泄漏等</w:t>
            </w:r>
            <w:r>
              <w:rPr>
                <w:rFonts w:hint="eastAsia" w:ascii="Times New Roman" w:hAnsi="Times New Roman" w:eastAsia="宋体" w:cs="Times New Roman"/>
                <w:sz w:val="21"/>
                <w:szCs w:val="21"/>
              </w:rPr>
              <w:t>等。</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采用是否法评价出重要环境因素：火灾、固体废弃物排放、疫情防控物资废弃物排放、危化品泄露；</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了《危险源辨识与风险评价记录》，按部门作业活动过程识别了危险源，识别出危险源如：爆炸、火灾、触电、新冠病毒感染、交通事故、危化品泄露等，编制了《不可接受风险清单》，评价出不可接受风险包括:火灾、触电、新冠病毒感染、交通事故、危化品泄露。</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针对识别出的重要环境因素和不可接受风险编制了应急预案并定期演练，制定管理方案，制定了目标指标和控制措施，并定期进行考核。</w:t>
            </w:r>
          </w:p>
        </w:tc>
        <w:tc>
          <w:tcPr>
            <w:tcW w:w="963" w:type="dxa"/>
            <w:gridSpan w:val="2"/>
            <w:noWrap w:val="0"/>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trPr>
        <w:tc>
          <w:tcPr>
            <w:tcW w:w="1638" w:type="dxa"/>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合规义务、法律法规及其他要求</w:t>
            </w:r>
          </w:p>
        </w:tc>
        <w:tc>
          <w:tcPr>
            <w:tcW w:w="1011" w:type="dxa"/>
            <w:noWrap w:val="0"/>
            <w:vAlign w:val="center"/>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E</w:t>
            </w:r>
            <w:r>
              <w:rPr>
                <w:rFonts w:hint="eastAsia" w:ascii="Times New Roman" w:hAnsi="Times New Roman" w:eastAsia="宋体" w:cs="Times New Roman"/>
                <w:sz w:val="21"/>
                <w:szCs w:val="21"/>
                <w:lang w:eastAsia="zh-CN"/>
              </w:rPr>
              <w:t>O</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6.1.3</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9.1.2</w:t>
            </w:r>
          </w:p>
        </w:tc>
        <w:tc>
          <w:tcPr>
            <w:tcW w:w="11272" w:type="dxa"/>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●公司</w:t>
            </w:r>
            <w:r>
              <w:rPr>
                <w:rFonts w:hint="eastAsia" w:ascii="Times New Roman" w:hAnsi="Times New Roman" w:eastAsia="宋体" w:cs="Times New Roman"/>
                <w:sz w:val="21"/>
                <w:szCs w:val="21"/>
              </w:rPr>
              <w:t>编制</w:t>
            </w:r>
            <w:r>
              <w:rPr>
                <w:rFonts w:hint="eastAsia" w:ascii="Times New Roman" w:hAnsi="Times New Roman" w:eastAsia="宋体" w:cs="Times New Roman"/>
                <w:sz w:val="21"/>
                <w:szCs w:val="21"/>
                <w:lang w:val="en-US" w:eastAsia="zh-CN"/>
              </w:rPr>
              <w:t>了《法律法规和其他要求管理程序》，规定法律、法规及其他要求的范围、获取方法、确认及分发。</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办公室负责适用的产品和环境/安全方面的法律法规的识别、获取和更新，并评价其适用性；</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提供公司适用的《法律法规清单》，收集了适用的环境安全方面的法律法规;</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中华人民共和国未成年人保护法、中华人民共和国社会保险法、中华人民共和国劳动争议调解仲裁法、中华人民共和国道路交通安全法、中华人民共和国保守国家秘密法、中华人民共和国消费者权益保护法、中华人民共和国食品安全法中华人民共和国噪声污染防治法、中华人民共和国固体废物污染环境防治法等，未包含《危险化学品安全管理条例》《易制爆危险化学品治安管理办法》《危险化学品目录》等适用的法律法规及相关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法律法规及其他要求在</w:t>
            </w:r>
            <w:r>
              <w:rPr>
                <w:rFonts w:hint="eastAsia" w:ascii="Times New Roman" w:hAnsi="Times New Roman" w:eastAsia="宋体" w:cs="Times New Roman"/>
                <w:sz w:val="21"/>
                <w:szCs w:val="21"/>
                <w:lang w:eastAsia="zh-CN"/>
              </w:rPr>
              <w:t>办公室</w:t>
            </w:r>
            <w:r>
              <w:rPr>
                <w:rFonts w:hint="eastAsia" w:ascii="Times New Roman" w:hAnsi="Times New Roman" w:eastAsia="宋体" w:cs="Times New Roman"/>
                <w:sz w:val="21"/>
                <w:szCs w:val="21"/>
              </w:rPr>
              <w:t>存档一份，并已电子版的形式发到各部门电脑上。</w:t>
            </w:r>
            <w:r>
              <w:rPr>
                <w:rFonts w:hint="eastAsia" w:ascii="Times New Roman" w:hAnsi="Times New Roman" w:eastAsia="宋体" w:cs="Times New Roman"/>
                <w:sz w:val="21"/>
                <w:szCs w:val="21"/>
                <w:lang w:val="en-US" w:eastAsia="zh-CN"/>
              </w:rPr>
              <w:t>办公室专人负责</w:t>
            </w:r>
            <w:r>
              <w:rPr>
                <w:rFonts w:hint="eastAsia" w:ascii="Times New Roman" w:hAnsi="Times New Roman" w:eastAsia="宋体" w:cs="Times New Roman"/>
                <w:sz w:val="21"/>
                <w:szCs w:val="21"/>
              </w:rPr>
              <w:t>定期在网上查看法规的更新情况，目前均为最新版本。</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明确了法律法规及其他要求对公司环境因素、危险源的应用，明确了相应的适用条款。</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●公司制定了《合规性评价控制程序》，明确了合规义务定期评价的程序、频次、职责、报告的发布等。</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查合规性评价：2022年9月24日进行合规性评价，提供了《法律法规及其他要求合规性评价表》及《法律法规遵循情况评价表》，包括：适用的法律法规及其对应条款、符合性评价等。</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评价了环境、安全绩效、运行控制的监视与测量、目标指标实现、环境因素危险源的控制情况等内容，评价结论：通过建立环境、职业健康安全管理体系，对环境、危险源进行了识别和控制，公司的环境、职业健康安全绩效有了较大的提高，具备了实现环境、职业健康安全目标、指标的能力。</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公司能够遵守相关的环境、职业健康安全法律、法规。</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参加评价人员：王林会、崔永佳、谷舜娟、周兴旺、常赫华，批准：王林会。</w:t>
            </w:r>
          </w:p>
        </w:tc>
        <w:tc>
          <w:tcPr>
            <w:tcW w:w="963" w:type="dxa"/>
            <w:gridSpan w:val="2"/>
            <w:noWrap w:val="0"/>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5" w:hRule="atLeast"/>
        </w:trPr>
        <w:tc>
          <w:tcPr>
            <w:tcW w:w="1638" w:type="dxa"/>
            <w:noWrap w:val="0"/>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文件化信息</w:t>
            </w:r>
          </w:p>
        </w:tc>
        <w:tc>
          <w:tcPr>
            <w:tcW w:w="1011" w:type="dxa"/>
            <w:noWrap w:val="0"/>
            <w:vAlign w:val="center"/>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EO</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7.5</w:t>
            </w:r>
          </w:p>
        </w:tc>
        <w:tc>
          <w:tcPr>
            <w:tcW w:w="11272" w:type="dxa"/>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受审核方建立的管理体系文件包括2部分：</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1）标准要求的文件：公司方针、管理目标、认证范围、组织架构、职责分工等均在《管理手册》《岗位工作人员任职要求》等文件中明确。</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2）公司体系运行要求的文件：公司管理制度，程序文件，产品标准，各种记录等文件。</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企业编制了《文件控制程序》，《记录控制程序》用于文件、记录的控制。提供了《受控文件清单》，受控文件4个：</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《管理手册》QL-SC-2022，版本A,实施日期：2022年7月1日；</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《程序文件》QL-CX-2022 ，版本A,包含程序文件文件控制程序，环境和职业健康安全管理运行控制程序、消防控制程序等标准要求的程序文件，实施日期：2022年7月1日；</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《管理制度》QL-GL-2022，版本A/0,实施日期：2022年7月1日，包括各项管理制度如岗位工作人员任职要求、销售服务质量考核方法等；</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《环境安全管理文件汇编QL-ESGL-2022》，版本A，实施日期：2022年7月1日，包括固体废弃物管理制度、消防管理制度等；</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以上文件均有电子版、纸质版保存。均有文件名称、编号、编写人、审核、审批人签字等信息。有发放记录。符合要求。</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提供了《体系文件清单》，收录了《中华人民共和国民法典》、《中华人民共和国招投标法》等法规及</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及《法律法规清单》，收集了产品标准：GB/T534-2014工业硫酸、GB536-2017液体无水氨、GB2440-2017尿素、GB/T209-2018工业用氢氧化钠、GB320-2006工业用合成盐酸、HG/T3783-2021副产盐酸等。</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提供了《记录清单》总计45种，收编了记录的名称、编号、保存期限等信息。 抽查管理评审报告，保存期限3年。</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查文件发放登记表，提供了受控文件及外来文件的发放记录，记录了发放人，接收人签字及日期。</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现场询问办公室主管，收到了管理体系手册，程序文件和管理制度汇编。</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查作废文件：《管理体系手册》和《文件控制程序》对作废文件做出了相关规定。经与办公室主任沟通，体系运行以来，没有作废文件。若有作废文件，需加盖作废标识后处理。</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查文件的保存：现场查看：办公室配有文件柜、档案柜。目前各种文件保存完好。</w:t>
            </w:r>
          </w:p>
        </w:tc>
        <w:tc>
          <w:tcPr>
            <w:tcW w:w="963" w:type="dxa"/>
            <w:gridSpan w:val="2"/>
            <w:noWrap w:val="0"/>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7" w:hRule="atLeast"/>
        </w:trPr>
        <w:tc>
          <w:tcPr>
            <w:tcW w:w="1638" w:type="dxa"/>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运行控制</w:t>
            </w:r>
          </w:p>
        </w:tc>
        <w:tc>
          <w:tcPr>
            <w:tcW w:w="1011" w:type="dxa"/>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EO</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8.1</w:t>
            </w:r>
          </w:p>
        </w:tc>
        <w:tc>
          <w:tcPr>
            <w:tcW w:w="11272" w:type="dxa"/>
            <w:noWrap w:val="0"/>
            <w:vAlign w:val="center"/>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●策划并执行的运行控制文件包括：重要环境因素评价标准、 固体废物管理规定、节能降耗管理规定、 相关方环境要求 、 消防管理制度、从业人员安全管理制度、车辆管理制度、环境和职业健康安全管理运行控制程序及安全标准化安全管理手册中的各项管理制度。  </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查运行控制情况：</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办公过程注意节约用电，做到人走灯灭，电脑长时间不用时关机，下班前要关闭电源；</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办公</w:t>
            </w:r>
            <w:r>
              <w:rPr>
                <w:rFonts w:hint="eastAsia" w:ascii="Times New Roman" w:hAnsi="Times New Roman" w:eastAsia="宋体" w:cs="Times New Roman"/>
                <w:sz w:val="21"/>
                <w:szCs w:val="21"/>
                <w:lang w:eastAsia="zh-CN"/>
              </w:rPr>
              <w:t>过程产生的固废按要求放到指定地点，查看无混放现象；办公用品按要求由</w:t>
            </w:r>
            <w:r>
              <w:rPr>
                <w:rFonts w:hint="eastAsia" w:ascii="Times New Roman" w:hAnsi="Times New Roman" w:eastAsia="宋体" w:cs="Times New Roman"/>
                <w:sz w:val="21"/>
                <w:szCs w:val="21"/>
                <w:lang w:val="en-US" w:eastAsia="zh-CN"/>
              </w:rPr>
              <w:t>办公室</w:t>
            </w:r>
            <w:r>
              <w:rPr>
                <w:rFonts w:hint="eastAsia" w:ascii="Times New Roman" w:hAnsi="Times New Roman" w:eastAsia="宋体" w:cs="Times New Roman"/>
                <w:sz w:val="21"/>
                <w:szCs w:val="21"/>
                <w:lang w:eastAsia="zh-CN"/>
              </w:rPr>
              <w:t xml:space="preserve">负责发放，作好记录； </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lang w:eastAsia="zh-CN"/>
              </w:rPr>
              <w:t>工作时间平均每天不超过8小时，公司为员工缴纳了保险，每年为员工安排一次体检。</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4.新员工入职，尤其是驾驶员等特殊岗位，均安排了入职安全教育，考试合格后上岗。</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lang w:eastAsia="zh-CN"/>
              </w:rPr>
              <w:t>查看办公室设备、电器状态良好，废弃物无混放现象，无火灾、触电隐患，配置了灭火器，现场查看，均在有效压力范围内。厂区内禁止烟火，张贴了安全标识。</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6.公司为员工提供口罩、洗手液，外出的驾驶员提供手套等劳动防护用品及卫生防疫物品，提供发放记录，内容包括</w:t>
            </w:r>
            <w:r>
              <w:rPr>
                <w:rFonts w:hint="eastAsia" w:ascii="Times New Roman" w:hAnsi="Times New Roman" w:eastAsia="宋体" w:cs="Times New Roman"/>
                <w:sz w:val="21"/>
                <w:szCs w:val="21"/>
              </w:rPr>
              <w:t>口罩、创口贴 、纱布</w:t>
            </w:r>
            <w:r>
              <w:rPr>
                <w:rFonts w:hint="eastAsia" w:ascii="Times New Roman" w:hAnsi="Times New Roman" w:eastAsia="宋体" w:cs="Times New Roman"/>
                <w:sz w:val="21"/>
                <w:szCs w:val="21"/>
                <w:lang w:eastAsia="zh-CN"/>
              </w:rPr>
              <w:t>、消毒液等，</w:t>
            </w:r>
            <w:r>
              <w:rPr>
                <w:rFonts w:hint="eastAsia" w:ascii="Times New Roman" w:hAnsi="Times New Roman" w:eastAsia="宋体" w:cs="Times New Roman"/>
                <w:sz w:val="21"/>
                <w:szCs w:val="21"/>
                <w:lang w:val="en-US" w:eastAsia="zh-CN"/>
              </w:rPr>
              <w:t>有领用人员签字。公司张贴了疫情期间工作防控指南及关于响应市局疫情防控的通知等文件，实行属地责任制，防疫经理：崔永佳。公司办公场所每日消毒，提供了《办公场所消毒记录》。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7.办公楼内疏散通道有应急灯、监控摄像头等设施。</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环境安全费用投入：提供了《2022年环境职业健康安全资金投入计划表》，制定了环境安全方面运行所需资金投入计划，并对实际费用投入进行了统计，提供有《2022年7月-10月环境、职业健康安全资金投入费用统计》，统计了包括：2022年劳保用品购置、环境、安全培训费、体检费用、员工培训费用、员工保险费用、应急演练、环保费用等方面的费用投入；</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9.环境方面：</w:t>
            </w:r>
            <w:r>
              <w:rPr>
                <w:rFonts w:hint="eastAsia" w:ascii="Times New Roman" w:hAnsi="Times New Roman" w:eastAsia="宋体" w:cs="Times New Roman"/>
                <w:sz w:val="21"/>
                <w:szCs w:val="21"/>
              </w:rPr>
              <w:t>污水：日常清洁、卫生产生，统一处理，用于公司绿化，污水无外排情况。</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气体排放：主要是日常打印和复印产生，量较小，直接排空处理。</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噪声：办公活动无重大噪声。</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固废：一般办公固废主要是纸张等，按照公司垃圾分类箱分别放置，硒鼓、墨盒、灯管等由办公室统一更换，旧物收集，定期交供应商回收处理，公司未发生乱扔现象。</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安全方面：</w:t>
            </w:r>
            <w:r>
              <w:rPr>
                <w:rFonts w:hint="eastAsia" w:ascii="Times New Roman" w:hAnsi="Times New Roman" w:eastAsia="宋体" w:cs="Times New Roman"/>
                <w:sz w:val="21"/>
                <w:szCs w:val="21"/>
              </w:rPr>
              <w:t>火灾：</w:t>
            </w:r>
            <w:r>
              <w:rPr>
                <w:rFonts w:hint="eastAsia" w:ascii="Times New Roman" w:hAnsi="Times New Roman" w:eastAsia="宋体" w:cs="Times New Roman"/>
                <w:sz w:val="21"/>
                <w:szCs w:val="21"/>
                <w:lang w:eastAsia="zh-CN"/>
              </w:rPr>
              <w:t>所有人员进入厂区严禁吸烟，</w:t>
            </w:r>
            <w:r>
              <w:rPr>
                <w:rFonts w:hint="eastAsia" w:ascii="Times New Roman" w:hAnsi="Times New Roman" w:eastAsia="宋体" w:cs="Times New Roman"/>
                <w:sz w:val="21"/>
                <w:szCs w:val="21"/>
              </w:rPr>
              <w:t>定期检测用电办公设备和线路，发现故障及时修复，正确使用设备，防止火灾发生，制定了消防预案并组织进行了演练。</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节约能源：公司在日常办公时尽量减少纸张及办公用品的消耗，日常注意节水节电，正常使用。</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触电：定期检测用电办公设备和线路，发现故障及时修复，正确使用设备，防止触电事故发生。</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交通事故：对员工进行交通安全的培训，上下班途中</w:t>
            </w:r>
            <w:r>
              <w:rPr>
                <w:rFonts w:hint="eastAsia" w:ascii="Times New Roman" w:hAnsi="Times New Roman" w:eastAsia="宋体" w:cs="Times New Roman"/>
                <w:sz w:val="21"/>
                <w:szCs w:val="21"/>
                <w:lang w:val="en-US" w:eastAsia="zh-CN"/>
              </w:rPr>
              <w:t>及出差过程中</w:t>
            </w:r>
            <w:r>
              <w:rPr>
                <w:rFonts w:hint="eastAsia" w:ascii="Times New Roman" w:hAnsi="Times New Roman" w:eastAsia="宋体" w:cs="Times New Roman"/>
                <w:sz w:val="21"/>
                <w:szCs w:val="21"/>
              </w:rPr>
              <w:t>遵守交通规则，不违章，防止交通事故的发生。</w:t>
            </w:r>
            <w:r>
              <w:rPr>
                <w:rFonts w:hint="eastAsia" w:ascii="Times New Roman" w:hAnsi="Times New Roman" w:eastAsia="宋体" w:cs="Times New Roman"/>
                <w:sz w:val="21"/>
                <w:szCs w:val="21"/>
                <w:lang w:eastAsia="zh-CN"/>
              </w:rPr>
              <w:t>进入厂区的车辆不高声鸣笛，减速行驶；</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其他方面：要求员工在服务企业进行服务时遵守对方安全、环保要求，防止意外伤害和环境污染。</w:t>
            </w:r>
          </w:p>
          <w:p>
            <w:pPr>
              <w:rPr>
                <w:rFonts w:hint="eastAsia" w:ascii="Times New Roman" w:hAnsi="Times New Roman" w:eastAsia="宋体" w:cs="Times New Roman"/>
                <w:sz w:val="21"/>
                <w:szCs w:val="21"/>
                <w:lang w:val="en-GB" w:eastAsia="zh-CN"/>
              </w:rPr>
            </w:pPr>
            <w:r>
              <w:rPr>
                <w:rFonts w:hint="eastAsia" w:ascii="Times New Roman" w:hAnsi="Times New Roman" w:eastAsia="宋体" w:cs="Times New Roman"/>
                <w:sz w:val="21"/>
                <w:szCs w:val="21"/>
                <w:lang w:val="en-US" w:eastAsia="zh-CN"/>
              </w:rPr>
              <w:t>每年</w:t>
            </w:r>
            <w:r>
              <w:rPr>
                <w:rFonts w:hint="eastAsia" w:ascii="Times New Roman" w:hAnsi="Times New Roman" w:eastAsia="宋体" w:cs="Times New Roman"/>
                <w:sz w:val="21"/>
                <w:szCs w:val="21"/>
              </w:rPr>
              <w:t>组织员工进行了体检</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提供了2022年度员工体检报告，无职业病或职业病疑似</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GB" w:eastAsia="zh-CN"/>
              </w:rPr>
              <w:drawing>
                <wp:inline distT="0" distB="0" distL="114300" distR="114300">
                  <wp:extent cx="1564640" cy="2087245"/>
                  <wp:effectExtent l="0" t="0" r="10160" b="8255"/>
                  <wp:docPr id="5" name="图片 5" descr="0a6809a3b3fcda44eaf49b31c013e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a6809a3b3fcda44eaf49b31c013ea1"/>
                          <pic:cNvPicPr>
                            <a:picLocks noChangeAspect="1"/>
                          </pic:cNvPicPr>
                        </pic:nvPicPr>
                        <pic:blipFill>
                          <a:blip r:embed="rId6"/>
                          <a:stretch>
                            <a:fillRect/>
                          </a:stretch>
                        </pic:blipFill>
                        <pic:spPr>
                          <a:xfrm>
                            <a:off x="0" y="0"/>
                            <a:ext cx="1564640" cy="2087245"/>
                          </a:xfrm>
                          <a:prstGeom prst="rect">
                            <a:avLst/>
                          </a:prstGeom>
                        </pic:spPr>
                      </pic:pic>
                    </a:graphicData>
                  </a:graphic>
                </wp:inline>
              </w:drawing>
            </w:r>
            <w:r>
              <w:rPr>
                <w:rFonts w:hint="eastAsia" w:ascii="Times New Roman" w:hAnsi="Times New Roman" w:eastAsia="宋体" w:cs="Times New Roman"/>
                <w:sz w:val="21"/>
                <w:szCs w:val="21"/>
                <w:lang w:val="en-GB" w:eastAsia="zh-CN"/>
              </w:rPr>
              <w:drawing>
                <wp:inline distT="0" distB="0" distL="114300" distR="114300">
                  <wp:extent cx="1616710" cy="2155825"/>
                  <wp:effectExtent l="0" t="0" r="8890" b="3175"/>
                  <wp:docPr id="6" name="图片 6" descr="8187d07d49d770ee58cf320618345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187d07d49d770ee58cf320618345cc"/>
                          <pic:cNvPicPr>
                            <a:picLocks noChangeAspect="1"/>
                          </pic:cNvPicPr>
                        </pic:nvPicPr>
                        <pic:blipFill>
                          <a:blip r:embed="rId7"/>
                          <a:stretch>
                            <a:fillRect/>
                          </a:stretch>
                        </pic:blipFill>
                        <pic:spPr>
                          <a:xfrm>
                            <a:off x="0" y="0"/>
                            <a:ext cx="1616710" cy="2155825"/>
                          </a:xfrm>
                          <a:prstGeom prst="rect">
                            <a:avLst/>
                          </a:prstGeom>
                        </pic:spPr>
                      </pic:pic>
                    </a:graphicData>
                  </a:graphic>
                </wp:inline>
              </w:drawing>
            </w:r>
            <w:r>
              <w:rPr>
                <w:rFonts w:hint="eastAsia" w:ascii="Times New Roman" w:hAnsi="Times New Roman" w:eastAsia="宋体" w:cs="Times New Roman"/>
                <w:sz w:val="21"/>
                <w:szCs w:val="21"/>
                <w:lang w:val="en-GB" w:eastAsia="zh-CN"/>
              </w:rPr>
              <w:drawing>
                <wp:inline distT="0" distB="0" distL="114300" distR="114300">
                  <wp:extent cx="1622425" cy="2164080"/>
                  <wp:effectExtent l="0" t="0" r="3175" b="7620"/>
                  <wp:docPr id="8" name="图片 8" descr="8c3744c9f8d4c45c98fde56be40e8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c3744c9f8d4c45c98fde56be40e8a4"/>
                          <pic:cNvPicPr>
                            <a:picLocks noChangeAspect="1"/>
                          </pic:cNvPicPr>
                        </pic:nvPicPr>
                        <pic:blipFill>
                          <a:blip r:embed="rId8"/>
                          <a:stretch>
                            <a:fillRect/>
                          </a:stretch>
                        </pic:blipFill>
                        <pic:spPr>
                          <a:xfrm>
                            <a:off x="0" y="0"/>
                            <a:ext cx="1622425" cy="2164080"/>
                          </a:xfrm>
                          <a:prstGeom prst="rect">
                            <a:avLst/>
                          </a:prstGeom>
                        </pic:spPr>
                      </pic:pic>
                    </a:graphicData>
                  </a:graphic>
                </wp:inline>
              </w:drawing>
            </w:r>
            <w:r>
              <w:rPr>
                <w:rFonts w:hint="eastAsia" w:ascii="Times New Roman" w:hAnsi="Times New Roman" w:eastAsia="宋体" w:cs="Times New Roman"/>
                <w:sz w:val="21"/>
                <w:szCs w:val="21"/>
                <w:lang w:val="en-GB" w:eastAsia="zh-CN"/>
              </w:rPr>
              <w:drawing>
                <wp:inline distT="0" distB="0" distL="114300" distR="114300">
                  <wp:extent cx="1626235" cy="2167890"/>
                  <wp:effectExtent l="0" t="0" r="12065" b="3810"/>
                  <wp:docPr id="9" name="图片 9" descr="1d391c68cc2aa6da50f667474aaf1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d391c68cc2aa6da50f667474aaf12a"/>
                          <pic:cNvPicPr>
                            <a:picLocks noChangeAspect="1"/>
                          </pic:cNvPicPr>
                        </pic:nvPicPr>
                        <pic:blipFill>
                          <a:blip r:embed="rId9"/>
                          <a:stretch>
                            <a:fillRect/>
                          </a:stretch>
                        </pic:blipFill>
                        <pic:spPr>
                          <a:xfrm>
                            <a:off x="0" y="0"/>
                            <a:ext cx="1626235" cy="2167890"/>
                          </a:xfrm>
                          <a:prstGeom prst="rect">
                            <a:avLst/>
                          </a:prstGeom>
                        </pic:spPr>
                      </pic:pic>
                    </a:graphicData>
                  </a:graphic>
                </wp:inline>
              </w:drawing>
            </w:r>
          </w:p>
        </w:tc>
        <w:tc>
          <w:tcPr>
            <w:tcW w:w="963" w:type="dxa"/>
            <w:gridSpan w:val="2"/>
            <w:noWrap w:val="0"/>
            <w:vAlign w:val="center"/>
          </w:tcPr>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0" w:type="dxa"/>
          <w:trHeight w:val="1582" w:hRule="atLeast"/>
        </w:trPr>
        <w:tc>
          <w:tcPr>
            <w:tcW w:w="1638" w:type="dxa"/>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监视和测量</w:t>
            </w:r>
          </w:p>
        </w:tc>
        <w:tc>
          <w:tcPr>
            <w:tcW w:w="1011" w:type="dxa"/>
            <w:noWrap w:val="0"/>
            <w:vAlign w:val="center"/>
          </w:tcPr>
          <w:p>
            <w:pP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E</w:t>
            </w:r>
            <w:r>
              <w:rPr>
                <w:rFonts w:hint="eastAsia" w:ascii="Times New Roman" w:hAnsi="Times New Roman" w:eastAsia="宋体" w:cs="Times New Roman"/>
                <w:sz w:val="21"/>
                <w:szCs w:val="21"/>
                <w:lang w:eastAsia="zh-CN"/>
              </w:rPr>
              <w:t>O</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9.1.1</w:t>
            </w:r>
          </w:p>
        </w:tc>
        <w:tc>
          <w:tcPr>
            <w:tcW w:w="11272" w:type="dxa"/>
            <w:noWrap w:val="0"/>
            <w:vAlign w:val="center"/>
          </w:tcPr>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编制了</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环境、安全监测和测量控制程序</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，通过以下几种方式对运行过程进行监视和测量：</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●该公司对管理体系过程进行监视和测量的方法包括：内审、管理评审、目标考核、过程的监视和测量检查等。</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内审、管理评审、目标考核详见相关审核记录</w:t>
            </w:r>
            <w:r>
              <w:rPr>
                <w:rFonts w:hint="default" w:ascii="Times New Roman" w:hAnsi="Times New Roman" w:eastAsia="宋体" w:cs="Times New Roman"/>
                <w:sz w:val="21"/>
                <w:szCs w:val="21"/>
              </w:rPr>
              <w:t>.</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每月进行一次过程的监视和测量的检查，发现问题立即整改。</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查见</w:t>
            </w:r>
            <w:r>
              <w:rPr>
                <w:rFonts w:hint="default" w:ascii="Times New Roman" w:hAnsi="Times New Roman" w:eastAsia="宋体" w:cs="Times New Roman"/>
                <w:sz w:val="21"/>
                <w:szCs w:val="21"/>
              </w:rPr>
              <w:t>20</w:t>
            </w:r>
            <w:r>
              <w:rPr>
                <w:rFonts w:hint="eastAsia" w:ascii="Times New Roman" w:hAnsi="Times New Roman" w:eastAsia="宋体" w:cs="Times New Roman"/>
                <w:sz w:val="21"/>
                <w:szCs w:val="21"/>
                <w:lang w:val="en-US" w:eastAsia="zh-CN"/>
              </w:rPr>
              <w:t>22.8.25/2022.10.27日</w:t>
            </w:r>
            <w:r>
              <w:rPr>
                <w:rFonts w:hint="eastAsia" w:ascii="Times New Roman" w:hAnsi="Times New Roman" w:eastAsia="宋体" w:cs="Times New Roman"/>
                <w:sz w:val="21"/>
                <w:szCs w:val="21"/>
              </w:rPr>
              <w:t>《公司各部门环境、安全运行检查记录表》，内容包括：</w:t>
            </w:r>
            <w:r>
              <w:rPr>
                <w:rFonts w:hint="eastAsia" w:ascii="Times New Roman" w:hAnsi="Times New Roman" w:eastAsia="宋体" w:cs="Times New Roman"/>
                <w:sz w:val="21"/>
                <w:szCs w:val="21"/>
                <w:lang w:eastAsia="zh-CN"/>
              </w:rPr>
              <w:t>水电管理、固废管理、消防、噪声控制、相关方管理、员工健康管理等方面，未发现不合格，均符合要求。</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查见《</w:t>
            </w:r>
            <w:r>
              <w:rPr>
                <w:rFonts w:hint="eastAsia" w:ascii="Times New Roman" w:hAnsi="Times New Roman" w:eastAsia="宋体" w:cs="Times New Roman"/>
                <w:sz w:val="21"/>
                <w:szCs w:val="21"/>
              </w:rPr>
              <w:t>环境安全绩效检查记录</w:t>
            </w:r>
            <w:r>
              <w:rPr>
                <w:rFonts w:hint="eastAsia" w:ascii="Times New Roman" w:hAnsi="Times New Roman" w:eastAsia="宋体" w:cs="Times New Roman"/>
                <w:sz w:val="21"/>
                <w:szCs w:val="21"/>
                <w:lang w:eastAsia="zh-CN"/>
              </w:rPr>
              <w:t>》，抽</w:t>
            </w:r>
            <w:r>
              <w:rPr>
                <w:rFonts w:hint="eastAsia" w:ascii="Times New Roman" w:hAnsi="Times New Roman" w:eastAsia="宋体" w:cs="Times New Roman"/>
                <w:sz w:val="21"/>
                <w:szCs w:val="21"/>
                <w:lang w:val="en-US" w:eastAsia="zh-CN"/>
              </w:rPr>
              <w:t>2022.9.24日检查记录，检查内容包括：劳保防护用品配置、安全培训教育情况、现场安全状况、人员环境意识、污水排放情况、车辆噪声排放情况等方面，未发现不符合。</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●环境绩效监测：办公区卫生间废水排入城市管网。</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一般固废（废纸张等），按规定收集，</w:t>
            </w:r>
            <w:r>
              <w:rPr>
                <w:rFonts w:hint="eastAsia" w:ascii="Times New Roman" w:hAnsi="Times New Roman" w:eastAsia="宋体" w:cs="Times New Roman"/>
                <w:sz w:val="21"/>
                <w:szCs w:val="21"/>
                <w:lang w:val="en-US" w:eastAsia="zh-CN"/>
              </w:rPr>
              <w:t>涉密部分粉碎后卖给废品收购站</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eastAsia="zh-CN"/>
              </w:rPr>
              <w:t>废弃灯管等定期交由供应商回收处理；车辆维修废弃物分类收集，交由环卫部门统一处理；</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被动监测：自体系建立以来没有发生过环境污染事故</w:t>
            </w:r>
            <w:r>
              <w:rPr>
                <w:rFonts w:hint="eastAsia" w:ascii="Times New Roman" w:hAnsi="Times New Roman" w:eastAsia="宋体" w:cs="Times New Roman"/>
                <w:sz w:val="21"/>
                <w:szCs w:val="21"/>
                <w:lang w:eastAsia="zh-CN"/>
              </w:rPr>
              <w:t>。</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●职业健康安全监测：</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主动监测：职业健康安全目标指标：已完成</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被动监测：每年对员工进行体检，结论：未见</w:t>
            </w:r>
            <w:r>
              <w:rPr>
                <w:rFonts w:hint="eastAsia" w:ascii="Times New Roman" w:hAnsi="Times New Roman" w:eastAsia="宋体" w:cs="Times New Roman"/>
                <w:sz w:val="21"/>
                <w:szCs w:val="21"/>
                <w:lang w:val="en-US" w:eastAsia="zh-CN"/>
              </w:rPr>
              <w:t>职业病或职业病疑似；详情见附件。</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自体系建立以来没有发生过安全事故。</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●监测设备：公司暂无环境、职业健康安全监测设备。</w:t>
            </w:r>
          </w:p>
        </w:tc>
        <w:tc>
          <w:tcPr>
            <w:tcW w:w="943" w:type="dxa"/>
            <w:noWrap w:val="0"/>
            <w:vAlign w:val="top"/>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bl>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77E369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pPr>
    <w:rPr>
      <w:rFonts w:hint="default" w:ascii="Calibri" w:hAnsi="Calibri" w:eastAsia="宋体" w:cs="Times New Roman"/>
      <w:color w:val="000000"/>
      <w:kern w:val="0"/>
      <w:sz w:val="24"/>
      <w:szCs w:val="24"/>
      <w:lang w:val="en-US" w:eastAsia="zh-CN" w:bidi="ar"/>
    </w:rPr>
  </w:style>
  <w:style w:type="paragraph" w:styleId="3">
    <w:name w:val="Body Text Indent"/>
    <w:basedOn w:val="1"/>
    <w:next w:val="4"/>
    <w:qFormat/>
    <w:uiPriority w:val="0"/>
    <w:pPr>
      <w:spacing w:after="120" w:afterLines="0"/>
      <w:ind w:left="420" w:leftChars="200"/>
    </w:pPr>
  </w:style>
  <w:style w:type="paragraph" w:styleId="4">
    <w:name w:val="toc 3"/>
    <w:basedOn w:val="1"/>
    <w:next w:val="1"/>
    <w:unhideWhenUsed/>
    <w:qFormat/>
    <w:uiPriority w:val="39"/>
    <w:pPr>
      <w:spacing w:before="0" w:after="100" w:line="276" w:lineRule="auto"/>
      <w:ind w:left="440" w:firstLine="0" w:firstLineChars="0"/>
    </w:pPr>
    <w:rPr>
      <w:sz w:val="22"/>
      <w:szCs w:val="22"/>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2022-11-15T03:43:08Z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2052-11.1.0.12598</vt:lpwstr>
  </property>
</Properties>
</file>