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8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7"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安全事务代表     </w:t>
            </w:r>
            <w:r>
              <w:rPr>
                <w:rFonts w:hint="eastAsia"/>
                <w:sz w:val="24"/>
                <w:szCs w:val="24"/>
              </w:rPr>
              <w:t>主管领导：</w:t>
            </w:r>
            <w:bookmarkStart w:id="0" w:name="管理者代表"/>
            <w:r>
              <w:rPr>
                <w:rFonts w:hint="eastAsia"/>
                <w:sz w:val="24"/>
                <w:szCs w:val="24"/>
              </w:rPr>
              <w:t>聂国华</w:t>
            </w:r>
            <w:bookmarkEnd w:id="0"/>
            <w:r>
              <w:rPr>
                <w:rFonts w:hint="eastAsia"/>
                <w:sz w:val="24"/>
                <w:szCs w:val="24"/>
                <w:lang w:val="en-US" w:eastAsia="zh-CN"/>
              </w:rPr>
              <w:t xml:space="preserve">  付艳艳   </w:t>
            </w:r>
            <w:r>
              <w:rPr>
                <w:rFonts w:hint="eastAsia"/>
                <w:sz w:val="24"/>
                <w:szCs w:val="24"/>
              </w:rPr>
              <w:t>陪同人员：</w:t>
            </w:r>
          </w:p>
        </w:tc>
        <w:tc>
          <w:tcPr>
            <w:tcW w:w="10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Merge w:val="continue"/>
            <w:vAlign w:val="center"/>
          </w:tcPr>
          <w:p/>
        </w:tc>
        <w:tc>
          <w:tcPr>
            <w:tcW w:w="1225" w:type="dxa"/>
            <w:vMerge w:val="continue"/>
            <w:vAlign w:val="center"/>
          </w:tcPr>
          <w:p/>
        </w:tc>
        <w:tc>
          <w:tcPr>
            <w:tcW w:w="10587"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刘升</w:t>
            </w:r>
            <w:bookmarkEnd w:id="1"/>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 xml:space="preserve">  审核时间：</w:t>
            </w:r>
            <w:bookmarkStart w:id="2" w:name="审核日期"/>
            <w:r>
              <w:rPr>
                <w:rFonts w:hint="eastAsia" w:ascii="Times New Roman" w:hAnsi="Times New Roman" w:eastAsia="宋体" w:cs="Times New Roman"/>
                <w:sz w:val="24"/>
                <w:szCs w:val="24"/>
                <w:lang w:val="en-US" w:eastAsia="zh-CN"/>
              </w:rPr>
              <w:t>2022年11月23日</w:t>
            </w:r>
            <w:bookmarkEnd w:id="2"/>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Merge w:val="continue"/>
            <w:vAlign w:val="center"/>
          </w:tcPr>
          <w:p/>
        </w:tc>
        <w:tc>
          <w:tcPr>
            <w:tcW w:w="1225" w:type="dxa"/>
            <w:vMerge w:val="continue"/>
            <w:vAlign w:val="center"/>
          </w:tcPr>
          <w:p/>
        </w:tc>
        <w:tc>
          <w:tcPr>
            <w:tcW w:w="10587"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color w:val="auto"/>
                <w:spacing w:val="-6"/>
                <w:sz w:val="21"/>
                <w:szCs w:val="21"/>
              </w:rPr>
            </w:pPr>
            <w:r>
              <w:rPr>
                <w:rFonts w:hint="eastAsia" w:ascii="宋体" w:hAnsi="宋体" w:cs="Arial"/>
                <w:color w:val="auto"/>
                <w:spacing w:val="-6"/>
                <w:sz w:val="21"/>
                <w:szCs w:val="21"/>
                <w:lang w:val="en-US" w:eastAsia="zh-CN"/>
              </w:rPr>
              <w:t>QEO:</w:t>
            </w:r>
            <w:r>
              <w:rPr>
                <w:rFonts w:hint="eastAsia" w:ascii="宋体" w:hAnsi="宋体" w:eastAsia="宋体" w:cs="Arial"/>
                <w:color w:val="auto"/>
                <w:spacing w:val="-6"/>
                <w:sz w:val="21"/>
                <w:szCs w:val="21"/>
              </w:rPr>
              <w:t>4.1理解组织及其环境、4.2理解相关方的需求和期望、4.3确定管理体系的范围、4.4管理体系及其过程、5.1</w:t>
            </w:r>
            <w:r>
              <w:rPr>
                <w:rFonts w:hint="eastAsia" w:ascii="宋体" w:hAnsi="宋体" w:eastAsia="宋体" w:cs="Arial"/>
                <w:color w:val="auto"/>
                <w:spacing w:val="-6"/>
                <w:sz w:val="21"/>
                <w:szCs w:val="21"/>
                <w:lang w:val="en-US" w:eastAsia="zh-CN"/>
              </w:rPr>
              <w:t>领导作用、</w:t>
            </w:r>
            <w:r>
              <w:rPr>
                <w:rFonts w:hint="eastAsia" w:ascii="宋体" w:hAnsi="宋体" w:eastAsia="宋体" w:cs="Arial"/>
                <w:color w:val="auto"/>
                <w:spacing w:val="-6"/>
                <w:sz w:val="21"/>
                <w:szCs w:val="21"/>
              </w:rPr>
              <w:t>5.2</w:t>
            </w:r>
            <w:r>
              <w:rPr>
                <w:rFonts w:hint="eastAsia" w:ascii="宋体" w:hAnsi="宋体" w:eastAsia="宋体" w:cs="Arial"/>
                <w:color w:val="auto"/>
                <w:spacing w:val="-6"/>
                <w:sz w:val="21"/>
                <w:szCs w:val="21"/>
                <w:lang w:val="en-US" w:eastAsia="zh-CN"/>
              </w:rPr>
              <w:t>管理</w:t>
            </w:r>
            <w:r>
              <w:rPr>
                <w:rFonts w:hint="eastAsia" w:ascii="宋体" w:hAnsi="宋体" w:eastAsia="宋体" w:cs="Arial"/>
                <w:color w:val="auto"/>
                <w:spacing w:val="-6"/>
                <w:sz w:val="21"/>
                <w:szCs w:val="21"/>
              </w:rPr>
              <w:t>方针、5.3组织的岗位、职责和权限、6.1应对风险和机遇的措施、6.2目标及其实现的策划、7.1</w:t>
            </w:r>
            <w:r>
              <w:rPr>
                <w:rFonts w:hint="eastAsia" w:ascii="宋体" w:hAnsi="宋体" w:cs="Arial"/>
                <w:color w:val="auto"/>
                <w:spacing w:val="-6"/>
                <w:sz w:val="21"/>
                <w:szCs w:val="21"/>
                <w:lang w:val="en-US" w:eastAsia="zh-CN"/>
              </w:rPr>
              <w:t>.1</w:t>
            </w:r>
            <w:r>
              <w:rPr>
                <w:rFonts w:hint="eastAsia" w:ascii="宋体" w:hAnsi="宋体" w:eastAsia="宋体" w:cs="Arial"/>
                <w:color w:val="auto"/>
                <w:spacing w:val="-6"/>
                <w:sz w:val="21"/>
                <w:szCs w:val="21"/>
              </w:rPr>
              <w:t>资源、7.4沟通/信息交流、9.3管理评审、10.1改进、</w:t>
            </w:r>
            <w:r>
              <w:rPr>
                <w:rFonts w:hint="eastAsia" w:ascii="宋体" w:hAnsi="宋体" w:eastAsia="宋体" w:cs="Arial"/>
                <w:color w:val="auto"/>
                <w:spacing w:val="-6"/>
                <w:sz w:val="21"/>
                <w:szCs w:val="21"/>
                <w:lang w:val="en-US" w:eastAsia="zh-CN"/>
              </w:rPr>
              <w:t>10.3</w:t>
            </w:r>
            <w:r>
              <w:rPr>
                <w:rFonts w:hint="eastAsia" w:ascii="宋体" w:hAnsi="宋体" w:eastAsia="宋体" w:cs="Arial"/>
                <w:color w:val="auto"/>
                <w:spacing w:val="-6"/>
                <w:sz w:val="21"/>
                <w:szCs w:val="21"/>
              </w:rPr>
              <w:t>持续改进</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both"/>
              <w:textAlignment w:val="auto"/>
              <w:rPr>
                <w:rFonts w:hint="eastAsia" w:ascii="宋体" w:hAnsi="宋体" w:eastAsia="宋体" w:cs="Arial"/>
                <w:color w:val="auto"/>
                <w:spacing w:val="-6"/>
                <w:sz w:val="21"/>
                <w:szCs w:val="21"/>
              </w:rPr>
            </w:pPr>
            <w:r>
              <w:rPr>
                <w:rFonts w:hint="eastAsia" w:ascii="宋体" w:hAnsi="宋体" w:cs="Arial"/>
                <w:color w:val="auto"/>
                <w:spacing w:val="-6"/>
                <w:sz w:val="21"/>
                <w:szCs w:val="21"/>
                <w:lang w:val="en-US" w:eastAsia="zh-CN"/>
              </w:rPr>
              <w:t>Q6.3</w:t>
            </w:r>
            <w:r>
              <w:rPr>
                <w:rFonts w:hint="eastAsia" w:ascii="宋体" w:hAnsi="宋体" w:eastAsia="宋体" w:cs="Arial"/>
                <w:color w:val="auto"/>
                <w:spacing w:val="-6"/>
                <w:sz w:val="21"/>
                <w:szCs w:val="21"/>
                <w:lang w:val="en-US" w:eastAsia="zh-CN"/>
              </w:rPr>
              <w:t>体系变更</w:t>
            </w:r>
            <w:r>
              <w:rPr>
                <w:rFonts w:hint="eastAsia" w:ascii="宋体" w:hAnsi="宋体" w:cs="Arial"/>
                <w:color w:val="auto"/>
                <w:spacing w:val="-6"/>
                <w:sz w:val="21"/>
                <w:szCs w:val="21"/>
                <w:lang w:val="en-US" w:eastAsia="zh-CN"/>
              </w:rPr>
              <w:t>；O5.4</w:t>
            </w:r>
            <w:r>
              <w:rPr>
                <w:rFonts w:hint="eastAsia" w:ascii="宋体" w:hAnsi="宋体" w:eastAsia="宋体" w:cs="Arial"/>
                <w:color w:val="auto"/>
                <w:spacing w:val="-6"/>
                <w:sz w:val="21"/>
                <w:szCs w:val="21"/>
              </w:rPr>
              <w:t>协商与参与</w:t>
            </w:r>
          </w:p>
          <w:p>
            <w:pPr>
              <w:rPr>
                <w:rFonts w:hint="eastAsia"/>
                <w:sz w:val="24"/>
                <w:szCs w:val="24"/>
              </w:rPr>
            </w:pPr>
            <w:r>
              <w:rPr>
                <w:rFonts w:hint="eastAsia" w:ascii="宋体" w:hAnsi="宋体" w:eastAsia="宋体" w:cs="Arial"/>
                <w:color w:val="auto"/>
                <w:spacing w:val="-6"/>
                <w:sz w:val="21"/>
                <w:szCs w:val="21"/>
                <w:u w:val="none"/>
              </w:rPr>
              <w:t>标准/规范/法规的执行情况</w:t>
            </w:r>
            <w:r>
              <w:rPr>
                <w:rFonts w:hint="eastAsia" w:ascii="宋体" w:hAnsi="宋体" w:cs="Arial"/>
                <w:color w:val="auto"/>
                <w:spacing w:val="-6"/>
                <w:sz w:val="21"/>
                <w:szCs w:val="21"/>
                <w:u w:val="none"/>
                <w:lang w:eastAsia="zh-CN"/>
              </w:rPr>
              <w:t>、</w:t>
            </w:r>
            <w:r>
              <w:rPr>
                <w:rFonts w:hint="eastAsia" w:ascii="宋体" w:hAnsi="宋体" w:eastAsia="宋体" w:cs="Arial"/>
                <w:color w:val="auto"/>
                <w:spacing w:val="-6"/>
                <w:sz w:val="21"/>
                <w:szCs w:val="21"/>
                <w:u w:val="none"/>
              </w:rPr>
              <w:t>证书和标志使用</w:t>
            </w:r>
            <w:r>
              <w:rPr>
                <w:rFonts w:hint="eastAsia" w:ascii="宋体" w:hAnsi="宋体" w:cs="Arial"/>
                <w:color w:val="auto"/>
                <w:spacing w:val="-6"/>
                <w:sz w:val="21"/>
                <w:szCs w:val="21"/>
                <w:u w:val="none"/>
                <w:lang w:eastAsia="zh-CN"/>
              </w:rPr>
              <w:t>、</w:t>
            </w:r>
            <w:r>
              <w:rPr>
                <w:rFonts w:hint="eastAsia" w:ascii="宋体" w:hAnsi="宋体" w:eastAsia="宋体" w:cs="Arial"/>
                <w:color w:val="auto"/>
                <w:spacing w:val="-6"/>
                <w:sz w:val="21"/>
                <w:szCs w:val="21"/>
                <w:u w:val="none"/>
              </w:rPr>
              <w:t>对</w:t>
            </w:r>
            <w:r>
              <w:rPr>
                <w:rFonts w:hint="eastAsia" w:ascii="宋体" w:hAnsi="宋体" w:eastAsia="宋体" w:cs="Arial"/>
                <w:color w:val="auto"/>
                <w:spacing w:val="-6"/>
                <w:sz w:val="21"/>
                <w:szCs w:val="21"/>
                <w:u w:val="none"/>
                <w:lang w:val="en-US" w:eastAsia="zh-CN"/>
              </w:rPr>
              <w:t>上次审核</w:t>
            </w:r>
            <w:r>
              <w:rPr>
                <w:rFonts w:hint="eastAsia" w:ascii="宋体" w:hAnsi="宋体" w:eastAsia="宋体" w:cs="Arial"/>
                <w:color w:val="auto"/>
                <w:spacing w:val="-6"/>
                <w:sz w:val="21"/>
                <w:szCs w:val="21"/>
                <w:u w:val="none"/>
              </w:rPr>
              <w:t>问题整改情况的确认；</w:t>
            </w:r>
            <w:r>
              <w:rPr>
                <w:rFonts w:hint="eastAsia" w:ascii="宋体" w:hAnsi="宋体" w:cs="Arial"/>
                <w:color w:val="auto"/>
                <w:spacing w:val="-6"/>
                <w:sz w:val="21"/>
                <w:szCs w:val="21"/>
              </w:rPr>
              <w:t>投诉或事故、监督抽查情况</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w:t>
            </w: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:4.1</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江西天禄科技集团有限公司成立于2014年12月29日，</w:t>
            </w:r>
            <w:r>
              <w:rPr>
                <w:rFonts w:hint="eastAsia" w:ascii="宋体" w:hAnsi="宋体" w:cs="Arial"/>
                <w:color w:val="auto"/>
                <w:spacing w:val="-6"/>
                <w:sz w:val="21"/>
                <w:szCs w:val="21"/>
                <w:lang w:val="en-US" w:eastAsia="zh-CN"/>
              </w:rPr>
              <w:t>注册资金11890万元；建筑面积约3万平方米；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eastAsia="宋体" w:cs="Arial"/>
                <w:color w:val="auto"/>
                <w:spacing w:val="-6"/>
                <w:sz w:val="21"/>
                <w:szCs w:val="21"/>
                <w:lang w:val="en-US" w:eastAsia="zh-CN"/>
              </w:rPr>
              <w:t>地址</w:t>
            </w:r>
            <w:r>
              <w:rPr>
                <w:rFonts w:hint="eastAsia" w:ascii="宋体" w:hAnsi="宋体" w:eastAsia="宋体" w:cs="Arial"/>
                <w:color w:val="auto"/>
                <w:spacing w:val="-6"/>
                <w:sz w:val="21"/>
                <w:szCs w:val="21"/>
                <w:lang w:eastAsia="zh-CN"/>
              </w:rPr>
              <w:t>：江西省宜春市樟树市城北经济开发区金属家具产业创业园；</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经营地址：</w:t>
            </w:r>
            <w:r>
              <w:rPr>
                <w:rFonts w:hint="eastAsia" w:ascii="宋体" w:hAnsi="宋体" w:eastAsia="宋体" w:cs="Arial"/>
                <w:color w:val="auto"/>
                <w:spacing w:val="-6"/>
                <w:sz w:val="21"/>
                <w:szCs w:val="21"/>
                <w:lang w:eastAsia="zh-CN"/>
              </w:rPr>
              <w:t>江西省宜春市樟树市城北经济开发区金属家具产业创业园</w:t>
            </w:r>
            <w:r>
              <w:rPr>
                <w:rFonts w:hint="eastAsia" w:ascii="宋体" w:hAnsi="宋体" w:eastAsia="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营业执照：统一社会信用代码91360982327645687U，有效期2014年12月29日—长期；</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eastAsia="zh-CN"/>
              </w:rPr>
              <w:t>经营范围</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医疗器械、消毒灭菌设备及器具、病房护理设备、医用病床、各类推车、药品柜、药架、中药柜、电子设备仪器设备、低温、冷藏设备及器具、手动密集架、智能型密集架、书架、期刊架、阅览桌椅、仓储货架、文件柜、保险柜、智能枪柜、军队营房设备、消防装备、保密柜、环卫设备、手动骨灰盒存放架、智能型骨灰盒存放架等殡葬系列产品、不锈钢酒店厨具、实验室设备、办公家具、学生校具制造、施工、销售及售后服务；数字化管理系统、软、硬件和电子产品的研发、销售服务；进出口经营权；公共安全设备的技术研发、生产、销售、安装（含特种门窗、特种铁床、特种金属制品）。（依法须经批准的项目，经相关部门批准后方可开展经营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经营范围覆盖了体系认证范围</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设备有数控液压摆式剪板机</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剪板机</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光纤激光切割机</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开式固定台压力机</w:t>
            </w:r>
            <w:r>
              <w:rPr>
                <w:rFonts w:hint="eastAsia" w:ascii="宋体" w:hAnsi="宋体" w:cs="Arial"/>
                <w:color w:val="auto"/>
                <w:spacing w:val="-6"/>
                <w:sz w:val="21"/>
                <w:szCs w:val="21"/>
                <w:highlight w:val="none"/>
                <w:lang w:eastAsia="zh-CN"/>
              </w:rPr>
              <w:t>、数控板料折弯机、数控液压板料折弯机、液压板料折弯机、摇臂钻床、电动平台弯管机、金属圆锯机、电动单梁起重机（行车）、抛丸机、点焊机、喷粉固化流水线、单轴仿型铣床、整体柜转印机</w:t>
            </w:r>
            <w:r>
              <w:rPr>
                <w:rFonts w:hint="eastAsia" w:ascii="宋体" w:hAnsi="宋体" w:eastAsia="宋体" w:cs="Arial"/>
                <w:color w:val="auto"/>
                <w:spacing w:val="-6"/>
                <w:sz w:val="21"/>
                <w:szCs w:val="21"/>
                <w:highlight w:val="none"/>
                <w:lang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公司组织机构设置为：管理层、人力资源部、</w:t>
            </w:r>
            <w:r>
              <w:rPr>
                <w:rFonts w:hint="eastAsia" w:ascii="宋体" w:hAnsi="宋体" w:eastAsia="宋体" w:cs="Arial"/>
                <w:color w:val="auto"/>
                <w:spacing w:val="-6"/>
                <w:sz w:val="21"/>
                <w:szCs w:val="21"/>
                <w:lang w:val="en-US" w:eastAsia="zh-CN"/>
              </w:rPr>
              <w:t>生</w:t>
            </w:r>
            <w:r>
              <w:rPr>
                <w:rFonts w:hint="eastAsia" w:ascii="宋体" w:hAnsi="宋体" w:cs="Arial"/>
                <w:color w:val="auto"/>
                <w:spacing w:val="-6"/>
                <w:sz w:val="21"/>
                <w:szCs w:val="21"/>
                <w:lang w:val="en-US" w:eastAsia="zh-CN"/>
              </w:rPr>
              <w:t>技</w:t>
            </w:r>
            <w:r>
              <w:rPr>
                <w:rFonts w:hint="eastAsia" w:ascii="宋体" w:hAnsi="宋体" w:eastAsia="宋体" w:cs="Arial"/>
                <w:color w:val="auto"/>
                <w:spacing w:val="-6"/>
                <w:sz w:val="21"/>
                <w:szCs w:val="21"/>
                <w:lang w:eastAsia="zh-CN"/>
              </w:rPr>
              <w:t>部</w:t>
            </w:r>
            <w:r>
              <w:rPr>
                <w:rFonts w:hint="eastAsia" w:ascii="宋体" w:hAnsi="宋体" w:cs="Arial"/>
                <w:color w:val="auto"/>
                <w:spacing w:val="-6"/>
                <w:sz w:val="21"/>
                <w:szCs w:val="21"/>
                <w:lang w:eastAsia="zh-CN"/>
              </w:rPr>
              <w:t>、质检部、市场部、</w:t>
            </w:r>
            <w:r>
              <w:rPr>
                <w:rFonts w:hint="eastAsia" w:ascii="宋体" w:hAnsi="宋体" w:cs="Arial"/>
                <w:color w:val="auto"/>
                <w:spacing w:val="-6"/>
                <w:sz w:val="21"/>
                <w:szCs w:val="21"/>
                <w:lang w:val="en-US" w:eastAsia="zh-CN"/>
              </w:rPr>
              <w:t>采购部、财务部</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外部因素——国家政策变化、客户需求的变化、新技术的运用、材料价格变动等；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内部因素——公司文化、内部管理机制的建立、管理的精细化、人员稳定性、员工能力等；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公司每年根据从市场、客户、网络等搜集到的信息并结合公司自身业务运作情况进行分析，通过分析对这些内部和外部因素的相关信息进行监视和评审以确保其充分和适宜。</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公司确定了与质量、环境管理体系有关的相关方包括顾客/最终消费者、员工、政府、外部供方、竞争对手、社会、相邻单位；</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相关方期望或要求识别表中明确了相关方的需求，以及监视和测量、采取应对措施等要求；</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基本符合。</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Q:6.3</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val="en-US" w:eastAsia="zh-CN"/>
              </w:rPr>
              <w:t>存在的机遇：公司持续运营多年，积累了良好的信誉和相关方业务关系基础，人员的稳定性和能力，给公司的发展带来了机遇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val="en-US" w:eastAsia="zh-CN"/>
              </w:rPr>
              <w:t>存在的风险：行业进入门槛低导致竞争对手多、国家政策的变化导致更多的业务通过招投标进行面临的低价中标等</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编制有《风险和机遇的应对控制程序》，对组织内外的风险和机遇进行了策划。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重要环境因素：固废、潜在火灾、噪声排放、废气排放、粉尘排放等；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控制措施：一般固废集中收集外售至废品回收站；</w:t>
            </w:r>
            <w:r>
              <w:rPr>
                <w:rFonts w:hint="eastAsia"/>
                <w:lang w:val="en-US" w:eastAsia="zh-CN"/>
              </w:rPr>
              <w:t>危险废物经有资质的单位收集处理；节约资源；</w:t>
            </w:r>
            <w:r>
              <w:rPr>
                <w:rFonts w:hint="eastAsia"/>
                <w:lang w:eastAsia="zh-CN"/>
              </w:rPr>
              <w:t>提高安全意识，做好火灾预防措施</w:t>
            </w:r>
            <w:r>
              <w:rPr>
                <w:rFonts w:hint="eastAsia"/>
                <w:lang w:val="en-US" w:eastAsia="zh-CN"/>
              </w:rPr>
              <w:t>达标排放</w:t>
            </w:r>
            <w:r>
              <w:rPr>
                <w:rFonts w:hint="eastAsia"/>
                <w:lang w:eastAsia="zh-CN"/>
              </w:rPr>
              <w:t>；一旦发生按相关应急预案执行，制定目标、指标和管理方案。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不可接受风险：火灾，触电、粉尘伤害、噪声伤害；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val="en-US" w:eastAsia="zh-CN"/>
              </w:rPr>
              <w:t>控制措施：选用低噪声设备，合理布局，隔声减震；设备、电路定期检修、不定期检查，提高安全意识；做好火灾预防措施。一旦发生按相关应急预案执行；加强个体防护。</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为应对上述的风险和机遇，公司依据IS9001：2015、IS14001：2015、IS45001：2018标准的要求并结合本公司的具体情况，采取PDCA的过程方法，建立、实施、保持并持续改进质量、环境、职业健康安全管理体系。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保持《管理手册》——C/1版，于2021年03月10日实施。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程序文件——C/1版，于2021年03月10日实施，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建立有外来文件清单，收集中华人民共和国劳动合同法、中华人民共和国产品质量法、中华人民共和国安全生产法、中华人民共和国计量法、金属家具通用技术条件GB/T3325-2017、钢制文件柜技术条件QB1097—2010、钢制书架 第1部分:单、复柱书架GB/T 13667.1-2015、积层式钢制书架技术条件GB/T 13667.2—2003、钢制书架 第3部分:手动密集书架GB/T 13667.3-2013、钢制书架 第4部分:电动密集书架GB/T 13667.4-2013、城市环境卫生设施规划规范GB 50337-2003、钢制书柜、资料柜通用技术条件GB/T13668-2015、金属家具通用技术条件GB/T3325-2017、学生公寓多功能家具QB/T2714-2013、钢制储物柜(架)技术要求及试验方法GB/T28200-2011等；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建立环境、职业健康安全法律法规和其他要求清单，共82个；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本公司识别并确定了过程：</w:t>
            </w:r>
            <w:r>
              <w:rPr>
                <w:rFonts w:hint="eastAsia"/>
                <w:lang w:val="en-US" w:eastAsia="zh-CN"/>
              </w:rPr>
              <w:t>生产</w:t>
            </w:r>
            <w:r>
              <w:rPr>
                <w:rFonts w:hint="eastAsia"/>
                <w:lang w:eastAsia="zh-CN"/>
              </w:rPr>
              <w:t>过程、检验与交付过程、绩效分析、评价与改进等多个过程。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生产流程：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ascii="Times New Roman" w:hAnsi="Times New Roman" w:eastAsia="宋体" w:cs="Times New Roman"/>
                <w:lang w:val="en-US" w:eastAsia="zh-CN"/>
              </w:rPr>
              <w:t>剪切下料</w:t>
            </w:r>
            <w:r>
              <w:rPr>
                <w:rFonts w:hint="eastAsia" w:cs="Times New Roman"/>
                <w:lang w:val="en-US" w:eastAsia="zh-CN"/>
              </w:rPr>
              <w:t>——</w:t>
            </w:r>
            <w:r>
              <w:rPr>
                <w:rFonts w:hint="eastAsia" w:ascii="Times New Roman" w:hAnsi="Times New Roman" w:eastAsia="宋体" w:cs="Times New Roman"/>
                <w:lang w:val="en-US" w:eastAsia="zh-CN"/>
              </w:rPr>
              <w:t>冲压成型</w:t>
            </w:r>
            <w:r>
              <w:rPr>
                <w:rFonts w:hint="eastAsia" w:cs="Times New Roman"/>
                <w:lang w:val="en-US" w:eastAsia="zh-CN"/>
              </w:rPr>
              <w:t>——</w:t>
            </w:r>
            <w:r>
              <w:rPr>
                <w:rFonts w:hint="eastAsia" w:ascii="Times New Roman" w:hAnsi="Times New Roman" w:eastAsia="宋体" w:cs="Times New Roman"/>
                <w:lang w:val="en-US" w:eastAsia="zh-CN"/>
              </w:rPr>
              <w:t>折弯</w:t>
            </w:r>
            <w:r>
              <w:rPr>
                <w:rFonts w:hint="eastAsia" w:cs="Times New Roman"/>
                <w:lang w:val="en-US" w:eastAsia="zh-CN"/>
              </w:rPr>
              <w:t>——</w:t>
            </w:r>
            <w:r>
              <w:rPr>
                <w:rFonts w:hint="eastAsia" w:ascii="Times New Roman" w:hAnsi="Times New Roman" w:eastAsia="宋体" w:cs="Times New Roman"/>
                <w:lang w:val="en-US" w:eastAsia="zh-CN"/>
              </w:rPr>
              <w:t>焊接成型▲</w:t>
            </w:r>
            <w:r>
              <w:rPr>
                <w:rFonts w:hint="eastAsia" w:cs="Times New Roman"/>
                <w:lang w:val="en-US" w:eastAsia="zh-CN"/>
              </w:rPr>
              <w:t>——</w:t>
            </w:r>
            <w:r>
              <w:rPr>
                <w:rFonts w:hint="eastAsia" w:ascii="Times New Roman" w:hAnsi="Times New Roman" w:eastAsia="宋体" w:cs="Times New Roman"/>
                <w:lang w:val="en-US" w:eastAsia="zh-CN"/>
              </w:rPr>
              <w:t>表面喷塑▲</w:t>
            </w:r>
            <w:r>
              <w:rPr>
                <w:rFonts w:hint="eastAsia" w:cs="Times New Roman"/>
                <w:lang w:val="en-US" w:eastAsia="zh-CN"/>
              </w:rPr>
              <w:t>——</w:t>
            </w:r>
            <w:r>
              <w:rPr>
                <w:rFonts w:hint="eastAsia" w:ascii="Times New Roman" w:hAnsi="Times New Roman" w:eastAsia="宋体" w:cs="Times New Roman"/>
                <w:lang w:val="en-US" w:eastAsia="zh-CN"/>
              </w:rPr>
              <w:t>装配</w:t>
            </w:r>
            <w:r>
              <w:rPr>
                <w:rFonts w:hint="eastAsia" w:cs="Times New Roman"/>
                <w:lang w:val="en-US" w:eastAsia="zh-CN"/>
              </w:rPr>
              <w:t>——</w:t>
            </w:r>
            <w:r>
              <w:rPr>
                <w:rFonts w:hint="eastAsia" w:ascii="Times New Roman" w:hAnsi="Times New Roman" w:eastAsia="宋体" w:cs="Times New Roman"/>
                <w:lang w:val="en-US" w:eastAsia="zh-CN"/>
              </w:rPr>
              <w:t>成品检验</w:t>
            </w:r>
            <w:r>
              <w:rPr>
                <w:rFonts w:hint="eastAsia" w:cs="Times New Roman"/>
                <w:lang w:val="en-US" w:eastAsia="zh-CN"/>
              </w:rPr>
              <w:t>——</w:t>
            </w:r>
            <w:r>
              <w:rPr>
                <w:rFonts w:hint="eastAsia" w:ascii="Times New Roman" w:hAnsi="Times New Roman" w:eastAsia="宋体" w:cs="Times New Roman"/>
                <w:lang w:val="en-US" w:eastAsia="zh-CN"/>
              </w:rPr>
              <w:t>包装入库</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销售流程：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业务洽谈/招投标——合同评审——采购——检验——入库——交付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关键过程：焊接、喷塑；</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需确认的过程：焊接、喷塑、销售。</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管理手册中</w:t>
            </w:r>
            <w:r>
              <w:rPr>
                <w:rFonts w:hint="eastAsia"/>
                <w:lang w:val="en-US" w:eastAsia="zh-CN"/>
              </w:rPr>
              <w:t>确定</w:t>
            </w:r>
            <w:r>
              <w:rPr>
                <w:rFonts w:hint="eastAsia"/>
                <w:lang w:eastAsia="zh-CN"/>
              </w:rPr>
              <w:t>的认证范围：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Q：认可:密集架（手动密集架、智能型密集架）、书架、消防服架、仓储货架、文件柜、学生校具（床）、军队营房设备(衣架、衣柜、床)、环卫设备（垃圾桶）、骨灰盒存放架的生产及医疗器械护理设备、实验室设备、智能枪柜、保密柜的销售；未认可：资质范围内医疗设备（手动病床、药品柜、药架、器械柜、治疗柜、操作台、处置柜、护士站、清洗台）的生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E：资质范围内医疗设备（手动病床、药品柜、药架、器械柜、治疗柜、操作台、处置柜、护士站、清洗台）、密集架（手动密集架、智能型密集架）、书架、消防服架、仓储货架、文件柜、学生校具（床）、军队营房设备(衣架、衣柜、床)、环卫设备（垃圾桶）、骨灰盒存放架的生产及医疗器械护理设备、实验室设备、智能枪柜、保密柜的销售所涉及场所的相关环境管理活动</w:t>
            </w: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lang w:eastAsia="zh-CN"/>
              </w:rPr>
            </w:pPr>
            <w:r>
              <w:rPr>
                <w:rFonts w:hint="eastAsia"/>
                <w:lang w:eastAsia="zh-CN"/>
              </w:rPr>
              <w:t>O：资质范围内医疗设备（手动病床、药品柜、药架、器械柜、治疗柜、操作台、处置柜、护士站、清洗台）、密集架（手动密集架、智能型密集架）、书架、消防服架、仓储货架、文件柜、学生校具（床）、军队营房设备(衣架、衣柜、床)、环卫设备（垃圾桶）、骨灰盒存放架的生产及医疗器械护理设备、实验室设备、智能枪柜、保密柜的销售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lang w:val="en-US" w:eastAsia="zh-CN"/>
              </w:rPr>
            </w:pPr>
            <w:r>
              <w:rPr>
                <w:rFonts w:hint="eastAsia" w:ascii="宋体" w:hAnsi="宋体" w:eastAsia="宋体" w:cs="Arial"/>
                <w:color w:val="auto"/>
                <w:spacing w:val="-6"/>
                <w:sz w:val="21"/>
                <w:szCs w:val="21"/>
                <w:highlight w:val="none"/>
                <w:lang w:eastAsia="zh-CN"/>
              </w:rPr>
              <w:t>本审核周期内，管理体系未发生变更。</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质量/环境方针</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质量/环境目标及其实现的策划</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5.2</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6.2</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color w:val="000000"/>
                <w:szCs w:val="18"/>
                <w:u w:val="single"/>
              </w:rPr>
            </w:pPr>
            <w:r>
              <w:rPr>
                <w:rFonts w:hint="eastAsia"/>
                <w:color w:val="000000"/>
                <w:szCs w:val="18"/>
                <w:u w:val="single"/>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color w:val="000000"/>
                <w:szCs w:val="18"/>
                <w:u w:val="single"/>
              </w:rPr>
            </w:pPr>
            <w:r>
              <w:rPr>
                <w:rFonts w:hint="eastAsia"/>
                <w:color w:val="000000"/>
                <w:szCs w:val="18"/>
                <w:u w:val="single"/>
              </w:rPr>
              <w:t>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方针适宜于公司现状，在管理手册中明确，通过文件发放，是员工获知，适用时提供给相关方。</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产品出厂合格率100%；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顾客满意度≥96分；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环保安全目标：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固体废弃物分类处置率100%；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火灾事故发生率为0；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职业病发生率为0；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594" w:firstLineChars="3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员工重大伤亡率为0；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制定有目标完成计划，策划了采取措施、需要的资源、负责人、完成时间、如何评价结果等内容；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szCs w:val="22"/>
                <w:highlight w:val="none"/>
                <w:lang w:val="en-US" w:eastAsia="zh-CN"/>
              </w:rPr>
              <w:t>查</w:t>
            </w:r>
            <w:r>
              <w:rPr>
                <w:rFonts w:hint="eastAsia" w:ascii="Times New Roman" w:hAnsi="Times New Roman" w:eastAsia="宋体" w:cs="Times New Roman"/>
                <w:color w:val="auto"/>
                <w:szCs w:val="22"/>
                <w:highlight w:val="none"/>
                <w:lang w:val="en-US" w:eastAsia="zh-CN"/>
              </w:rPr>
              <w:t>见2022年</w:t>
            </w:r>
            <w:r>
              <w:rPr>
                <w:rFonts w:hint="eastAsia" w:cs="Times New Roman"/>
                <w:color w:val="auto"/>
                <w:szCs w:val="22"/>
                <w:highlight w:val="none"/>
                <w:lang w:val="en-US" w:eastAsia="zh-CN"/>
              </w:rPr>
              <w:t>11月的</w:t>
            </w:r>
            <w:r>
              <w:rPr>
                <w:rFonts w:hint="eastAsia" w:ascii="Times New Roman" w:hAnsi="Times New Roman" w:eastAsia="宋体" w:cs="Times New Roman"/>
                <w:color w:val="auto"/>
                <w:szCs w:val="22"/>
                <w:highlight w:val="none"/>
                <w:lang w:val="en-US" w:eastAsia="zh-CN"/>
              </w:rPr>
              <w:t>目标分解考核表，显示1-10月考核目标均已全部完成。</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w:t>
            </w: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:5.1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w:t>
            </w:r>
            <w:r>
              <w:rPr>
                <w:rFonts w:hint="eastAsia" w:ascii="宋体" w:hAnsi="宋体" w:cs="Arial"/>
                <w:color w:val="auto"/>
                <w:spacing w:val="-6"/>
                <w:sz w:val="21"/>
                <w:szCs w:val="21"/>
                <w:lang w:val="en-US" w:eastAsia="zh-CN"/>
              </w:rPr>
              <w:t>公司</w:t>
            </w:r>
            <w:r>
              <w:rPr>
                <w:rFonts w:hint="eastAsia" w:ascii="宋体" w:hAnsi="宋体" w:cs="Arial"/>
                <w:color w:val="auto"/>
                <w:spacing w:val="-6"/>
                <w:sz w:val="21"/>
                <w:szCs w:val="21"/>
              </w:rPr>
              <w:t>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公司组织机构设置为：</w:t>
            </w:r>
            <w:r>
              <w:rPr>
                <w:rFonts w:hint="eastAsia" w:ascii="宋体" w:hAnsi="宋体" w:eastAsia="宋体" w:cs="Arial"/>
                <w:color w:val="auto"/>
                <w:spacing w:val="-6"/>
                <w:sz w:val="21"/>
                <w:szCs w:val="21"/>
                <w:lang w:eastAsia="zh-CN"/>
              </w:rPr>
              <w:t>管理层、人力资源部、</w:t>
            </w:r>
            <w:r>
              <w:rPr>
                <w:rFonts w:hint="eastAsia" w:ascii="宋体" w:hAnsi="宋体" w:eastAsia="宋体" w:cs="Arial"/>
                <w:color w:val="auto"/>
                <w:spacing w:val="-6"/>
                <w:sz w:val="21"/>
                <w:szCs w:val="21"/>
                <w:lang w:val="en-US" w:eastAsia="zh-CN"/>
              </w:rPr>
              <w:t>生</w:t>
            </w:r>
            <w:r>
              <w:rPr>
                <w:rFonts w:hint="eastAsia" w:ascii="宋体" w:hAnsi="宋体" w:cs="Arial"/>
                <w:color w:val="auto"/>
                <w:spacing w:val="-6"/>
                <w:sz w:val="21"/>
                <w:szCs w:val="21"/>
                <w:lang w:val="en-US" w:eastAsia="zh-CN"/>
              </w:rPr>
              <w:t>技</w:t>
            </w:r>
            <w:r>
              <w:rPr>
                <w:rFonts w:hint="eastAsia" w:ascii="宋体" w:hAnsi="宋体" w:eastAsia="宋体" w:cs="Arial"/>
                <w:color w:val="auto"/>
                <w:spacing w:val="-6"/>
                <w:sz w:val="21"/>
                <w:szCs w:val="21"/>
                <w:lang w:eastAsia="zh-CN"/>
              </w:rPr>
              <w:t>部</w:t>
            </w:r>
            <w:r>
              <w:rPr>
                <w:rFonts w:hint="eastAsia" w:ascii="宋体" w:hAnsi="宋体" w:cs="Arial"/>
                <w:color w:val="auto"/>
                <w:spacing w:val="-6"/>
                <w:sz w:val="21"/>
                <w:szCs w:val="21"/>
                <w:lang w:eastAsia="zh-CN"/>
              </w:rPr>
              <w:t>、质检部、市场部、</w:t>
            </w:r>
            <w:r>
              <w:rPr>
                <w:rFonts w:hint="eastAsia" w:ascii="宋体" w:hAnsi="宋体" w:cs="Arial"/>
                <w:color w:val="auto"/>
                <w:spacing w:val="-6"/>
                <w:sz w:val="21"/>
                <w:szCs w:val="21"/>
                <w:lang w:val="en-US" w:eastAsia="zh-CN"/>
              </w:rPr>
              <w:t>采购部、财务部</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w:t>
            </w: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注册资金11890万元；建筑面积约3万平方米；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公司人员共</w:t>
            </w:r>
            <w:r>
              <w:rPr>
                <w:rFonts w:hint="eastAsia" w:ascii="宋体" w:hAnsi="宋体" w:cs="Arial"/>
                <w:color w:val="auto"/>
                <w:spacing w:val="-6"/>
                <w:sz w:val="21"/>
                <w:szCs w:val="21"/>
                <w:highlight w:val="none"/>
                <w:lang w:val="en-US" w:eastAsia="zh-CN"/>
              </w:rPr>
              <w:t>45</w:t>
            </w:r>
            <w:r>
              <w:rPr>
                <w:rFonts w:hint="eastAsia" w:ascii="宋体" w:hAnsi="宋体" w:eastAsia="宋体" w:cs="Arial"/>
                <w:color w:val="auto"/>
                <w:spacing w:val="-6"/>
                <w:sz w:val="21"/>
                <w:szCs w:val="21"/>
                <w:highlight w:val="none"/>
                <w:lang w:eastAsia="zh-CN"/>
              </w:rPr>
              <w:t>人，</w:t>
            </w:r>
            <w:r>
              <w:rPr>
                <w:rFonts w:hint="eastAsia" w:ascii="宋体" w:hAnsi="宋体" w:cs="Arial"/>
                <w:color w:val="auto"/>
                <w:spacing w:val="-6"/>
                <w:sz w:val="21"/>
                <w:szCs w:val="21"/>
                <w:highlight w:val="none"/>
                <w:lang w:val="en-US" w:eastAsia="zh-CN"/>
              </w:rPr>
              <w:t>管理层、行政人员、技术人员、作业人员等，满足要求</w:t>
            </w:r>
            <w:r>
              <w:rPr>
                <w:rFonts w:hint="eastAsia" w:ascii="宋体" w:hAnsi="宋体" w:cs="Arial"/>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生产设备：数控液压摆式剪板机</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剪板机</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光纤激光切割机</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开式固定台压力机</w:t>
            </w:r>
            <w:r>
              <w:rPr>
                <w:rFonts w:hint="eastAsia" w:ascii="宋体" w:hAnsi="宋体" w:cs="Arial"/>
                <w:color w:val="auto"/>
                <w:spacing w:val="-6"/>
                <w:sz w:val="21"/>
                <w:szCs w:val="21"/>
                <w:highlight w:val="none"/>
                <w:lang w:eastAsia="zh-CN"/>
              </w:rPr>
              <w:t>、数控板料折弯机、数控液压板料折弯机、液压板料折弯机、摇臂钻床、电动平台弯管机、金属圆锯机、电动单梁起重机（行车）、抛丸机、点焊机、喷粉固化流水线、单轴仿型铣床、整体柜转印机</w:t>
            </w:r>
            <w:r>
              <w:rPr>
                <w:rFonts w:hint="eastAsia" w:ascii="宋体" w:hAnsi="宋体" w:eastAsia="宋体" w:cs="Arial"/>
                <w:color w:val="auto"/>
                <w:spacing w:val="-6"/>
                <w:sz w:val="21"/>
                <w:szCs w:val="21"/>
                <w:highlight w:val="none"/>
                <w:lang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环保安全设施设备主要有：消防设备、垃圾桶、除尘设备等；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default"/>
                <w:lang w:val="en-US" w:eastAsia="zh-CN"/>
              </w:rPr>
            </w:pPr>
            <w:r>
              <w:rPr>
                <w:rFonts w:hint="eastAsia"/>
                <w:color w:val="auto"/>
                <w:szCs w:val="22"/>
                <w:highlight w:val="none"/>
                <w:lang w:val="en-US" w:eastAsia="zh-CN"/>
              </w:rPr>
              <w:t>主要检测设备有：</w:t>
            </w:r>
            <w:r>
              <w:rPr>
                <w:rFonts w:hint="eastAsia" w:ascii="Times New Roman" w:hAnsi="Times New Roman" w:eastAsia="宋体" w:cs="Times New Roman"/>
                <w:color w:val="auto"/>
                <w:highlight w:val="none"/>
                <w:lang w:val="en-US" w:eastAsia="zh-CN"/>
              </w:rPr>
              <w:t>千分尺、游标卡尺、卷尺、压力表</w:t>
            </w:r>
            <w:r>
              <w:rPr>
                <w:rFonts w:hint="eastAsia"/>
                <w:color w:val="auto"/>
                <w:szCs w:val="22"/>
                <w:highlight w:val="none"/>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确认公司目前人力资源、基础设施、财力、信息等资源均能保证。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公司能保证质量、环境</w:t>
            </w:r>
            <w:r>
              <w:rPr>
                <w:rFonts w:hint="eastAsia" w:ascii="宋体" w:hAnsi="宋体" w:cs="Arial"/>
                <w:color w:val="auto"/>
                <w:spacing w:val="-6"/>
                <w:sz w:val="21"/>
                <w:szCs w:val="21"/>
                <w:lang w:val="en-US" w:eastAsia="zh-CN"/>
              </w:rPr>
              <w:t>、职业健康安全</w:t>
            </w:r>
            <w:r>
              <w:rPr>
                <w:rFonts w:hint="default" w:ascii="宋体" w:hAnsi="宋体" w:cs="Arial"/>
                <w:color w:val="auto"/>
                <w:spacing w:val="-6"/>
                <w:sz w:val="21"/>
                <w:szCs w:val="21"/>
                <w:lang w:val="en-US" w:eastAsia="zh-CN"/>
              </w:rPr>
              <w:t>工作的开展，确保相关资金及时投入</w:t>
            </w:r>
            <w:r>
              <w:rPr>
                <w:rFonts w:hint="eastAsia" w:ascii="宋体" w:hAnsi="宋体" w:cs="Arial"/>
                <w:color w:val="auto"/>
                <w:spacing w:val="-6"/>
                <w:sz w:val="21"/>
                <w:szCs w:val="21"/>
                <w:lang w:val="en-US" w:eastAsia="zh-CN"/>
              </w:rPr>
              <w:t>,2022年计提安全权环保费用18.9万元</w:t>
            </w:r>
            <w:r>
              <w:rPr>
                <w:rFonts w:hint="default" w:ascii="宋体" w:hAnsi="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信息交流</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bCs/>
                <w:spacing w:val="-6"/>
                <w:kern w:val="2"/>
                <w:sz w:val="21"/>
                <w:szCs w:val="21"/>
                <w:lang w:val="en-US" w:eastAsia="zh-CN" w:bidi="ar-SA"/>
              </w:rPr>
            </w:pPr>
            <w:r>
              <w:rPr>
                <w:rFonts w:hint="eastAsia" w:ascii="宋体" w:hAnsi="宋体" w:eastAsia="宋体" w:cs="Arial"/>
                <w:bCs/>
                <w:spacing w:val="-6"/>
                <w:kern w:val="2"/>
                <w:sz w:val="21"/>
                <w:szCs w:val="21"/>
                <w:lang w:val="en-US" w:eastAsia="zh-CN" w:bidi="ar-SA"/>
              </w:rPr>
              <w:t>QEO:7.4</w:t>
            </w:r>
          </w:p>
          <w:p>
            <w:pPr>
              <w:pStyle w:val="2"/>
              <w:rPr>
                <w:rFonts w:hint="default" w:eastAsia="宋体"/>
                <w:lang w:val="en-US" w:eastAsia="zh-CN"/>
              </w:rPr>
            </w:pPr>
            <w:r>
              <w:rPr>
                <w:rFonts w:hint="eastAsia" w:ascii="宋体" w:hAnsi="宋体" w:eastAsia="宋体" w:cs="Arial"/>
                <w:bCs/>
                <w:spacing w:val="-6"/>
                <w:kern w:val="2"/>
                <w:sz w:val="21"/>
                <w:szCs w:val="21"/>
                <w:lang w:val="en-US" w:eastAsia="zh-CN" w:bidi="ar-SA"/>
              </w:rPr>
              <w:t>O:5.4</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组织在各部门之间建立了与体系有关的信息通渠沟道，借助于会议、电话、微信、网络、信息系统、口头交流等方式使全体员工达到沟通和理解。目前各部门协调一致，工作上的接口基本理顺。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总经理主持经营例会，分析公司的发展、市场情况和体系运行是否有效，管理目标完成情况，满足顾客要求和法规程度，改进建议等内部管理存在问题等。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付艳艳</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a）负责员工职业健康安全日常工作；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c）接收、处理外部职业健康安全信息；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d）交流各级职能部门间产生的职业健康安全信息；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e）收集、处理和反馈员工所关心的职业健康安全问题；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g）参与影响作业场所人员职业健康安全的任何变化的讨论。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w:t>
            </w: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9.3</w:t>
            </w:r>
          </w:p>
        </w:tc>
        <w:tc>
          <w:tcPr>
            <w:tcW w:w="1058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2022年7月25日在公司会议室由</w:t>
            </w:r>
            <w:r>
              <w:rPr>
                <w:rFonts w:hint="eastAsia" w:ascii="宋体" w:hAnsi="宋体" w:cs="Arial"/>
                <w:color w:val="auto"/>
                <w:spacing w:val="-6"/>
                <w:sz w:val="21"/>
                <w:szCs w:val="21"/>
                <w:highlight w:val="none"/>
                <w:lang w:val="en-US" w:eastAsia="zh-CN"/>
              </w:rPr>
              <w:t>聂景兵</w:t>
            </w:r>
            <w:r>
              <w:rPr>
                <w:rFonts w:hint="eastAsia" w:ascii="宋体" w:hAnsi="宋体" w:eastAsia="宋体" w:cs="Arial"/>
                <w:color w:val="auto"/>
                <w:spacing w:val="-6"/>
                <w:sz w:val="21"/>
                <w:szCs w:val="21"/>
                <w:highlight w:val="none"/>
                <w:lang w:val="en-US" w:eastAsia="zh-CN"/>
              </w:rPr>
              <w:t>总经理主持召开管理评审会议；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管理评审输入较充分，针对去年提出的改进措施得到了验证；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管理评审结论：公司管理体系的建立和运行是充分的、适宜的、有效的。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包括：环境安全法律法规、环境因素、危险源的更新，应急预案的演练。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 xml:space="preserve">保留有改进措施计划。 </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10.1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58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w:t>
            </w:r>
            <w:r>
              <w:rPr>
                <w:rFonts w:hint="eastAsia" w:ascii="宋体" w:hAnsi="宋体" w:cs="Arial"/>
                <w:color w:val="auto"/>
                <w:spacing w:val="-6"/>
                <w:sz w:val="21"/>
                <w:szCs w:val="21"/>
                <w:highlight w:val="none"/>
                <w:lang w:val="en-US" w:eastAsia="zh-CN"/>
              </w:rPr>
              <w:t>人力资源部</w:t>
            </w:r>
            <w:r>
              <w:rPr>
                <w:rFonts w:hint="eastAsia" w:ascii="宋体" w:hAnsi="宋体" w:eastAsia="宋体" w:cs="Arial"/>
                <w:color w:val="auto"/>
                <w:spacing w:val="-6"/>
                <w:sz w:val="21"/>
                <w:szCs w:val="21"/>
                <w:highlight w:val="none"/>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22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未发生重大质量</w:t>
            </w:r>
            <w:r>
              <w:rPr>
                <w:rFonts w:hint="eastAsia" w:ascii="宋体" w:hAnsi="宋体" w:cs="Arial"/>
                <w:spacing w:val="-6"/>
                <w:sz w:val="21"/>
                <w:szCs w:val="21"/>
                <w:lang w:val="en-US" w:eastAsia="zh-CN"/>
              </w:rPr>
              <w:t>、环境、职业健康安全</w:t>
            </w:r>
            <w:r>
              <w:rPr>
                <w:rFonts w:hint="eastAsia" w:ascii="宋体" w:hAnsi="宋体" w:eastAsia="宋体" w:cs="Arial"/>
                <w:spacing w:val="-6"/>
                <w:sz w:val="21"/>
                <w:szCs w:val="21"/>
                <w:lang w:val="en-US" w:eastAsia="zh-CN"/>
              </w:rPr>
              <w:t>事故</w:t>
            </w:r>
            <w:r>
              <w:rPr>
                <w:rFonts w:hint="eastAsia" w:ascii="宋体" w:hAnsi="宋体" w:cs="Arial"/>
                <w:spacing w:val="-6"/>
                <w:sz w:val="21"/>
                <w:szCs w:val="21"/>
                <w:lang w:val="en-US" w:eastAsia="zh-CN"/>
              </w:rPr>
              <w:t>，能遵</w:t>
            </w:r>
            <w:r>
              <w:rPr>
                <w:rFonts w:hint="eastAsia" w:ascii="宋体" w:hAnsi="宋体" w:eastAsia="宋体" w:cs="Arial"/>
                <w:spacing w:val="-6"/>
                <w:sz w:val="21"/>
                <w:szCs w:val="21"/>
                <w:lang w:val="en-US" w:eastAsia="zh-CN"/>
              </w:rPr>
              <w:t>守法律法规要求。</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spacing w:line="240" w:lineRule="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证书和标志使用</w:t>
            </w:r>
          </w:p>
        </w:tc>
        <w:tc>
          <w:tcPr>
            <w:tcW w:w="122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用于招投标，符合要求。</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上次</w:t>
            </w:r>
            <w:r>
              <w:rPr>
                <w:rFonts w:hint="eastAsia" w:ascii="宋体" w:hAnsi="宋体" w:cs="Arial"/>
                <w:spacing w:val="-6"/>
                <w:sz w:val="21"/>
                <w:szCs w:val="21"/>
              </w:rPr>
              <w:t>审核不符合项的验证</w:t>
            </w:r>
          </w:p>
        </w:tc>
        <w:tc>
          <w:tcPr>
            <w:tcW w:w="122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color w:val="auto"/>
                <w:spacing w:val="-6"/>
                <w:sz w:val="21"/>
                <w:szCs w:val="21"/>
                <w:highlight w:val="none"/>
                <w:lang w:val="en-US" w:eastAsia="zh-CN"/>
              </w:rPr>
              <w:t>上次</w:t>
            </w:r>
            <w:r>
              <w:rPr>
                <w:rFonts w:hint="eastAsia" w:ascii="宋体" w:hAnsi="宋体" w:eastAsia="宋体" w:cs="Arial"/>
                <w:color w:val="auto"/>
                <w:spacing w:val="-6"/>
                <w:sz w:val="21"/>
                <w:szCs w:val="21"/>
                <w:highlight w:val="none"/>
                <w:lang w:val="en-US" w:eastAsia="zh-CN"/>
              </w:rPr>
              <w:t>审核时未开出书面不符合报告。</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9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22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w:t>
            </w:r>
            <w:r>
              <w:rPr>
                <w:rFonts w:hint="eastAsia" w:ascii="宋体" w:hAnsi="宋体" w:eastAsia="宋体" w:cs="Arial"/>
                <w:spacing w:val="-6"/>
                <w:sz w:val="21"/>
                <w:szCs w:val="21"/>
                <w:highlight w:val="none"/>
                <w:lang w:val="en-US" w:eastAsia="zh-CN"/>
              </w:rPr>
              <w:t>以来，未发生相关方的投诉</w:t>
            </w:r>
            <w:r>
              <w:rPr>
                <w:rFonts w:hint="eastAsia" w:ascii="宋体" w:hAnsi="宋体" w:cs="Arial"/>
                <w:spacing w:val="-6"/>
                <w:sz w:val="21"/>
                <w:szCs w:val="21"/>
                <w:highlight w:val="none"/>
                <w:lang w:val="en-US" w:eastAsia="zh-CN"/>
              </w:rPr>
              <w:t>；</w:t>
            </w:r>
            <w:r>
              <w:rPr>
                <w:rFonts w:hint="eastAsia" w:ascii="宋体" w:hAnsi="宋体" w:eastAsia="宋体" w:cs="Arial"/>
                <w:spacing w:val="-6"/>
                <w:sz w:val="21"/>
                <w:szCs w:val="21"/>
                <w:highlight w:val="none"/>
                <w:lang w:val="en-US" w:eastAsia="zh-CN"/>
              </w:rPr>
              <w:t>暂时没有国家/地方抽查情况</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Arial"/>
                <w:spacing w:val="-6"/>
                <w:kern w:val="2"/>
                <w:sz w:val="21"/>
                <w:szCs w:val="21"/>
                <w:lang w:val="en-US" w:eastAsia="zh-CN" w:bidi="ar-SA"/>
              </w:rPr>
            </w:pPr>
            <w:r>
              <w:rPr>
                <w:rFonts w:hint="eastAsia"/>
                <w:highlight w:val="none"/>
                <w:lang w:val="en-US" w:eastAsia="zh-CN"/>
              </w:rPr>
              <w:t>受到的</w:t>
            </w:r>
            <w:r>
              <w:rPr>
                <w:rFonts w:hint="eastAsia" w:ascii="宋体" w:hAnsi="宋体" w:eastAsia="宋体" w:cs="Arial"/>
                <w:spacing w:val="-6"/>
                <w:sz w:val="21"/>
                <w:szCs w:val="21"/>
                <w:highlight w:val="none"/>
                <w:lang w:val="en-US" w:eastAsia="zh-CN"/>
              </w:rPr>
              <w:t>相关行政主管部门检查</w:t>
            </w:r>
            <w:r>
              <w:rPr>
                <w:rFonts w:hint="eastAsia" w:ascii="宋体" w:hAnsi="宋体" w:cs="Arial"/>
                <w:spacing w:val="-6"/>
                <w:sz w:val="21"/>
                <w:szCs w:val="21"/>
                <w:highlight w:val="none"/>
                <w:lang w:val="en-US" w:eastAsia="zh-CN"/>
              </w:rPr>
              <w:t>问题</w:t>
            </w:r>
            <w:r>
              <w:rPr>
                <w:rFonts w:hint="eastAsia" w:ascii="宋体" w:hAnsi="宋体" w:eastAsia="宋体" w:cs="Arial"/>
                <w:spacing w:val="-6"/>
                <w:sz w:val="21"/>
                <w:szCs w:val="21"/>
                <w:highlight w:val="none"/>
                <w:lang w:val="en-US" w:eastAsia="zh-CN"/>
              </w:rPr>
              <w:t>，</w:t>
            </w:r>
            <w:r>
              <w:rPr>
                <w:rFonts w:hint="eastAsia" w:ascii="宋体" w:hAnsi="宋体" w:cs="Arial"/>
                <w:spacing w:val="-6"/>
                <w:sz w:val="21"/>
                <w:szCs w:val="21"/>
                <w:highlight w:val="none"/>
                <w:lang w:val="en-US" w:eastAsia="zh-CN"/>
              </w:rPr>
              <w:t>能及时进行整改</w:t>
            </w:r>
            <w:r>
              <w:rPr>
                <w:rFonts w:hint="eastAsia" w:ascii="宋体" w:hAnsi="宋体" w:eastAsia="宋体" w:cs="Arial"/>
                <w:spacing w:val="-6"/>
                <w:sz w:val="21"/>
                <w:szCs w:val="21"/>
                <w:highlight w:val="none"/>
                <w:lang w:val="en-US" w:eastAsia="zh-CN"/>
              </w:rPr>
              <w:t>。</w:t>
            </w:r>
          </w:p>
        </w:tc>
        <w:tc>
          <w:tcPr>
            <w:tcW w:w="1002"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615D220E"/>
    <w:rsid w:val="7DCC2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5010</Words>
  <Characters>5367</Characters>
  <Lines>1</Lines>
  <Paragraphs>1</Paragraphs>
  <TotalTime>2</TotalTime>
  <ScaleCrop>false</ScaleCrop>
  <LinksUpToDate>false</LinksUpToDate>
  <CharactersWithSpaces>5408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2022-11-24T05:56:50Z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E4CF9F01DC3B49178020621220BA6314</vt:lpwstr>
  </property>
  <property fmtid="{D5CDD505-2E9C-101B-9397-08002B2CF9AE}" pid="3" name="KSOProductBuildVer">
    <vt:lpwstr>2052-11.1.0.12763</vt:lpwstr>
  </property>
</Properties>
</file>