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sz w:val="44"/>
          <w:szCs w:val="44"/>
        </w:rPr>
      </w:pPr>
      <w:r>
        <w:rPr>
          <w:rFonts w:hint="eastAsia" w:ascii="隶书" w:hAnsi="宋体" w:eastAsia="隶书" w:cs="Times New Roman"/>
          <w:bCs/>
          <w:sz w:val="44"/>
          <w:szCs w:val="44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87"/>
        <w:gridCol w:w="102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条款</w:t>
            </w:r>
          </w:p>
        </w:tc>
        <w:tc>
          <w:tcPr>
            <w:tcW w:w="1022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受审核部门：采购部        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戴瑶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陪同人员：彭秋香 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2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审核员：温红玲（远程微信沟通）、杨晓举（提供专业支持）         审核时间：2022.11.16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28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QMS-2015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5.3岗位/职责 /权限；6.2质量目标及其实现的策划；8.4外部提供供方的控制；8.5.3顾客或外部供方的财产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EMS-2015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ISO 45001：2018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组织的岗位职责和权限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QEO5.3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28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主要负责以下工作内容：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1.负责编制供应商管理制度，构建供应商管理体系，包括供应商引入制度及考评机制等；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2.负责公司原材料的采购，以及外包方的控制；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3.贯彻实施公司的质量、环境和职业健康安全及企业管理方针、目标、指标和管理方案；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4.对本部门环境因素、危险源进行辨识和评价，制订控制措施；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5.参与公司组织的应急演练；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6.对工作场所进行风险控制，保护环境。</w:t>
            </w: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与采购部负责人戴瑶沟通，描述的职责和权限与一体化管理体系的职能分配表基本一致。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环境因素/危险源识别</w:t>
            </w:r>
          </w:p>
        </w:tc>
        <w:tc>
          <w:tcPr>
            <w:tcW w:w="1187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0228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部门负责人戴瑶介绍：采购部根据程序要求，对环境因素、危险源进行了辨识。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查《环境因素识别评价表》和《重要环境因素清单》，采购部涉及的重要环境因素如下：</w:t>
            </w:r>
          </w:p>
          <w:tbl>
            <w:tblPr>
              <w:tblStyle w:val="8"/>
              <w:tblW w:w="9730" w:type="dxa"/>
              <w:tblInd w:w="2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0"/>
              <w:gridCol w:w="1360"/>
              <w:gridCol w:w="3157"/>
              <w:gridCol w:w="1843"/>
              <w:gridCol w:w="1230"/>
              <w:gridCol w:w="17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4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环境因素</w:t>
                  </w: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活动点/工序或部位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spacing w:line="360" w:lineRule="auto"/>
                    <w:ind w:left="-737" w:leftChars="-351" w:firstLine="644" w:firstLineChars="307"/>
                    <w:jc w:val="both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环境影响</w:t>
                  </w:r>
                </w:p>
              </w:tc>
              <w:tc>
                <w:tcPr>
                  <w:tcW w:w="12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时态/状态</w:t>
                  </w: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管理控制方式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6" w:hRule="atLeast"/>
              </w:trPr>
              <w:tc>
                <w:tcPr>
                  <w:tcW w:w="4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废水的排放</w:t>
                  </w: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生活废水的排放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水体污染</w:t>
                  </w:r>
                </w:p>
              </w:tc>
              <w:tc>
                <w:tcPr>
                  <w:tcW w:w="123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现在/正常</w:t>
                  </w: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管理方案/环境影响运行控制程序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6" w:hRule="atLeast"/>
              </w:trPr>
              <w:tc>
                <w:tcPr>
                  <w:tcW w:w="430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360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资源的消耗</w:t>
                  </w: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生产用电、水等的消耗</w:t>
                  </w:r>
                </w:p>
              </w:tc>
              <w:tc>
                <w:tcPr>
                  <w:tcW w:w="1843" w:type="dxa"/>
                  <w:vMerge w:val="restart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资源消耗</w:t>
                  </w:r>
                </w:p>
              </w:tc>
              <w:tc>
                <w:tcPr>
                  <w:tcW w:w="1230" w:type="dxa"/>
                  <w:vMerge w:val="restart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现在/正常</w:t>
                  </w:r>
                </w:p>
              </w:tc>
              <w:tc>
                <w:tcPr>
                  <w:tcW w:w="1710" w:type="dxa"/>
                  <w:vMerge w:val="restart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6" w:hRule="atLeast"/>
              </w:trPr>
              <w:tc>
                <w:tcPr>
                  <w:tcW w:w="43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6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办公用电、水等的消耗</w:t>
                  </w:r>
                </w:p>
              </w:tc>
              <w:tc>
                <w:tcPr>
                  <w:tcW w:w="1843" w:type="dxa"/>
                  <w:vMerge w:val="continue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0" w:type="dxa"/>
                  <w:vMerge w:val="continue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10" w:type="dxa"/>
                  <w:vMerge w:val="continue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2" w:hRule="atLeast"/>
              </w:trPr>
              <w:tc>
                <w:tcPr>
                  <w:tcW w:w="430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1360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潜在火灾事故的发生</w:t>
                  </w:r>
                </w:p>
              </w:tc>
              <w:tc>
                <w:tcPr>
                  <w:tcW w:w="31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办公室的易燃物品管理不慎，吸烟等明火引发的火灾</w:t>
                  </w:r>
                </w:p>
              </w:tc>
              <w:tc>
                <w:tcPr>
                  <w:tcW w:w="1843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大气等综合性污染</w:t>
                  </w:r>
                </w:p>
              </w:tc>
              <w:tc>
                <w:tcPr>
                  <w:tcW w:w="1230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将来/紧急</w:t>
                  </w:r>
                </w:p>
              </w:tc>
              <w:tc>
                <w:tcPr>
                  <w:tcW w:w="1710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管理方案/应急准备和响应控制程序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8" w:hRule="atLeast"/>
              </w:trPr>
              <w:tc>
                <w:tcPr>
                  <w:tcW w:w="43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6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1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电器短路火灾的发生</w:t>
                  </w:r>
                </w:p>
              </w:tc>
              <w:tc>
                <w:tcPr>
                  <w:tcW w:w="1843" w:type="dxa"/>
                  <w:vMerge w:val="continue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0" w:type="dxa"/>
                  <w:vMerge w:val="continue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10" w:type="dxa"/>
                  <w:vMerge w:val="continue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4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固废的排放</w:t>
                  </w:r>
                </w:p>
              </w:tc>
              <w:tc>
                <w:tcPr>
                  <w:tcW w:w="3157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办公固废（废电池、废硒鼓、墨盒）的排放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固废的综合性污染</w:t>
                  </w:r>
                </w:p>
              </w:tc>
              <w:tc>
                <w:tcPr>
                  <w:tcW w:w="123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将来/正常</w:t>
                  </w: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管理方案/环境影响运行控制程序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《不可接受风险清单》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，采购部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TW"/>
              </w:rPr>
              <w:t>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TW"/>
              </w:rPr>
              <w:t>重大危险源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TW"/>
              </w:rPr>
              <w:t>：</w:t>
            </w:r>
          </w:p>
          <w:tbl>
            <w:tblPr>
              <w:tblStyle w:val="8"/>
              <w:tblW w:w="9819" w:type="dxa"/>
              <w:jc w:val="center"/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6"/>
              <w:gridCol w:w="2292"/>
              <w:gridCol w:w="2407"/>
              <w:gridCol w:w="1333"/>
              <w:gridCol w:w="3161"/>
            </w:tblGrid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  <w:jc w:val="center"/>
              </w:trPr>
              <w:tc>
                <w:tcPr>
                  <w:tcW w:w="626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2292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活动点/工序/部位</w:t>
                  </w:r>
                </w:p>
              </w:tc>
              <w:tc>
                <w:tcPr>
                  <w:tcW w:w="2407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潜在的危险因素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可能导致的结果</w:t>
                  </w:r>
                </w:p>
              </w:tc>
              <w:tc>
                <w:tcPr>
                  <w:tcW w:w="31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控制措施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jc w:val="center"/>
              </w:trPr>
              <w:tc>
                <w:tcPr>
                  <w:tcW w:w="626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2292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办公场所区域的易燃品的堆放</w:t>
                  </w:r>
                </w:p>
              </w:tc>
              <w:tc>
                <w:tcPr>
                  <w:tcW w:w="2407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出现明火引起的火灾</w:t>
                  </w:r>
                </w:p>
              </w:tc>
              <w:tc>
                <w:tcPr>
                  <w:tcW w:w="1333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人员伤亡</w:t>
                  </w:r>
                </w:p>
              </w:tc>
              <w:tc>
                <w:tcPr>
                  <w:tcW w:w="3161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应急准备和响应控制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jc w:val="center"/>
              </w:trPr>
              <w:tc>
                <w:tcPr>
                  <w:tcW w:w="626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292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办公用电</w:t>
                  </w:r>
                </w:p>
              </w:tc>
              <w:tc>
                <w:tcPr>
                  <w:tcW w:w="2407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设备损坏，线路老化，电路设置不符合要求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人员触电，火灾事故等</w:t>
                  </w:r>
                </w:p>
              </w:tc>
              <w:tc>
                <w:tcPr>
                  <w:tcW w:w="31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规范操作，坚持线路检查，做好应急响应工作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2" w:hRule="atLeast"/>
                <w:jc w:val="center"/>
              </w:trPr>
              <w:tc>
                <w:tcPr>
                  <w:tcW w:w="626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2292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职业健康安全</w:t>
                  </w:r>
                </w:p>
              </w:tc>
              <w:tc>
                <w:tcPr>
                  <w:tcW w:w="2407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职业病的发生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传染病的传播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职业健康安全</w:t>
                  </w:r>
                </w:p>
              </w:tc>
              <w:tc>
                <w:tcPr>
                  <w:tcW w:w="31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规范操作，佩戴防护用具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定期进行体检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制定应急预案，全员进行安全知识培训，提高自我防护意识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jc w:val="center"/>
              </w:trPr>
              <w:tc>
                <w:tcPr>
                  <w:tcW w:w="626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2292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生产线员工、员工上下班、业务员出差</w:t>
                  </w:r>
                </w:p>
              </w:tc>
              <w:tc>
                <w:tcPr>
                  <w:tcW w:w="2407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高温中暑、交通意外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人员伤亡</w:t>
                  </w:r>
                </w:p>
              </w:tc>
              <w:tc>
                <w:tcPr>
                  <w:tcW w:w="31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做好防护和应急响应工作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626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2292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台风等自然灾害</w:t>
                  </w:r>
                </w:p>
              </w:tc>
              <w:tc>
                <w:tcPr>
                  <w:tcW w:w="2407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自然灾害紧急情况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人员伤亡</w:t>
                  </w:r>
                </w:p>
              </w:tc>
              <w:tc>
                <w:tcPr>
                  <w:tcW w:w="31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做好防护和应急响应工作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TW"/>
              </w:rPr>
              <w:t>对于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采购部环境因素、危险源的识别、评价和控制基本符合标准要求。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目标及其实现的策划总要求</w:t>
            </w:r>
          </w:p>
        </w:tc>
        <w:tc>
          <w:tcPr>
            <w:tcW w:w="1187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QEO6.2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28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采购涉及的管理目标如下：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75565</wp:posOffset>
                  </wp:positionV>
                  <wp:extent cx="3217545" cy="1579880"/>
                  <wp:effectExtent l="0" t="0" r="8255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54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部门目标与分解基本合理，均有相应的统计方法、管理方案和监视频率，责任部门和责任人明确，基本满足控制要求。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EO8.1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本部门应执行的运行控制文件包括：外部提供的过程、产品和服务控制程序、环境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/职业健康安全</w:t>
            </w:r>
            <w:r>
              <w:rPr>
                <w:rFonts w:hint="eastAsia" w:ascii="宋体" w:hAnsi="宋体" w:eastAsia="宋体" w:cs="宋体"/>
              </w:rPr>
              <w:t>运行控制程序等。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查运行控制情况：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办公过程注意节约用电，</w:t>
            </w:r>
            <w:r>
              <w:rPr>
                <w:rFonts w:hint="eastAsia" w:ascii="宋体" w:hAnsi="宋体" w:eastAsia="宋体" w:cs="宋体"/>
                <w:lang w:eastAsia="zh-CN"/>
              </w:rPr>
              <w:t>采购部</w:t>
            </w:r>
            <w:r>
              <w:rPr>
                <w:rFonts w:hint="eastAsia" w:ascii="宋体" w:hAnsi="宋体" w:eastAsia="宋体" w:cs="宋体"/>
              </w:rPr>
              <w:t>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办公过程产生的固废按</w:t>
            </w:r>
            <w:r>
              <w:rPr>
                <w:rFonts w:hint="eastAsia" w:ascii="宋体" w:hAnsi="宋体" w:eastAsia="宋体" w:cs="宋体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</w:rPr>
              <w:t>要求放到指定地点，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</w:rPr>
              <w:t>查看现场无混放现象；办公用品按要求由</w:t>
            </w:r>
            <w:r>
              <w:rPr>
                <w:rFonts w:hint="eastAsia" w:ascii="宋体" w:hAnsi="宋体" w:eastAsia="宋体" w:cs="宋体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</w:rPr>
              <w:t xml:space="preserve">负责发放，作好记录；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外出办公要求遵守道路交通安全法，不违章行驶，驾驶证和车辆定期年审，确保出行安全；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远程查看采购部</w:t>
            </w:r>
            <w:r>
              <w:rPr>
                <w:rFonts w:hint="eastAsia" w:ascii="宋体" w:hAnsi="宋体" w:eastAsia="宋体" w:cs="宋体"/>
              </w:rPr>
              <w:t>配置了灭火器，无火灾、触电隐患，废弃物无混放现象。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18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10228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采购部按照策划的《应急准备和响应程序》、《应急预案》等，明确了相应的运行准则。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采购部负责人介绍，采购部按照公司统一要求，办公过程中加强用电安全，防止触电事故和火灾事故的发生，配合行政部等组织部门员工参与应急演练。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查2022年6月8日部门人员均参加了行政部组织的消防演练。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自体系运行以来，未出现紧急情况。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外部提供过程、服务和服务的控制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Q8.4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2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查《管理手册》中明确了“外部提供过程、产品和服务”方面的要求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编制有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LJ -P-25-2021《外部提供产品、服务和过程控制程序》、《供方评价管理制度》等重要准则，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对由外部提供的产品、过程或服务进行控制，确保其符合要求。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提供有《合格供方名单》，由总经理批准。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供方名称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列入日期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新东方油墨有限公司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油墨产品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2022年1月1日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浙江永正包装有限公司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PE薄膜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2022年1月1日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广东锦龙源印刷材料有限公司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水性油墨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2022年1月1日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山东铭达包装制品股份有限公司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淋膜纸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2022年1月1日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浙江恒川新材料有限公司           防油纸普通食品纸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2022年1月1日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浙江远大塑胶有限公司                   CPP低温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2022年1月1日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……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 合格供方评价记录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供方名称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：新东方油墨有限公司，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油墨产品，提供有供方评价表，评价有供方资质、生产能力、质量保证能力等，有评价部门、主管部门、批准意见，评价结论：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同意继续合作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批准：黄中福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供方名称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：浙江永正包装有限公司，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PE薄膜，提供有供方评价表，评价有供方资质、生产能力、质量保证能力等，有评价部门、主管部门、批准意见，评价结论：同意继续合作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批准：黄中福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供方名称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：广东锦龙源印刷材料有限公司，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水性油墨，提供有供方评价表，评价有供方资质、生产能力、质量保证能力等，有评价部门、主管部门、批准意见，评价结论：同意继续合作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批准：黄中福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供方名称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：山东铭达包装制品股份有限公司，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：淋膜纸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批准：黄中福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供方名称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：浙江恒川新材料有限公司，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防油纸普通食品纸，提供有供方评价表，评价有供方资质、生产能力、质量保证能力等，有评价部门、主管部门、批准意见，评价结论：同意继续合作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批准：黄中福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2022.1.1。</w:t>
            </w:r>
          </w:p>
          <w:p>
            <w:pPr>
              <w:pStyle w:val="11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供方名称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：浙江远大塑胶有限公司，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CPP低温，提供有供方评价表，评价有供方资质、生产能力、质量保证能力等，有评价部门、主管部门、批准意见，评价结论：同意继续合作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批准：黄中福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2022.1.1。</w:t>
            </w:r>
          </w:p>
          <w:p>
            <w:pPr>
              <w:pStyle w:val="11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</w:pPr>
          </w:p>
          <w:p>
            <w:pPr>
              <w:pStyle w:val="11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抽查采购合同，合同名称为采购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val="en-US" w:eastAsia="zh-CN"/>
              </w:rPr>
              <w:t>订单，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采购单号∶CG221103004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采购日期∶2022-11-03，供方为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新东方油墨有限公司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，供货内容为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油墨产品：PU-AD310固化剂-32kg、PU-AD310主剂-160kg、PU-1973固化剂-112kg、</w:t>
            </w:r>
          </w:p>
          <w:p>
            <w:pPr>
              <w:pStyle w:val="11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PU-1973主剂-400kg、WRJ-9300B固化剂-100kg、WRJ-9700A主剂-200kg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，合同签订日期为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val="en-US" w:eastAsia="zh-CN"/>
              </w:rPr>
              <w:t>2022-11-03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eastAsia="zh-CN"/>
              </w:rPr>
              <w:t>；提供有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新东方油墨有限公司产品送货单，交付数量与日期与合同要求相一致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1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抽查采购合同，合同名称为采购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val="en-US" w:eastAsia="zh-CN"/>
              </w:rPr>
              <w:t>订单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，采购单号∶CG221101002 采购日期∶2022-11-01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供方为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浙江永正包装有限公司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，供货内容为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PE低温膜-440*65-245kg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，合同签订日期为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val="en-US" w:eastAsia="zh-CN"/>
              </w:rPr>
              <w:t>2022.11.1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eastAsia="zh-CN"/>
              </w:rPr>
              <w:t>；提供有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浙江永正包装有限公司产品送货单，交付数量与日期与合同要求相一致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1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抽查采购合同，合同名称为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采购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val="en-US" w:eastAsia="zh-CN"/>
              </w:rPr>
              <w:t>订单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，采购单号∶CG220727002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采购日期2022-07-27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供方为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浙江远大塑胶有限公司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，供货内容为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CPP低温高摩擦-740*35-186.48kg、CPP低温高摩擦-770*35-291.06kg、CPP低温-710*50-220kg、CPP低温-715*45-500kg、CPP低温-650*60-120kg、CPP低温-705*45-160kg</w:t>
            </w: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，合同签订日期为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val="en-US" w:eastAsia="zh-CN"/>
              </w:rPr>
              <w:t>2022.7.27</w:t>
            </w:r>
            <w:r>
              <w:rPr>
                <w:rFonts w:hint="eastAsia" w:ascii="宋体" w:hAnsi="宋体" w:cs="宋体"/>
                <w:bCs w:val="0"/>
                <w:spacing w:val="0"/>
                <w:sz w:val="21"/>
                <w:szCs w:val="21"/>
                <w:lang w:eastAsia="zh-CN"/>
              </w:rPr>
              <w:t>；提供有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浙江远大塑胶有限公司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产品送货单，交付数量与日期与合同要求相一致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1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抽查外包合同：合同编号：C-571YMS-DA-201508-0003-195；委托方：杭州蓝景包装技术开发有限公司；受托方：浙江顺丰速运有限公司；委托事项：产品等的收派服务；签订日期：2022年2月20日。合同就双方义务、服务期限等内日用作了约定，基本满足合同控制要求。</w:t>
            </w:r>
          </w:p>
          <w:p>
            <w:pPr>
              <w:pStyle w:val="4"/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sz w:val="21"/>
                <w:szCs w:val="21"/>
              </w:rPr>
              <w:t>采购流程基本符合要求。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顾客或外供方财产</w:t>
            </w:r>
          </w:p>
        </w:tc>
        <w:tc>
          <w:tcPr>
            <w:tcW w:w="118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Q8.5.3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28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采购部负责人戴瑶沟通，采购部识别的外部供方的财产包括：资质证明文件（如营业执照和其它资质文件）、银行账号、联系方式、经营地址及档案资料等信息，采购部由部门专门人员负责管理，分类登记放置。近年来未发生损坏丢失等现象，基本满足控制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pStyle w:val="5"/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05D4603"/>
    <w:rsid w:val="00BC57CD"/>
    <w:rsid w:val="03412871"/>
    <w:rsid w:val="0548056B"/>
    <w:rsid w:val="089B0621"/>
    <w:rsid w:val="099C619C"/>
    <w:rsid w:val="099F15D7"/>
    <w:rsid w:val="0C6459D0"/>
    <w:rsid w:val="0C9F6AEC"/>
    <w:rsid w:val="0E470BFB"/>
    <w:rsid w:val="0FF05F75"/>
    <w:rsid w:val="10656506"/>
    <w:rsid w:val="108C0860"/>
    <w:rsid w:val="12AB6C65"/>
    <w:rsid w:val="12EC0DAE"/>
    <w:rsid w:val="14217A06"/>
    <w:rsid w:val="158C323C"/>
    <w:rsid w:val="15F807A0"/>
    <w:rsid w:val="19882298"/>
    <w:rsid w:val="19CD3CBE"/>
    <w:rsid w:val="1CDB7EE5"/>
    <w:rsid w:val="1DB92AAA"/>
    <w:rsid w:val="1DDF15A8"/>
    <w:rsid w:val="1FBB3819"/>
    <w:rsid w:val="21A00E17"/>
    <w:rsid w:val="2324276E"/>
    <w:rsid w:val="23312BF6"/>
    <w:rsid w:val="23D45CC3"/>
    <w:rsid w:val="24185C39"/>
    <w:rsid w:val="2483493D"/>
    <w:rsid w:val="261323A8"/>
    <w:rsid w:val="269640B9"/>
    <w:rsid w:val="27D26466"/>
    <w:rsid w:val="2DB52179"/>
    <w:rsid w:val="2DE955F1"/>
    <w:rsid w:val="2E9C0FE0"/>
    <w:rsid w:val="308E3697"/>
    <w:rsid w:val="309F5F06"/>
    <w:rsid w:val="31337021"/>
    <w:rsid w:val="31A70C5D"/>
    <w:rsid w:val="338432F8"/>
    <w:rsid w:val="36FD0B66"/>
    <w:rsid w:val="381E093C"/>
    <w:rsid w:val="3929797F"/>
    <w:rsid w:val="3C0D06AF"/>
    <w:rsid w:val="3E2857BC"/>
    <w:rsid w:val="3E426B66"/>
    <w:rsid w:val="3EFC64FA"/>
    <w:rsid w:val="3FE5127A"/>
    <w:rsid w:val="41DC353F"/>
    <w:rsid w:val="43866F99"/>
    <w:rsid w:val="43FE0C16"/>
    <w:rsid w:val="44134353"/>
    <w:rsid w:val="47C647FF"/>
    <w:rsid w:val="49235E4B"/>
    <w:rsid w:val="4C5B7332"/>
    <w:rsid w:val="4C971C64"/>
    <w:rsid w:val="4D2873FF"/>
    <w:rsid w:val="512A32DA"/>
    <w:rsid w:val="593A6404"/>
    <w:rsid w:val="5C082009"/>
    <w:rsid w:val="5CF64305"/>
    <w:rsid w:val="5D2440D9"/>
    <w:rsid w:val="5EB822A5"/>
    <w:rsid w:val="61CF7D3D"/>
    <w:rsid w:val="61F42441"/>
    <w:rsid w:val="64713622"/>
    <w:rsid w:val="65272A2C"/>
    <w:rsid w:val="68D01098"/>
    <w:rsid w:val="6A5B6AE9"/>
    <w:rsid w:val="6DAF2107"/>
    <w:rsid w:val="6E431FE2"/>
    <w:rsid w:val="6EFE40B6"/>
    <w:rsid w:val="6F076887"/>
    <w:rsid w:val="70A55C96"/>
    <w:rsid w:val="72E7714B"/>
    <w:rsid w:val="766E250E"/>
    <w:rsid w:val="78FA19E0"/>
    <w:rsid w:val="79487052"/>
    <w:rsid w:val="7A960FB8"/>
    <w:rsid w:val="7C541407"/>
    <w:rsid w:val="7D306FB8"/>
    <w:rsid w:val="7DF87AA6"/>
    <w:rsid w:val="7D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paragraph" w:customStyle="1" w:styleId="10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春华秋实</cp:lastModifiedBy>
  <dcterms:modified xsi:type="dcterms:W3CDTF">2022-11-16T02:28:24Z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3055D6F0A18F4A7C971B16F260B7DC0D</vt:lpwstr>
  </property>
</Properties>
</file>