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44"/>
          <w:szCs w:val="44"/>
        </w:rPr>
      </w:pPr>
      <w:r>
        <w:rPr>
          <w:rFonts w:hint="eastAsia" w:ascii="隶书" w:hAnsi="宋体" w:eastAsia="隶书"/>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72"/>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8"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2"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455" w:type="dxa"/>
            <w:vAlign w:val="center"/>
          </w:tcPr>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受审核部门：行政部        主管领导：柳新店   陪同人员：寇威</w:t>
            </w:r>
          </w:p>
        </w:tc>
        <w:tc>
          <w:tcPr>
            <w:tcW w:w="1134"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8" w:type="dxa"/>
            <w:vMerge w:val="continue"/>
            <w:vAlign w:val="center"/>
          </w:tcPr>
          <w:p>
            <w:pPr>
              <w:spacing w:line="360" w:lineRule="auto"/>
              <w:rPr>
                <w:rFonts w:hint="eastAsia" w:ascii="宋体" w:hAnsi="宋体" w:eastAsia="宋体" w:cs="宋体"/>
                <w:sz w:val="21"/>
                <w:szCs w:val="21"/>
              </w:rPr>
            </w:pPr>
          </w:p>
        </w:tc>
        <w:tc>
          <w:tcPr>
            <w:tcW w:w="1272" w:type="dxa"/>
            <w:vMerge w:val="continue"/>
            <w:vAlign w:val="center"/>
          </w:tcPr>
          <w:p>
            <w:pPr>
              <w:spacing w:line="360" w:lineRule="auto"/>
              <w:rPr>
                <w:rFonts w:hint="eastAsia" w:ascii="宋体" w:hAnsi="宋体" w:eastAsia="宋体" w:cs="宋体"/>
                <w:sz w:val="21"/>
                <w:szCs w:val="21"/>
              </w:rPr>
            </w:pPr>
          </w:p>
        </w:tc>
        <w:tc>
          <w:tcPr>
            <w:tcW w:w="10455" w:type="dxa"/>
            <w:vAlign w:val="center"/>
          </w:tcPr>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审核员：温红玲（远程微信沟通）、杨晓举（提供专业支持）             审核时间：2022.11.15</w:t>
            </w:r>
          </w:p>
        </w:tc>
        <w:tc>
          <w:tcPr>
            <w:tcW w:w="1134"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48" w:type="dxa"/>
            <w:vMerge w:val="continue"/>
            <w:vAlign w:val="center"/>
          </w:tcPr>
          <w:p>
            <w:pPr>
              <w:spacing w:line="360" w:lineRule="auto"/>
              <w:rPr>
                <w:rFonts w:hint="eastAsia" w:ascii="宋体" w:hAnsi="宋体" w:eastAsia="宋体" w:cs="宋体"/>
                <w:color w:val="FF0000"/>
                <w:sz w:val="21"/>
                <w:szCs w:val="21"/>
              </w:rPr>
            </w:pPr>
          </w:p>
        </w:tc>
        <w:tc>
          <w:tcPr>
            <w:tcW w:w="1272" w:type="dxa"/>
            <w:vMerge w:val="continue"/>
            <w:vAlign w:val="center"/>
          </w:tcPr>
          <w:p>
            <w:pPr>
              <w:spacing w:line="360" w:lineRule="auto"/>
              <w:rPr>
                <w:rFonts w:hint="eastAsia" w:ascii="宋体" w:hAnsi="宋体" w:eastAsia="宋体" w:cs="宋体"/>
                <w:color w:val="FF0000"/>
                <w:sz w:val="21"/>
                <w:szCs w:val="21"/>
              </w:rPr>
            </w:pPr>
          </w:p>
        </w:tc>
        <w:tc>
          <w:tcPr>
            <w:tcW w:w="10455" w:type="dxa"/>
            <w:vAlign w:val="center"/>
          </w:tcPr>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审核条款：</w:t>
            </w:r>
          </w:p>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QMS-2015 :5.3岗位/职责 /权限；6.2质量目标及其实现的策划；7.1.2人员； 7.1.6组织知识；7.2能力；7.3意识；7.5文件化信息；9.1.1监视、测量、分析和评价总则；9.1.3分析与评价；9.2内部审核；10.2纠正措施；</w:t>
            </w:r>
          </w:p>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EMS-2015 </w:t>
            </w:r>
          </w:p>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5.3组织的角色、职责和权限; 6.1.2环境因素； 6.1.3合规义务；6.2目标及其达成的策划；7.2能力；7.3意识；7.5文件化信息； 8.1运行策划和控制；8.2应急准备和响应；9.1.1监视、测量、分析和评价总则；9.1.2符合性评估；9.2内部审核；10.2不符合和纠正措施；</w:t>
            </w:r>
          </w:p>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ISO 45001：2018</w:t>
            </w:r>
          </w:p>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5.3组织的角色、职责和权限；6.1.3法律法规要求和其他要求；6.1.2危险源辨识和职业安全风险评价； 6.2目标及其实现的策划；7.2能力；7.3意识；7.4信息和沟通；7.5文件化信息；8.1运行策划和控制；8.2应急准备和响应；9.1.1监视、测量、分析和评价总则； 9.1.2法律法规要求和其他要求的合规性评价；9.2内部审核；10.2纠正措施；</w:t>
            </w:r>
          </w:p>
        </w:tc>
        <w:tc>
          <w:tcPr>
            <w:tcW w:w="1134"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48" w:type="dxa"/>
          </w:tcPr>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组织的岗位职责和权限</w:t>
            </w:r>
          </w:p>
          <w:p>
            <w:pPr>
              <w:pStyle w:val="22"/>
              <w:spacing w:line="360" w:lineRule="auto"/>
              <w:rPr>
                <w:rFonts w:hint="eastAsia" w:ascii="宋体" w:hAnsi="宋体" w:eastAsia="宋体" w:cs="宋体"/>
                <w:bCs w:val="0"/>
                <w:spacing w:val="0"/>
                <w:kern w:val="2"/>
                <w:sz w:val="21"/>
                <w:szCs w:val="21"/>
                <w:lang w:val="en-US" w:eastAsia="zh-CN" w:bidi="ar-SA"/>
              </w:rPr>
            </w:pPr>
          </w:p>
        </w:tc>
        <w:tc>
          <w:tcPr>
            <w:tcW w:w="1272" w:type="dxa"/>
          </w:tcPr>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QEO5.3</w:t>
            </w:r>
          </w:p>
          <w:p>
            <w:pPr>
              <w:pStyle w:val="22"/>
              <w:spacing w:line="360" w:lineRule="auto"/>
              <w:rPr>
                <w:rFonts w:hint="eastAsia" w:ascii="宋体" w:hAnsi="宋体" w:eastAsia="宋体" w:cs="宋体"/>
                <w:bCs w:val="0"/>
                <w:spacing w:val="0"/>
                <w:kern w:val="2"/>
                <w:sz w:val="21"/>
                <w:szCs w:val="21"/>
                <w:lang w:val="en-US" w:eastAsia="zh-CN" w:bidi="ar-SA"/>
              </w:rPr>
            </w:pPr>
          </w:p>
        </w:tc>
        <w:tc>
          <w:tcPr>
            <w:tcW w:w="10455" w:type="dxa"/>
            <w:vAlign w:val="center"/>
          </w:tcPr>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行政部主要负责以下工作内容：</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1.协助领导做好各类会议的会务工作和落实会议作出的各项决定，负责会议记录；</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2.协助和处理公司日常行政事务工作；负责重要来信来访的处理及信息沟通和协商等；负责制定本单位职工培训年度计划，并组织实施；  </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3.负责职工人事档案与印章管理； </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4.负责事业编制人员岗位聘任工作；</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5.贯彻实施公司的质量、环境和职业健康安全及企业管理方针、目标、指标和管理方案；</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6.对本部门环境因素、危险源进行辨识和评价，制订控制措施；</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7.参与公司组织的应急演练；</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8.对工作场所进行风险控制，保护环境。</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与行政部负责人柳新店沟通，描述的职责和权限与一体化管理体系的职能分配表基本一致。</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848" w:type="dxa"/>
          </w:tcPr>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组织的环境因素、危险源辨识和职业安全风险评价</w:t>
            </w:r>
          </w:p>
        </w:tc>
        <w:tc>
          <w:tcPr>
            <w:tcW w:w="1272" w:type="dxa"/>
          </w:tcPr>
          <w:p>
            <w:pPr>
              <w:pStyle w:val="2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EO：6.1.2</w:t>
            </w:r>
          </w:p>
        </w:tc>
        <w:tc>
          <w:tcPr>
            <w:tcW w:w="10455" w:type="dxa"/>
            <w:vAlign w:val="center"/>
          </w:tcPr>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组织根据手册第6.1.2条款、《环境因素识别与评价管理程序》要求，由行政部负责指导各部门环境因素的调查、评价、汇总、登记、审定及更新，各部门负责组织实施，行政部负责汇总整理。</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组织《环境因素识别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组织按照《环境因素识别与评价程序》准则确定了重要环境因素，抽查组织《重要环境因素清单》内容如下：</w:t>
            </w:r>
          </w:p>
          <w:tbl>
            <w:tblPr>
              <w:tblStyle w:val="11"/>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60"/>
              <w:gridCol w:w="3157"/>
              <w:gridCol w:w="1843"/>
              <w:gridCol w:w="1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序号</w:t>
                  </w:r>
                </w:p>
              </w:tc>
              <w:tc>
                <w:tcPr>
                  <w:tcW w:w="1360" w:type="dxa"/>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环境因素</w:t>
                  </w:r>
                </w:p>
              </w:tc>
              <w:tc>
                <w:tcPr>
                  <w:tcW w:w="3157" w:type="dxa"/>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活动点/工序或部位</w:t>
                  </w:r>
                </w:p>
              </w:tc>
              <w:tc>
                <w:tcPr>
                  <w:tcW w:w="1843" w:type="dxa"/>
                  <w:noWrap w:val="0"/>
                  <w:vAlign w:val="center"/>
                </w:tcPr>
                <w:p>
                  <w:pPr>
                    <w:spacing w:line="360" w:lineRule="auto"/>
                    <w:ind w:left="-737" w:leftChars="-351" w:firstLine="644" w:firstLineChars="307"/>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环境影响</w:t>
                  </w:r>
                </w:p>
              </w:tc>
              <w:tc>
                <w:tcPr>
                  <w:tcW w:w="1230" w:type="dxa"/>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时态/状态</w:t>
                  </w:r>
                </w:p>
              </w:tc>
              <w:tc>
                <w:tcPr>
                  <w:tcW w:w="1710" w:type="dxa"/>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restart"/>
                  <w:tcBorders>
                    <w:bottom w:val="single" w:color="auto" w:sz="4" w:space="0"/>
                  </w:tcBorders>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p>
              </w:tc>
              <w:tc>
                <w:tcPr>
                  <w:tcW w:w="1360" w:type="dxa"/>
                  <w:vMerge w:val="restart"/>
                  <w:tcBorders>
                    <w:bottom w:val="single" w:color="auto" w:sz="4" w:space="0"/>
                  </w:tcBorders>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噪声的排放</w:t>
                  </w: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车间生产设备发出的噪声</w:t>
                  </w:r>
                </w:p>
              </w:tc>
              <w:tc>
                <w:tcPr>
                  <w:tcW w:w="1843" w:type="dxa"/>
                  <w:vMerge w:val="restart"/>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影响人体健康、社区居民休息</w:t>
                  </w:r>
                </w:p>
              </w:tc>
              <w:tc>
                <w:tcPr>
                  <w:tcW w:w="1230" w:type="dxa"/>
                  <w:vMerge w:val="restart"/>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现在/正常</w:t>
                  </w:r>
                </w:p>
              </w:tc>
              <w:tc>
                <w:tcPr>
                  <w:tcW w:w="1710" w:type="dxa"/>
                  <w:vMerge w:val="restart"/>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30" w:type="dxa"/>
                  <w:vMerge w:val="continue"/>
                  <w:tcBorders>
                    <w:bottom w:val="single" w:color="auto" w:sz="4" w:space="0"/>
                  </w:tcBorders>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1360" w:type="dxa"/>
                  <w:vMerge w:val="continue"/>
                  <w:tcBorders>
                    <w:bottom w:val="single" w:color="auto" w:sz="4" w:space="0"/>
                  </w:tcBorders>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场内的运输车、工具车等车辆运输作业时的噪声、厂房扩建</w:t>
                  </w:r>
                </w:p>
              </w:tc>
              <w:tc>
                <w:tcPr>
                  <w:tcW w:w="1843" w:type="dxa"/>
                  <w:vMerge w:val="continue"/>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p>
              </w:tc>
              <w:tc>
                <w:tcPr>
                  <w:tcW w:w="1230" w:type="dxa"/>
                  <w:vMerge w:val="continue"/>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p>
              </w:tc>
              <w:tc>
                <w:tcPr>
                  <w:tcW w:w="1710" w:type="dxa"/>
                  <w:vMerge w:val="continue"/>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30" w:type="dxa"/>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w:t>
                  </w:r>
                </w:p>
              </w:tc>
              <w:tc>
                <w:tcPr>
                  <w:tcW w:w="1360" w:type="dxa"/>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废水的排放</w:t>
                  </w: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生活废水的排放</w:t>
                  </w:r>
                </w:p>
              </w:tc>
              <w:tc>
                <w:tcPr>
                  <w:tcW w:w="1843"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水体污染</w:t>
                  </w:r>
                </w:p>
              </w:tc>
              <w:tc>
                <w:tcPr>
                  <w:tcW w:w="1230"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现在/正常</w:t>
                  </w:r>
                </w:p>
              </w:tc>
              <w:tc>
                <w:tcPr>
                  <w:tcW w:w="1710"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30" w:type="dxa"/>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w:t>
                  </w:r>
                </w:p>
              </w:tc>
              <w:tc>
                <w:tcPr>
                  <w:tcW w:w="1360" w:type="dxa"/>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废气的排放</w:t>
                  </w: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工艺废气（油墨废气、复合废气）的排放</w:t>
                  </w:r>
                </w:p>
              </w:tc>
              <w:tc>
                <w:tcPr>
                  <w:tcW w:w="1843"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大气污染</w:t>
                  </w:r>
                </w:p>
              </w:tc>
              <w:tc>
                <w:tcPr>
                  <w:tcW w:w="1230"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现在/正常</w:t>
                  </w:r>
                </w:p>
              </w:tc>
              <w:tc>
                <w:tcPr>
                  <w:tcW w:w="1710"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管理方案/环境影响运行控制控制程序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restart"/>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w:t>
                  </w:r>
                </w:p>
              </w:tc>
              <w:tc>
                <w:tcPr>
                  <w:tcW w:w="1360" w:type="dxa"/>
                  <w:vMerge w:val="restart"/>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资源的消耗</w:t>
                  </w: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生产用电、水等的消耗</w:t>
                  </w:r>
                </w:p>
              </w:tc>
              <w:tc>
                <w:tcPr>
                  <w:tcW w:w="1843" w:type="dxa"/>
                  <w:vMerge w:val="restart"/>
                  <w:noWrap w:val="0"/>
                  <w:vAlign w:val="top"/>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资源消耗</w:t>
                  </w:r>
                </w:p>
              </w:tc>
              <w:tc>
                <w:tcPr>
                  <w:tcW w:w="1230" w:type="dxa"/>
                  <w:vMerge w:val="restart"/>
                  <w:noWrap w:val="0"/>
                  <w:vAlign w:val="top"/>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现在/正常</w:t>
                  </w:r>
                </w:p>
              </w:tc>
              <w:tc>
                <w:tcPr>
                  <w:tcW w:w="1710" w:type="dxa"/>
                  <w:vMerge w:val="restart"/>
                  <w:noWrap w:val="0"/>
                  <w:vAlign w:val="top"/>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continue"/>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1360" w:type="dxa"/>
                  <w:vMerge w:val="continue"/>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办公用电、水等的消耗</w:t>
                  </w:r>
                </w:p>
              </w:tc>
              <w:tc>
                <w:tcPr>
                  <w:tcW w:w="1843"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230"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710"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430" w:type="dxa"/>
                  <w:vMerge w:val="restart"/>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w:t>
                  </w:r>
                </w:p>
              </w:tc>
              <w:tc>
                <w:tcPr>
                  <w:tcW w:w="1360" w:type="dxa"/>
                  <w:vMerge w:val="restart"/>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潜在火灾事故的发生</w:t>
                  </w: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办公室的易燃物品管理不慎，吸烟等明火引发的火灾</w:t>
                  </w:r>
                </w:p>
              </w:tc>
              <w:tc>
                <w:tcPr>
                  <w:tcW w:w="1843" w:type="dxa"/>
                  <w:vMerge w:val="restart"/>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大气、水体等综合性污染</w:t>
                  </w:r>
                </w:p>
              </w:tc>
              <w:tc>
                <w:tcPr>
                  <w:tcW w:w="1230" w:type="dxa"/>
                  <w:vMerge w:val="restart"/>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将来/紧急</w:t>
                  </w:r>
                </w:p>
              </w:tc>
              <w:tc>
                <w:tcPr>
                  <w:tcW w:w="1710" w:type="dxa"/>
                  <w:vMerge w:val="restart"/>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continue"/>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1360" w:type="dxa"/>
                  <w:vMerge w:val="continue"/>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3157" w:type="dxa"/>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车间和仓库包装材料等易燃品管理不慎引发的火灾</w:t>
                  </w:r>
                </w:p>
              </w:tc>
              <w:tc>
                <w:tcPr>
                  <w:tcW w:w="1843"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230"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710"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continue"/>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1360" w:type="dxa"/>
                  <w:vMerge w:val="continue"/>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3157" w:type="dxa"/>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电器短路火灾的发生</w:t>
                  </w:r>
                </w:p>
              </w:tc>
              <w:tc>
                <w:tcPr>
                  <w:tcW w:w="1843"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230"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710" w:type="dxa"/>
                  <w:vMerge w:val="continue"/>
                  <w:noWrap w:val="0"/>
                  <w:vAlign w:val="top"/>
                </w:tcPr>
                <w:p>
                  <w:pPr>
                    <w:spacing w:line="360" w:lineRule="auto"/>
                    <w:rPr>
                      <w:rFonts w:hint="eastAsia" w:ascii="宋体" w:hAnsi="宋体" w:eastAsia="宋体" w:cs="宋体"/>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continue"/>
                  <w:tcBorders>
                    <w:bottom w:val="single" w:color="auto" w:sz="4" w:space="0"/>
                  </w:tcBorders>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1360" w:type="dxa"/>
                  <w:vMerge w:val="continue"/>
                  <w:tcBorders>
                    <w:bottom w:val="single" w:color="auto" w:sz="4" w:space="0"/>
                  </w:tcBorders>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p>
              </w:tc>
              <w:tc>
                <w:tcPr>
                  <w:tcW w:w="3157" w:type="dxa"/>
                  <w:tcBorders>
                    <w:bottom w:val="single" w:color="auto" w:sz="4" w:space="0"/>
                  </w:tcBorders>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化学品管理不善引发的火灾、化学品使用潜在泄漏</w:t>
                  </w:r>
                </w:p>
              </w:tc>
              <w:tc>
                <w:tcPr>
                  <w:tcW w:w="1843" w:type="dxa"/>
                  <w:vMerge w:val="continue"/>
                  <w:tcBorders>
                    <w:bottom w:val="single" w:color="auto" w:sz="4" w:space="0"/>
                  </w:tcBorders>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230" w:type="dxa"/>
                  <w:vMerge w:val="continue"/>
                  <w:tcBorders>
                    <w:bottom w:val="single" w:color="auto" w:sz="4" w:space="0"/>
                  </w:tcBorders>
                  <w:noWrap w:val="0"/>
                  <w:vAlign w:val="top"/>
                </w:tcPr>
                <w:p>
                  <w:pPr>
                    <w:spacing w:line="360" w:lineRule="auto"/>
                    <w:rPr>
                      <w:rFonts w:hint="eastAsia" w:ascii="宋体" w:hAnsi="宋体" w:eastAsia="宋体" w:cs="宋体"/>
                      <w:bCs w:val="0"/>
                      <w:spacing w:val="0"/>
                      <w:kern w:val="2"/>
                      <w:sz w:val="21"/>
                      <w:szCs w:val="21"/>
                      <w:lang w:val="en-US" w:eastAsia="zh-CN" w:bidi="ar-SA"/>
                    </w:rPr>
                  </w:pPr>
                </w:p>
              </w:tc>
              <w:tc>
                <w:tcPr>
                  <w:tcW w:w="1710" w:type="dxa"/>
                  <w:vMerge w:val="continue"/>
                  <w:tcBorders>
                    <w:bottom w:val="single" w:color="auto" w:sz="4" w:space="0"/>
                  </w:tcBorders>
                  <w:noWrap w:val="0"/>
                  <w:vAlign w:val="top"/>
                </w:tcPr>
                <w:p>
                  <w:pPr>
                    <w:spacing w:line="360" w:lineRule="auto"/>
                    <w:rPr>
                      <w:rFonts w:hint="eastAsia" w:ascii="宋体" w:hAnsi="宋体" w:eastAsia="宋体" w:cs="宋体"/>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restart"/>
                  <w:noWrap w:val="0"/>
                  <w:vAlign w:val="center"/>
                </w:tcPr>
                <w:p>
                  <w:pPr>
                    <w:spacing w:line="360" w:lineRule="auto"/>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w:t>
                  </w:r>
                </w:p>
              </w:tc>
              <w:tc>
                <w:tcPr>
                  <w:tcW w:w="1360" w:type="dxa"/>
                  <w:vMerge w:val="restart"/>
                  <w:noWrap w:val="0"/>
                  <w:vAlign w:val="center"/>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固废的排放</w:t>
                  </w:r>
                </w:p>
              </w:tc>
              <w:tc>
                <w:tcPr>
                  <w:tcW w:w="3157" w:type="dxa"/>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危险废物（废油墨桶、废抹布、废活性炭）的排放</w:t>
                  </w:r>
                </w:p>
              </w:tc>
              <w:tc>
                <w:tcPr>
                  <w:tcW w:w="1843" w:type="dxa"/>
                  <w:vMerge w:val="restart"/>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固废的综合性污染</w:t>
                  </w:r>
                </w:p>
              </w:tc>
              <w:tc>
                <w:tcPr>
                  <w:tcW w:w="1230" w:type="dxa"/>
                  <w:vMerge w:val="restart"/>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将来/正常</w:t>
                  </w:r>
                </w:p>
              </w:tc>
              <w:tc>
                <w:tcPr>
                  <w:tcW w:w="1710" w:type="dxa"/>
                  <w:vMerge w:val="restart"/>
                  <w:noWrap w:val="0"/>
                  <w:vAlign w:val="center"/>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430" w:type="dxa"/>
                  <w:vMerge w:val="continue"/>
                  <w:noWrap w:val="0"/>
                  <w:vAlign w:val="center"/>
                </w:tcPr>
                <w:p>
                  <w:pPr>
                    <w:spacing w:line="360" w:lineRule="auto"/>
                    <w:jc w:val="center"/>
                    <w:rPr>
                      <w:rFonts w:hint="eastAsia" w:ascii="宋体" w:hAnsi="宋体" w:eastAsia="宋体" w:cs="宋体"/>
                      <w:sz w:val="21"/>
                      <w:szCs w:val="21"/>
                    </w:rPr>
                  </w:pPr>
                </w:p>
              </w:tc>
              <w:tc>
                <w:tcPr>
                  <w:tcW w:w="1360" w:type="dxa"/>
                  <w:vMerge w:val="continue"/>
                  <w:noWrap w:val="0"/>
                  <w:vAlign w:val="center"/>
                </w:tcPr>
                <w:p>
                  <w:pPr>
                    <w:spacing w:line="360" w:lineRule="auto"/>
                    <w:jc w:val="center"/>
                    <w:rPr>
                      <w:rFonts w:hint="eastAsia" w:ascii="宋体" w:hAnsi="宋体" w:eastAsia="宋体" w:cs="宋体"/>
                      <w:sz w:val="21"/>
                      <w:szCs w:val="21"/>
                    </w:rPr>
                  </w:pPr>
                </w:p>
              </w:tc>
              <w:tc>
                <w:tcPr>
                  <w:tcW w:w="3157"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一般固废（废纸、废薄膜、生活垃圾的排放</w:t>
                  </w:r>
                </w:p>
              </w:tc>
              <w:tc>
                <w:tcPr>
                  <w:tcW w:w="1843" w:type="dxa"/>
                  <w:vMerge w:val="continue"/>
                  <w:noWrap w:val="0"/>
                  <w:vAlign w:val="center"/>
                </w:tcPr>
                <w:p>
                  <w:pPr>
                    <w:spacing w:line="360" w:lineRule="auto"/>
                    <w:rPr>
                      <w:rFonts w:hint="eastAsia" w:ascii="宋体" w:hAnsi="宋体" w:eastAsia="宋体" w:cs="宋体"/>
                      <w:sz w:val="21"/>
                      <w:szCs w:val="21"/>
                    </w:rPr>
                  </w:pPr>
                </w:p>
              </w:tc>
              <w:tc>
                <w:tcPr>
                  <w:tcW w:w="1230" w:type="dxa"/>
                  <w:vMerge w:val="continue"/>
                  <w:noWrap w:val="0"/>
                  <w:vAlign w:val="center"/>
                </w:tcPr>
                <w:p>
                  <w:pPr>
                    <w:spacing w:line="360" w:lineRule="auto"/>
                    <w:rPr>
                      <w:rFonts w:hint="eastAsia" w:ascii="宋体" w:hAnsi="宋体" w:eastAsia="宋体" w:cs="宋体"/>
                      <w:sz w:val="21"/>
                      <w:szCs w:val="21"/>
                    </w:rPr>
                  </w:pPr>
                </w:p>
              </w:tc>
              <w:tc>
                <w:tcPr>
                  <w:tcW w:w="1710" w:type="dxa"/>
                  <w:vMerge w:val="continue"/>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430" w:type="dxa"/>
                  <w:vMerge w:val="continue"/>
                  <w:noWrap w:val="0"/>
                  <w:vAlign w:val="center"/>
                </w:tcPr>
                <w:p>
                  <w:pPr>
                    <w:spacing w:line="360" w:lineRule="auto"/>
                    <w:jc w:val="center"/>
                    <w:rPr>
                      <w:rFonts w:hint="eastAsia" w:ascii="宋体" w:hAnsi="宋体" w:eastAsia="宋体" w:cs="宋体"/>
                      <w:sz w:val="21"/>
                      <w:szCs w:val="21"/>
                    </w:rPr>
                  </w:pPr>
                </w:p>
              </w:tc>
              <w:tc>
                <w:tcPr>
                  <w:tcW w:w="1360" w:type="dxa"/>
                  <w:vMerge w:val="continue"/>
                  <w:noWrap w:val="0"/>
                  <w:vAlign w:val="center"/>
                </w:tcPr>
                <w:p>
                  <w:pPr>
                    <w:spacing w:line="360" w:lineRule="auto"/>
                    <w:jc w:val="center"/>
                    <w:rPr>
                      <w:rFonts w:hint="eastAsia" w:ascii="宋体" w:hAnsi="宋体" w:eastAsia="宋体" w:cs="宋体"/>
                      <w:sz w:val="21"/>
                      <w:szCs w:val="21"/>
                    </w:rPr>
                  </w:pPr>
                </w:p>
              </w:tc>
              <w:tc>
                <w:tcPr>
                  <w:tcW w:w="3157"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办公固废（废电池、废硒鼓、墨盒）的排放</w:t>
                  </w:r>
                </w:p>
              </w:tc>
              <w:tc>
                <w:tcPr>
                  <w:tcW w:w="1843" w:type="dxa"/>
                  <w:vMerge w:val="continue"/>
                  <w:noWrap w:val="0"/>
                  <w:vAlign w:val="center"/>
                </w:tcPr>
                <w:p>
                  <w:pPr>
                    <w:spacing w:line="360" w:lineRule="auto"/>
                    <w:rPr>
                      <w:rFonts w:hint="eastAsia" w:ascii="宋体" w:hAnsi="宋体" w:eastAsia="宋体" w:cs="宋体"/>
                      <w:sz w:val="21"/>
                      <w:szCs w:val="21"/>
                    </w:rPr>
                  </w:pPr>
                </w:p>
              </w:tc>
              <w:tc>
                <w:tcPr>
                  <w:tcW w:w="1230" w:type="dxa"/>
                  <w:vMerge w:val="continue"/>
                  <w:noWrap w:val="0"/>
                  <w:vAlign w:val="center"/>
                </w:tcPr>
                <w:p>
                  <w:pPr>
                    <w:spacing w:line="360" w:lineRule="auto"/>
                    <w:rPr>
                      <w:rFonts w:hint="eastAsia" w:ascii="宋体" w:hAnsi="宋体" w:eastAsia="宋体" w:cs="宋体"/>
                      <w:sz w:val="21"/>
                      <w:szCs w:val="21"/>
                    </w:rPr>
                  </w:pPr>
                </w:p>
              </w:tc>
              <w:tc>
                <w:tcPr>
                  <w:tcW w:w="1710" w:type="dxa"/>
                  <w:vMerge w:val="continue"/>
                  <w:noWrap w:val="0"/>
                  <w:vAlign w:val="center"/>
                </w:tcPr>
                <w:p>
                  <w:pPr>
                    <w:spacing w:line="360" w:lineRule="auto"/>
                    <w:rPr>
                      <w:rFonts w:hint="eastAsia" w:ascii="宋体" w:hAnsi="宋体" w:eastAsia="宋体" w:cs="宋体"/>
                      <w:sz w:val="21"/>
                      <w:szCs w:val="21"/>
                    </w:rPr>
                  </w:pPr>
                </w:p>
              </w:tc>
            </w:tr>
          </w:tbl>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重要环境因素识别、评价与实际吻合，管理方案明确控制措施基本能够满足控制要求。</w:t>
            </w:r>
          </w:p>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根据手册6.1.2条款、《危险源辨识与风险评价控制措施管理程序》要求，由行政部负责编制《危险源风险辨识和评价表》，指导各职能部门（基层单位）开展危险、有害因素风险识别、评价，负责各职能部门（基层单位）风险评价记录的审查与控制效果有效性验证。组织有建立、更新《不可接受风险清单》。抽查组织不可接受风险内容如下：</w:t>
            </w:r>
          </w:p>
          <w:tbl>
            <w:tblPr>
              <w:tblStyle w:val="11"/>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序号</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活动点/工序/部位</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潜在的危险因素</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可能导致的结果</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p>
              </w:tc>
              <w:tc>
                <w:tcPr>
                  <w:tcW w:w="2370" w:type="dxa"/>
                  <w:noWrap w:val="0"/>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办公场所、车间、仓库等区域的易燃品的堆放</w:t>
                  </w:r>
                </w:p>
              </w:tc>
              <w:tc>
                <w:tcPr>
                  <w:tcW w:w="2490" w:type="dxa"/>
                  <w:noWrap w:val="0"/>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出现明火引起的火灾</w:t>
                  </w:r>
                </w:p>
              </w:tc>
              <w:tc>
                <w:tcPr>
                  <w:tcW w:w="1380" w:type="dxa"/>
                  <w:noWrap w:val="0"/>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人员伤亡</w:t>
                  </w:r>
                </w:p>
              </w:tc>
              <w:tc>
                <w:tcPr>
                  <w:tcW w:w="3269" w:type="dxa"/>
                  <w:noWrap w:val="0"/>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车间生产、物资装卸及运输等作业不当</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引起人员机械等碰撞</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人员的人身伤害</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压力容器设备</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设备老化或操作不当发生爆炸</w:t>
                  </w:r>
                </w:p>
              </w:tc>
              <w:tc>
                <w:tcPr>
                  <w:tcW w:w="1380" w:type="dxa"/>
                  <w:noWrap w:val="0"/>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人员伤亡</w:t>
                  </w:r>
                </w:p>
              </w:tc>
              <w:tc>
                <w:tcPr>
                  <w:tcW w:w="3269" w:type="dxa"/>
                  <w:noWrap w:val="0"/>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生产和办公用电</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设备损坏，线路老化，电路设置不符合要求</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人员触电，火灾事故等</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规范操作，坚持线路检查，做好应急响应工作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30"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生产车间</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噪声伤害、工艺废气等对人体伤害，机械设备操作不当造成机械伤害</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人员的人身伤害</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车间、仓库</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危化品泄漏</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人员的人身伤害</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做好防护和应急响应工作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24"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职业健康安全</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职业病的发生</w:t>
                  </w:r>
                </w:p>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传染病的传播</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职业健康安全</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规范操作，佩戴防护用具</w:t>
                  </w:r>
                </w:p>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定期进行体检</w:t>
                  </w:r>
                </w:p>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制定应急预案，全员进行安全知识培训，提高自我防护意识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生产线员工、员工上下班、业务员出差</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高温中暑、交通意外</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人员伤亡</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做好防护和应急响应工作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64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9</w:t>
                  </w:r>
                </w:p>
              </w:tc>
              <w:tc>
                <w:tcPr>
                  <w:tcW w:w="237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台风等自然灾害</w:t>
                  </w:r>
                </w:p>
              </w:tc>
              <w:tc>
                <w:tcPr>
                  <w:tcW w:w="249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自然灾害紧急情况</w:t>
                  </w:r>
                </w:p>
              </w:tc>
              <w:tc>
                <w:tcPr>
                  <w:tcW w:w="1380"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人员伤亡</w:t>
                  </w:r>
                </w:p>
              </w:tc>
              <w:tc>
                <w:tcPr>
                  <w:tcW w:w="3269" w:type="dxa"/>
                  <w:noWrap w:val="0"/>
                  <w:vAlign w:val="center"/>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做好防护和应急响应工作</w:t>
                  </w:r>
                </w:p>
              </w:tc>
            </w:tr>
          </w:tbl>
          <w:p>
            <w:pPr>
              <w:pStyle w:val="2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职业健康安全风险与危险源辨识清单判定的内容一致，行政部负责人柳新店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848" w:type="dxa"/>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目标及其实现的策划总要求</w:t>
            </w:r>
          </w:p>
          <w:p>
            <w:pPr>
              <w:spacing w:line="360" w:lineRule="auto"/>
              <w:rPr>
                <w:rFonts w:hint="eastAsia" w:ascii="宋体" w:hAnsi="宋体" w:eastAsia="宋体" w:cs="宋体"/>
                <w:bCs w:val="0"/>
                <w:spacing w:val="0"/>
                <w:kern w:val="2"/>
                <w:sz w:val="21"/>
                <w:szCs w:val="21"/>
                <w:lang w:val="en-US" w:eastAsia="zh-CN" w:bidi="ar-SA"/>
              </w:rPr>
            </w:pPr>
          </w:p>
        </w:tc>
        <w:tc>
          <w:tcPr>
            <w:tcW w:w="1272" w:type="dxa"/>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QEO6.2</w:t>
            </w:r>
          </w:p>
          <w:p>
            <w:pPr>
              <w:spacing w:line="360" w:lineRule="auto"/>
              <w:rPr>
                <w:rFonts w:hint="eastAsia" w:ascii="宋体" w:hAnsi="宋体" w:eastAsia="宋体" w:cs="宋体"/>
                <w:bCs w:val="0"/>
                <w:spacing w:val="0"/>
                <w:kern w:val="2"/>
                <w:sz w:val="21"/>
                <w:szCs w:val="21"/>
                <w:lang w:val="en-US" w:eastAsia="zh-CN" w:bidi="ar-SA"/>
              </w:rPr>
            </w:pPr>
          </w:p>
          <w:p>
            <w:pPr>
              <w:spacing w:line="360" w:lineRule="auto"/>
              <w:rPr>
                <w:rFonts w:hint="eastAsia" w:ascii="宋体" w:hAnsi="宋体" w:eastAsia="宋体" w:cs="宋体"/>
                <w:bCs w:val="0"/>
                <w:spacing w:val="0"/>
                <w:kern w:val="2"/>
                <w:sz w:val="21"/>
                <w:szCs w:val="21"/>
                <w:lang w:val="en-US" w:eastAsia="zh-CN" w:bidi="ar-SA"/>
              </w:rPr>
            </w:pPr>
          </w:p>
        </w:tc>
        <w:tc>
          <w:tcPr>
            <w:tcW w:w="10455" w:type="dxa"/>
            <w:vAlign w:val="center"/>
          </w:tcPr>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涉及行政部的质量、环境和职业健康安全分解的管理目标包括：</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273050</wp:posOffset>
                  </wp:positionH>
                  <wp:positionV relativeFrom="paragraph">
                    <wp:posOffset>31750</wp:posOffset>
                  </wp:positionV>
                  <wp:extent cx="4183380" cy="841375"/>
                  <wp:effectExtent l="0" t="0" r="7620"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183380" cy="841375"/>
                          </a:xfrm>
                          <a:prstGeom prst="rect">
                            <a:avLst/>
                          </a:prstGeom>
                          <a:noFill/>
                          <a:ln>
                            <a:noFill/>
                          </a:ln>
                        </pic:spPr>
                      </pic:pic>
                    </a:graphicData>
                  </a:graphic>
                </wp:anchor>
              </w:drawing>
            </w:r>
          </w:p>
          <w:p>
            <w:pPr>
              <w:pStyle w:val="2"/>
              <w:rPr>
                <w:rFonts w:hint="eastAsia" w:ascii="宋体" w:hAnsi="宋体" w:eastAsia="宋体" w:cs="宋体"/>
                <w:bCs w:val="0"/>
                <w:spacing w:val="0"/>
                <w:kern w:val="2"/>
                <w:sz w:val="21"/>
                <w:szCs w:val="21"/>
                <w:lang w:val="en-US" w:eastAsia="zh-CN" w:bidi="ar-SA"/>
              </w:rPr>
            </w:pPr>
          </w:p>
          <w:p>
            <w:pPr>
              <w:spacing w:line="360" w:lineRule="auto"/>
              <w:ind w:left="420" w:hanging="420" w:hanging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部门目标与分解基本合理，均有相应的统计方法、管理方案和监视频率，责任部门和责任人明确，基本满足控制要求。</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2021年10月～2022年9月目标监视记录包括：1.年度质量目标完成情况统计表；2.年度环境目标、指标及管理方案完成情况登记表；3.职业健康安全目标、指标及管理方案完成情况登记表；均有相应的统计数据记录，更新及时，责任人明确，符合监视和更新要求。</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48" w:type="dxa"/>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人员及其能力和意识</w:t>
            </w:r>
          </w:p>
        </w:tc>
        <w:tc>
          <w:tcPr>
            <w:tcW w:w="1272" w:type="dxa"/>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Q7.1.2/</w:t>
            </w:r>
          </w:p>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EO7.2/7.3</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组织管理体系覆盖45人，与行政部负责人柳新店沟通，行政部根据各部门的需要配备管理体系运行所需的人员，人员均经过相关培训，配置充分，基本能够满足体系运行需求。</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对各岗位能力规定的要求包括了专业技能、岗位资格、能力、工作经验等。查看《岗位说明书》，要求主要对各部门负责人及关键岗位能力要求分别从教育程度、经验、经历、技能要求等方面进行了规定，抽查行政部经理入职要求如下：</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学    历：本科文化，经济学类专业优先考虑</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工作经历：熟悉人事行政相关工作，了解相关法律法规；</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技    能：有人力资源师证优先；</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性    格：有亲和力；</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年    龄：30岁上。</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组织的人员能力确定基本能够满足控制要求。</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抽查培训计划和培训实施记录如下：</w:t>
            </w:r>
          </w:p>
          <w:tbl>
            <w:tblPr>
              <w:tblStyle w:val="12"/>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776"/>
              <w:gridCol w:w="2281"/>
              <w:gridCol w:w="176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75" w:type="dxa"/>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计划培训日期/培训实施日期</w:t>
                  </w:r>
                </w:p>
              </w:tc>
              <w:tc>
                <w:tcPr>
                  <w:tcW w:w="1776" w:type="dxa"/>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培训记录内容</w:t>
                  </w:r>
                </w:p>
              </w:tc>
              <w:tc>
                <w:tcPr>
                  <w:tcW w:w="2281" w:type="dxa"/>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参加人员情况</w:t>
                  </w:r>
                </w:p>
              </w:tc>
              <w:tc>
                <w:tcPr>
                  <w:tcW w:w="1765" w:type="dxa"/>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评价方式</w:t>
                  </w:r>
                </w:p>
              </w:tc>
              <w:tc>
                <w:tcPr>
                  <w:tcW w:w="1861"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75"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2022年7月/2022年7月15日</w:t>
                  </w:r>
                </w:p>
              </w:tc>
              <w:tc>
                <w:tcPr>
                  <w:tcW w:w="1776"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质量、环境、安全基础知识培训</w:t>
                  </w:r>
                </w:p>
              </w:tc>
              <w:tc>
                <w:tcPr>
                  <w:tcW w:w="2281"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各部门主管</w:t>
                  </w:r>
                </w:p>
              </w:tc>
              <w:tc>
                <w:tcPr>
                  <w:tcW w:w="1765"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w:char="00A8"/>
                  </w:r>
                  <w:r>
                    <w:rPr>
                      <w:rFonts w:hint="eastAsia" w:ascii="宋体" w:hAnsi="宋体" w:eastAsia="宋体" w:cs="宋体"/>
                      <w:bCs w:val="0"/>
                      <w:spacing w:val="0"/>
                      <w:kern w:val="2"/>
                      <w:sz w:val="18"/>
                      <w:szCs w:val="18"/>
                      <w:lang w:val="en-US" w:eastAsia="zh-CN" w:bidi="ar-SA"/>
                    </w:rPr>
                    <w:t xml:space="preserve">笔试 </w:t>
                  </w:r>
                  <w:r>
                    <w:rPr>
                      <w:rFonts w:hint="eastAsia" w:ascii="宋体" w:hAnsi="宋体" w:eastAsia="宋体" w:cs="宋体"/>
                      <w:bCs w:val="0"/>
                      <w:spacing w:val="0"/>
                      <w:kern w:val="2"/>
                      <w:sz w:val="18"/>
                      <w:szCs w:val="18"/>
                      <w:lang w:val="en-US" w:eastAsia="zh-CN" w:bidi="ar-SA"/>
                    </w:rPr>
                    <w:sym w:font="Wingdings" w:char="00FE"/>
                  </w:r>
                  <w:r>
                    <w:rPr>
                      <w:rFonts w:hint="eastAsia" w:ascii="宋体" w:hAnsi="宋体" w:eastAsia="宋体" w:cs="宋体"/>
                      <w:bCs w:val="0"/>
                      <w:spacing w:val="0"/>
                      <w:kern w:val="2"/>
                      <w:sz w:val="18"/>
                      <w:szCs w:val="18"/>
                      <w:lang w:val="en-US" w:eastAsia="zh-CN" w:bidi="ar-SA"/>
                    </w:rPr>
                    <w:t>口试</w:t>
                  </w:r>
                </w:p>
              </w:tc>
              <w:tc>
                <w:tcPr>
                  <w:tcW w:w="1861"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2" w:char="0052"/>
                  </w:r>
                  <w:r>
                    <w:rPr>
                      <w:rFonts w:hint="eastAsia" w:ascii="宋体" w:hAnsi="宋体" w:eastAsia="宋体" w:cs="宋体"/>
                      <w:bCs w:val="0"/>
                      <w:spacing w:val="0"/>
                      <w:kern w:val="2"/>
                      <w:sz w:val="18"/>
                      <w:szCs w:val="18"/>
                      <w:lang w:val="en-US" w:eastAsia="zh-CN" w:bidi="ar-S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75"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2022年4月/2022年内审前</w:t>
                  </w:r>
                </w:p>
              </w:tc>
              <w:tc>
                <w:tcPr>
                  <w:tcW w:w="1776"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内部审核员培</w:t>
                  </w:r>
                  <w:r>
                    <w:rPr>
                      <w:rFonts w:hint="eastAsia" w:ascii="宋体" w:hAnsi="宋体" w:eastAsia="宋体" w:cs="宋体"/>
                      <w:sz w:val="18"/>
                      <w:szCs w:val="18"/>
                    </w:rPr>
                    <w:t>训</w:t>
                  </w:r>
                </w:p>
              </w:tc>
              <w:tc>
                <w:tcPr>
                  <w:tcW w:w="2281"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各部门主管及车间、仓库在岗人员</w:t>
                  </w:r>
                </w:p>
              </w:tc>
              <w:tc>
                <w:tcPr>
                  <w:tcW w:w="1765"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w:char="00A8"/>
                  </w:r>
                  <w:r>
                    <w:rPr>
                      <w:rFonts w:hint="eastAsia" w:ascii="宋体" w:hAnsi="宋体" w:eastAsia="宋体" w:cs="宋体"/>
                      <w:bCs w:val="0"/>
                      <w:spacing w:val="0"/>
                      <w:kern w:val="2"/>
                      <w:sz w:val="18"/>
                      <w:szCs w:val="18"/>
                      <w:lang w:val="en-US" w:eastAsia="zh-CN" w:bidi="ar-SA"/>
                    </w:rPr>
                    <w:t xml:space="preserve">笔试 </w:t>
                  </w:r>
                  <w:r>
                    <w:rPr>
                      <w:rFonts w:hint="eastAsia" w:ascii="宋体" w:hAnsi="宋体" w:eastAsia="宋体" w:cs="宋体"/>
                      <w:bCs w:val="0"/>
                      <w:spacing w:val="0"/>
                      <w:kern w:val="2"/>
                      <w:sz w:val="18"/>
                      <w:szCs w:val="18"/>
                      <w:lang w:val="en-US" w:eastAsia="zh-CN" w:bidi="ar-SA"/>
                    </w:rPr>
                    <w:sym w:font="Wingdings" w:char="00FE"/>
                  </w:r>
                  <w:r>
                    <w:rPr>
                      <w:rFonts w:hint="eastAsia" w:ascii="宋体" w:hAnsi="宋体" w:eastAsia="宋体" w:cs="宋体"/>
                      <w:bCs w:val="0"/>
                      <w:spacing w:val="0"/>
                      <w:kern w:val="2"/>
                      <w:sz w:val="18"/>
                      <w:szCs w:val="18"/>
                      <w:lang w:val="en-US" w:eastAsia="zh-CN" w:bidi="ar-SA"/>
                    </w:rPr>
                    <w:t>口试</w:t>
                  </w:r>
                </w:p>
              </w:tc>
              <w:tc>
                <w:tcPr>
                  <w:tcW w:w="1861"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2" w:char="0052"/>
                  </w:r>
                  <w:r>
                    <w:rPr>
                      <w:rFonts w:hint="eastAsia" w:ascii="宋体" w:hAnsi="宋体" w:eastAsia="宋体" w:cs="宋体"/>
                      <w:bCs w:val="0"/>
                      <w:spacing w:val="0"/>
                      <w:kern w:val="2"/>
                      <w:sz w:val="18"/>
                      <w:szCs w:val="18"/>
                      <w:lang w:val="en-US" w:eastAsia="zh-CN" w:bidi="ar-SA"/>
                    </w:rPr>
                    <w:t xml:space="preserve">有效  </w:t>
                  </w:r>
                  <w:r>
                    <w:rPr>
                      <w:rFonts w:hint="eastAsia" w:ascii="宋体" w:hAnsi="宋体" w:eastAsia="宋体" w:cs="宋体"/>
                      <w:bCs w:val="0"/>
                      <w:spacing w:val="0"/>
                      <w:kern w:val="2"/>
                      <w:sz w:val="18"/>
                      <w:szCs w:val="18"/>
                      <w:lang w:val="en-US" w:eastAsia="zh-CN" w:bidi="ar-SA"/>
                    </w:rPr>
                    <w:sym w:font="Wingdings 2" w:char="00A3"/>
                  </w:r>
                  <w:r>
                    <w:rPr>
                      <w:rFonts w:hint="eastAsia" w:ascii="宋体" w:hAnsi="宋体" w:eastAsia="宋体" w:cs="宋体"/>
                      <w:bCs w:val="0"/>
                      <w:spacing w:val="0"/>
                      <w:kern w:val="2"/>
                      <w:sz w:val="18"/>
                      <w:szCs w:val="18"/>
                      <w:lang w:val="en-US" w:eastAsia="zh-CN" w:bidi="ar-S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075"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2022年10月/2022年10月25日</w:t>
                  </w:r>
                </w:p>
              </w:tc>
              <w:tc>
                <w:tcPr>
                  <w:tcW w:w="1776"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危废弃物特性知识培训</w:t>
                  </w:r>
                </w:p>
              </w:tc>
              <w:tc>
                <w:tcPr>
                  <w:tcW w:w="2281"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全厂人员</w:t>
                  </w:r>
                </w:p>
              </w:tc>
              <w:tc>
                <w:tcPr>
                  <w:tcW w:w="1765"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w:char="00A8"/>
                  </w:r>
                  <w:r>
                    <w:rPr>
                      <w:rFonts w:hint="eastAsia" w:ascii="宋体" w:hAnsi="宋体" w:eastAsia="宋体" w:cs="宋体"/>
                      <w:bCs w:val="0"/>
                      <w:spacing w:val="0"/>
                      <w:kern w:val="2"/>
                      <w:sz w:val="18"/>
                      <w:szCs w:val="18"/>
                      <w:lang w:val="en-US" w:eastAsia="zh-CN" w:bidi="ar-SA"/>
                    </w:rPr>
                    <w:t xml:space="preserve">笔试 </w:t>
                  </w:r>
                  <w:r>
                    <w:rPr>
                      <w:rFonts w:hint="eastAsia" w:ascii="宋体" w:hAnsi="宋体" w:eastAsia="宋体" w:cs="宋体"/>
                      <w:bCs w:val="0"/>
                      <w:spacing w:val="0"/>
                      <w:kern w:val="2"/>
                      <w:sz w:val="18"/>
                      <w:szCs w:val="18"/>
                      <w:lang w:val="en-US" w:eastAsia="zh-CN" w:bidi="ar-SA"/>
                    </w:rPr>
                    <w:sym w:font="Wingdings" w:char="00FE"/>
                  </w:r>
                  <w:r>
                    <w:rPr>
                      <w:rFonts w:hint="eastAsia" w:ascii="宋体" w:hAnsi="宋体" w:eastAsia="宋体" w:cs="宋体"/>
                      <w:bCs w:val="0"/>
                      <w:spacing w:val="0"/>
                      <w:kern w:val="2"/>
                      <w:sz w:val="18"/>
                      <w:szCs w:val="18"/>
                      <w:lang w:val="en-US" w:eastAsia="zh-CN" w:bidi="ar-SA"/>
                    </w:rPr>
                    <w:t>口试</w:t>
                  </w:r>
                </w:p>
              </w:tc>
              <w:tc>
                <w:tcPr>
                  <w:tcW w:w="1861"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2" w:char="0052"/>
                  </w:r>
                  <w:r>
                    <w:rPr>
                      <w:rFonts w:hint="eastAsia" w:ascii="宋体" w:hAnsi="宋体" w:eastAsia="宋体" w:cs="宋体"/>
                      <w:bCs w:val="0"/>
                      <w:spacing w:val="0"/>
                      <w:kern w:val="2"/>
                      <w:sz w:val="18"/>
                      <w:szCs w:val="18"/>
                      <w:lang w:val="en-US" w:eastAsia="zh-CN" w:bidi="ar-SA"/>
                    </w:rPr>
                    <w:t>有效  □不足</w:t>
                  </w:r>
                </w:p>
              </w:tc>
            </w:tr>
          </w:tbl>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培训实施记录与培训计划基本一致，基本符合标准要求。查看组织人员能力证书包括特种设备和特种作业人员证书，均在有效期内，满足要求，抽查内容如下：</w:t>
            </w:r>
          </w:p>
          <w:tbl>
            <w:tblPr>
              <w:tblStyle w:val="12"/>
              <w:tblpPr w:leftFromText="180" w:rightFromText="180" w:vertAnchor="text" w:horzAnchor="page" w:tblpX="164" w:tblpY="10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978"/>
              <w:gridCol w:w="2450"/>
              <w:gridCol w:w="2051"/>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45" w:type="dxa"/>
                  <w:shd w:val="clear" w:color="auto" w:fill="auto"/>
                </w:tcPr>
                <w:p>
                  <w:pPr>
                    <w:spacing w:line="360" w:lineRule="auto"/>
                    <w:jc w:val="left"/>
                    <w:rPr>
                      <w:rFonts w:hint="eastAsia" w:ascii="宋体" w:hAnsi="宋体" w:eastAsia="宋体" w:cs="宋体"/>
                      <w:b w:val="0"/>
                      <w:bCs w:val="0"/>
                      <w:spacing w:val="0"/>
                      <w:kern w:val="2"/>
                      <w:sz w:val="18"/>
                      <w:szCs w:val="18"/>
                      <w:lang w:val="en-US" w:eastAsia="zh-CN" w:bidi="ar-SA"/>
                    </w:rPr>
                  </w:pPr>
                  <w:r>
                    <w:rPr>
                      <w:rFonts w:hint="eastAsia" w:ascii="宋体" w:hAnsi="宋体" w:eastAsia="宋体" w:cs="宋体"/>
                      <w:b w:val="0"/>
                      <w:bCs w:val="0"/>
                      <w:spacing w:val="0"/>
                      <w:kern w:val="2"/>
                      <w:sz w:val="18"/>
                      <w:szCs w:val="18"/>
                      <w:lang w:val="en-US" w:eastAsia="zh-CN" w:bidi="ar-SA"/>
                    </w:rPr>
                    <w:t>特种设备作业人员</w:t>
                  </w:r>
                </w:p>
              </w:tc>
              <w:tc>
                <w:tcPr>
                  <w:tcW w:w="978" w:type="dxa"/>
                  <w:shd w:val="clear" w:color="auto" w:fill="auto"/>
                </w:tcPr>
                <w:p>
                  <w:pPr>
                    <w:spacing w:line="360" w:lineRule="auto"/>
                    <w:jc w:val="left"/>
                    <w:rPr>
                      <w:rFonts w:hint="eastAsia" w:ascii="宋体" w:hAnsi="宋体" w:eastAsia="宋体" w:cs="宋体"/>
                      <w:b w:val="0"/>
                      <w:bCs w:val="0"/>
                      <w:spacing w:val="0"/>
                      <w:kern w:val="2"/>
                      <w:sz w:val="18"/>
                      <w:szCs w:val="18"/>
                      <w:lang w:val="en-US" w:eastAsia="zh-CN" w:bidi="ar-SA"/>
                    </w:rPr>
                  </w:pPr>
                  <w:r>
                    <w:rPr>
                      <w:rFonts w:hint="eastAsia" w:ascii="宋体" w:hAnsi="宋体" w:eastAsia="宋体" w:cs="宋体"/>
                      <w:b w:val="0"/>
                      <w:bCs w:val="0"/>
                      <w:spacing w:val="0"/>
                      <w:kern w:val="2"/>
                      <w:sz w:val="18"/>
                      <w:szCs w:val="18"/>
                      <w:lang w:val="en-US" w:eastAsia="zh-CN" w:bidi="ar-SA"/>
                    </w:rPr>
                    <w:t>姓名</w:t>
                  </w:r>
                </w:p>
              </w:tc>
              <w:tc>
                <w:tcPr>
                  <w:tcW w:w="2450" w:type="dxa"/>
                  <w:shd w:val="clear" w:color="auto" w:fill="auto"/>
                </w:tcPr>
                <w:p>
                  <w:pPr>
                    <w:spacing w:line="360" w:lineRule="auto"/>
                    <w:ind w:firstLine="360" w:firstLineChars="200"/>
                    <w:jc w:val="left"/>
                    <w:rPr>
                      <w:rFonts w:hint="eastAsia" w:ascii="宋体" w:hAnsi="宋体" w:eastAsia="宋体" w:cs="宋体"/>
                      <w:b w:val="0"/>
                      <w:bCs w:val="0"/>
                      <w:spacing w:val="0"/>
                      <w:kern w:val="2"/>
                      <w:sz w:val="18"/>
                      <w:szCs w:val="18"/>
                      <w:lang w:val="en-US" w:eastAsia="zh-CN" w:bidi="ar-SA"/>
                    </w:rPr>
                  </w:pPr>
                  <w:r>
                    <w:rPr>
                      <w:rFonts w:hint="eastAsia" w:ascii="宋体" w:hAnsi="宋体" w:eastAsia="宋体" w:cs="宋体"/>
                      <w:b w:val="0"/>
                      <w:bCs w:val="0"/>
                      <w:spacing w:val="0"/>
                      <w:kern w:val="2"/>
                      <w:sz w:val="18"/>
                      <w:szCs w:val="18"/>
                      <w:lang w:val="en-US" w:eastAsia="zh-CN" w:bidi="ar-SA"/>
                    </w:rPr>
                    <w:t>资格证书编号</w:t>
                  </w:r>
                </w:p>
              </w:tc>
              <w:tc>
                <w:tcPr>
                  <w:tcW w:w="2051" w:type="dxa"/>
                  <w:shd w:val="clear" w:color="auto" w:fill="auto"/>
                </w:tcPr>
                <w:p>
                  <w:pPr>
                    <w:spacing w:line="360" w:lineRule="auto"/>
                    <w:ind w:firstLine="360" w:firstLineChars="200"/>
                    <w:jc w:val="left"/>
                    <w:rPr>
                      <w:rFonts w:hint="eastAsia" w:ascii="宋体" w:hAnsi="宋体" w:eastAsia="宋体" w:cs="宋体"/>
                      <w:b w:val="0"/>
                      <w:bCs w:val="0"/>
                      <w:spacing w:val="0"/>
                      <w:kern w:val="2"/>
                      <w:sz w:val="18"/>
                      <w:szCs w:val="18"/>
                      <w:lang w:val="en-US" w:eastAsia="zh-CN" w:bidi="ar-SA"/>
                    </w:rPr>
                  </w:pPr>
                  <w:r>
                    <w:rPr>
                      <w:rFonts w:hint="eastAsia" w:ascii="宋体" w:hAnsi="宋体" w:eastAsia="宋体" w:cs="宋体"/>
                      <w:b w:val="0"/>
                      <w:bCs w:val="0"/>
                      <w:spacing w:val="0"/>
                      <w:kern w:val="2"/>
                      <w:sz w:val="18"/>
                      <w:szCs w:val="18"/>
                      <w:lang w:val="en-US" w:eastAsia="zh-CN" w:bidi="ar-SA"/>
                    </w:rPr>
                    <w:t>有效期期限</w:t>
                  </w:r>
                </w:p>
              </w:tc>
              <w:tc>
                <w:tcPr>
                  <w:tcW w:w="1833" w:type="dxa"/>
                  <w:shd w:val="clear" w:color="auto" w:fill="auto"/>
                </w:tcPr>
                <w:p>
                  <w:pPr>
                    <w:spacing w:line="360" w:lineRule="auto"/>
                    <w:ind w:firstLine="360" w:firstLineChars="200"/>
                    <w:jc w:val="left"/>
                    <w:rPr>
                      <w:rFonts w:hint="eastAsia" w:ascii="宋体" w:hAnsi="宋体" w:eastAsia="宋体" w:cs="宋体"/>
                      <w:b w:val="0"/>
                      <w:bCs w:val="0"/>
                      <w:spacing w:val="0"/>
                      <w:kern w:val="2"/>
                      <w:sz w:val="18"/>
                      <w:szCs w:val="18"/>
                      <w:lang w:val="en-US" w:eastAsia="zh-CN" w:bidi="ar-SA"/>
                    </w:rPr>
                  </w:pPr>
                  <w:r>
                    <w:rPr>
                      <w:rFonts w:hint="eastAsia" w:ascii="宋体" w:hAnsi="宋体" w:eastAsia="宋体" w:cs="宋体"/>
                      <w:b w:val="0"/>
                      <w:bCs w:val="0"/>
                      <w:spacing w:val="0"/>
                      <w:kern w:val="2"/>
                      <w:sz w:val="18"/>
                      <w:szCs w:val="18"/>
                      <w:lang w:val="en-US" w:eastAsia="zh-CN" w:bidi="ar-S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45"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叉车司机</w:t>
                  </w:r>
                </w:p>
              </w:tc>
              <w:tc>
                <w:tcPr>
                  <w:tcW w:w="978"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柳新店</w:t>
                  </w:r>
                </w:p>
              </w:tc>
              <w:tc>
                <w:tcPr>
                  <w:tcW w:w="2450"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430681198109161770</w:t>
                  </w:r>
                </w:p>
              </w:tc>
              <w:tc>
                <w:tcPr>
                  <w:tcW w:w="2051"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2024年11月</w:t>
                  </w:r>
                </w:p>
              </w:tc>
              <w:tc>
                <w:tcPr>
                  <w:tcW w:w="1833"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2" w:char="0052"/>
                  </w:r>
                  <w:r>
                    <w:rPr>
                      <w:rFonts w:hint="eastAsia" w:ascii="宋体" w:hAnsi="宋体" w:eastAsia="宋体" w:cs="宋体"/>
                      <w:bCs w:val="0"/>
                      <w:spacing w:val="0"/>
                      <w:kern w:val="2"/>
                      <w:sz w:val="18"/>
                      <w:szCs w:val="18"/>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45"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低压电工</w:t>
                  </w:r>
                </w:p>
              </w:tc>
              <w:tc>
                <w:tcPr>
                  <w:tcW w:w="978"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赵银峰</w:t>
                  </w:r>
                </w:p>
              </w:tc>
              <w:tc>
                <w:tcPr>
                  <w:tcW w:w="2450"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T512326198104146636</w:t>
                  </w:r>
                </w:p>
              </w:tc>
              <w:tc>
                <w:tcPr>
                  <w:tcW w:w="2051"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2023年05月10日</w:t>
                  </w:r>
                </w:p>
              </w:tc>
              <w:tc>
                <w:tcPr>
                  <w:tcW w:w="1833"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2" w:char="0052"/>
                  </w:r>
                  <w:r>
                    <w:rPr>
                      <w:rFonts w:hint="eastAsia" w:ascii="宋体" w:hAnsi="宋体" w:eastAsia="宋体" w:cs="宋体"/>
                      <w:bCs w:val="0"/>
                      <w:spacing w:val="0"/>
                      <w:kern w:val="2"/>
                      <w:sz w:val="18"/>
                      <w:szCs w:val="18"/>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45"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安全管理人员（一般类）</w:t>
                  </w:r>
                </w:p>
              </w:tc>
              <w:tc>
                <w:tcPr>
                  <w:tcW w:w="978"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柳新店</w:t>
                  </w:r>
                </w:p>
              </w:tc>
              <w:tc>
                <w:tcPr>
                  <w:tcW w:w="2450"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430681198109161770</w:t>
                  </w:r>
                </w:p>
              </w:tc>
              <w:tc>
                <w:tcPr>
                  <w:tcW w:w="2051"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2023年11月26日</w:t>
                  </w:r>
                </w:p>
              </w:tc>
              <w:tc>
                <w:tcPr>
                  <w:tcW w:w="1833"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2" w:char="0052"/>
                  </w:r>
                  <w:r>
                    <w:rPr>
                      <w:rFonts w:hint="eastAsia" w:ascii="宋体" w:hAnsi="宋体" w:eastAsia="宋体" w:cs="宋体"/>
                      <w:bCs w:val="0"/>
                      <w:spacing w:val="0"/>
                      <w:kern w:val="2"/>
                      <w:sz w:val="18"/>
                      <w:szCs w:val="18"/>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345"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安全管理人员（负责人）</w:t>
                  </w:r>
                </w:p>
              </w:tc>
              <w:tc>
                <w:tcPr>
                  <w:tcW w:w="978" w:type="dxa"/>
                  <w:vAlign w:val="center"/>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刘运发</w:t>
                  </w:r>
                </w:p>
              </w:tc>
              <w:tc>
                <w:tcPr>
                  <w:tcW w:w="2450" w:type="dxa"/>
                  <w:vAlign w:val="center"/>
                </w:tcPr>
                <w:p>
                  <w:pPr>
                    <w:tabs>
                      <w:tab w:val="left" w:pos="223"/>
                    </w:tabs>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362132197207068515</w:t>
                  </w:r>
                </w:p>
              </w:tc>
              <w:tc>
                <w:tcPr>
                  <w:tcW w:w="2051"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t>2023年12月02日</w:t>
                  </w:r>
                </w:p>
              </w:tc>
              <w:tc>
                <w:tcPr>
                  <w:tcW w:w="1833" w:type="dxa"/>
                  <w:vAlign w:val="top"/>
                </w:tcPr>
                <w:p>
                  <w:pPr>
                    <w:spacing w:line="360" w:lineRule="auto"/>
                    <w:jc w:val="left"/>
                    <w:rPr>
                      <w:rFonts w:hint="eastAsia" w:ascii="宋体" w:hAnsi="宋体" w:eastAsia="宋体" w:cs="宋体"/>
                      <w:bCs w:val="0"/>
                      <w:spacing w:val="0"/>
                      <w:kern w:val="2"/>
                      <w:sz w:val="18"/>
                      <w:szCs w:val="18"/>
                      <w:lang w:val="en-US" w:eastAsia="zh-CN" w:bidi="ar-SA"/>
                    </w:rPr>
                  </w:pPr>
                  <w:r>
                    <w:rPr>
                      <w:rFonts w:hint="eastAsia" w:ascii="宋体" w:hAnsi="宋体" w:eastAsia="宋体" w:cs="宋体"/>
                      <w:bCs w:val="0"/>
                      <w:spacing w:val="0"/>
                      <w:kern w:val="2"/>
                      <w:sz w:val="18"/>
                      <w:szCs w:val="18"/>
                      <w:lang w:val="en-US" w:eastAsia="zh-CN" w:bidi="ar-SA"/>
                    </w:rPr>
                    <w:sym w:font="Wingdings 2" w:char="0052"/>
                  </w:r>
                  <w:r>
                    <w:rPr>
                      <w:rFonts w:hint="eastAsia" w:ascii="宋体" w:hAnsi="宋体" w:eastAsia="宋体" w:cs="宋体"/>
                      <w:bCs w:val="0"/>
                      <w:spacing w:val="0"/>
                      <w:kern w:val="2"/>
                      <w:sz w:val="18"/>
                      <w:szCs w:val="18"/>
                      <w:lang w:val="en-US" w:eastAsia="zh-CN" w:bidi="ar-SA"/>
                    </w:rPr>
                    <w:t>有效  □过期</w:t>
                  </w:r>
                </w:p>
              </w:tc>
            </w:tr>
          </w:tbl>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与行政部负责人柳新店沟通，其对组织方针和所在工作岗位的质量、环境、职业健康安全目标基本熟悉，也了解自己的工作效益会影响组织质量、环境、职业健康安全管理体系的有效运行。</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行政部负责人柳新店介绍：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组织员工具备基本的质量意识、环保意识和职业健康安全意识，满足要求。</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848" w:type="dxa"/>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组织的知识</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tc>
        <w:tc>
          <w:tcPr>
            <w:tcW w:w="1272" w:type="dxa"/>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Q7.1.6</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tc>
        <w:tc>
          <w:tcPr>
            <w:tcW w:w="10455" w:type="dxa"/>
            <w:vAlign w:val="center"/>
          </w:tcPr>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行政部负责人柳新店沟通，组织确定了运行过程所需的知识，包括内部来源：组织运作准则（管理手册、程序文件、管理制度、作业记录等）、管理过程控制失败和成功项目吸取的经验教训和改进的结果等；外部来源：外来资料（如顾客反馈的信息、质量、技术规范）、法律法规、市场信息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对知识的保持采取文件资料的保存和信息系统存储等方式，在组织内部通过传递、交流、培训等方式共享。为获取更多必要的知识，组织采用了工作经验总结、顾客意见的采集，行业领先者的最佳实践调查等，并在一定范围内和程度上实现即时更新，基本满足要求。  </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沟通</w:t>
            </w:r>
          </w:p>
        </w:tc>
        <w:tc>
          <w:tcPr>
            <w:tcW w:w="1272" w:type="dxa"/>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QEO7.4</w:t>
            </w:r>
          </w:p>
        </w:tc>
        <w:tc>
          <w:tcPr>
            <w:tcW w:w="10455" w:type="dxa"/>
            <w:vAlign w:val="center"/>
          </w:tcPr>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组织按照LJ -P-06-2021《信息交流管理程序》对沟通过程进行控制，其内部沟通和协商的内容：1.沟通的信息一般包括：管理方针、目标、职责的沟通和传达；环境和相关方分析信息，生产经营中的职业健康安全风险信息；相关法律法规和其他要求的传达和合规性评价结果；顾客、员工及其他相关方要求的传递；其他信息传递。2.协商的事项有：员工参与管理方针、目标和相关程序的制定和评审;参与安全管理事务；参与改善作业状况的讨论等等。其外部沟通的内容主要包括：向顾客、供方、社区等相关方宣传组织的管理方针和管理要求；传递相关方要求的变更信息；接收、处理和答复相关方关注的职业健康安全问题；与供方、顾客业务处理过程中信息沟通；与主管部门在监督检查中的沟通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沟通方式包括：1.内部：参与方针、目标和相关文件的制定、体系文件的宣贯、内部审核和管理评审及宣传栏、口头（电话）、生产日报、检验记录、质量报表；2.外部：招投标活动、中标签订合同后评审、参与产品交付验收、保修要求及回访、投诉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抽查内部沟通案例：工作人员代表授权书，主要内容为选举余道明为职业健康安全事务工作人员代表，授予其相关责权内容；授权代表：黄中福；日期：2021年7月1日。</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外部沟通案例：《相关方环境及职业健康安全告知书》：沟通对象：浙江华宝油墨有限公司；沟通内容：环境和职业健康安全问题包括1.方针；2.配合事项；沟通方式：文件；内容基本完整，相关方有盖章，基本能够保证有效传达。</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成文信息</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tc>
        <w:tc>
          <w:tcPr>
            <w:tcW w:w="1272"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QEO7.5</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tc>
        <w:tc>
          <w:tcPr>
            <w:tcW w:w="10455" w:type="dxa"/>
            <w:vAlign w:val="center"/>
          </w:tcPr>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一级文件：LJ-QEO-MC-2021《质量/环境/职业健康安全管理手册》；版本号：A/0；编制：张涛；审查：张涛；批准：吴海舰。</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二级文件：包括《文件信息控制程序》等共28个，覆盖了质量、环境、职业健康安全标准要求的所有文件化过程，其《文件信息控制程序》对管理体系记录的标识、贮存、保护、检索、保存期限和处置等作了明确规定，符合要求。</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三层次文件：管理制度、作业指导书、操作规范。</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四级文件包括：内审记录、管理评审记录、危险源和环境因素识别评价记录等。明确了记录名称、编号、使用保存部门、保存期限等，并经审核后使用。组织各记录由各使用部门保存。</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归档文件整理情况，行政部已将文件进行了分类，按文件的名称、编号及时间装文件袋进行归档，文件较清洁，字迹清晰，检索方便，抽查行政部保存的记录包括内部审核资料、管理评审资料等，均已装订成册，归档文件、记录存放于通风、干燥、防蛀的文件柜内，环境干燥、通风，符合文件归档及防护的要求。</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抽查文件发放记录：行政部2021年7月1日有质量、环境、职业健康安全等相关的三层次管理制度文件文件的下发回收记录。</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行政部负责人柳新店介绍：组织的记录原件原则上不外借，其它记录查阅时须有关部门同意后，方可查阅。</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外来文件：组织识别了与产品要求和质量管理体系运行有关的国家法律法规及标准、行业、地方颁布的条例、标准、规范、规程、办法等，如《中华人民共和国产品质量法》、《中华人民共和国民法典》等，验证上次不符合已整改，</w:t>
            </w:r>
            <w:r>
              <w:rPr>
                <w:rFonts w:hint="eastAsia" w:ascii="宋体" w:hAnsi="宋体" w:eastAsia="宋体" w:cs="宋体"/>
                <w:b w:val="0"/>
                <w:bCs w:val="0"/>
                <w:spacing w:val="0"/>
                <w:kern w:val="2"/>
                <w:sz w:val="21"/>
                <w:szCs w:val="21"/>
                <w:lang w:val="en-US" w:eastAsia="zh-CN" w:bidi="ar-SA"/>
              </w:rPr>
              <w:t>查有效文件一览表（外来）完整，覆盖组织适用的法律法规和标准内容，措施有效</w:t>
            </w:r>
            <w:r>
              <w:rPr>
                <w:rFonts w:hint="eastAsia" w:ascii="宋体" w:hAnsi="宋体" w:eastAsia="宋体" w:cs="宋体"/>
                <w:bCs w:val="0"/>
                <w:spacing w:val="0"/>
                <w:kern w:val="2"/>
                <w:sz w:val="21"/>
                <w:szCs w:val="21"/>
                <w:lang w:val="en-US" w:eastAsia="zh-CN" w:bidi="ar-SA"/>
              </w:rPr>
              <w:t>；识别了环境管理体系运行有关的国家法律法规及标准、行业、地方颁布的条例、标准、规范、规程、办法等，如综合类的《中华人民共和国环境保护法》、固体废弃物类的《固体废物污染环境防治法》、噪声类的《工业企业厂界环境噪声排放标准》、危险化学品类的《危险化学品安全管理条例》等；识别了职业健康安全管理体系运行有关的国家法律法规及标准、行业、地方颁布的条例、标准、规范、规程、办法等，如《中华人民共和国安全生产法》、《特种设备安全法》、《</w:t>
            </w:r>
            <w:r>
              <w:rPr>
                <w:rFonts w:hint="eastAsia" w:ascii="宋体" w:hAnsi="宋体" w:eastAsia="宋体" w:cs="宋体"/>
                <w:bCs w:val="0"/>
                <w:spacing w:val="0"/>
                <w:kern w:val="2"/>
                <w:sz w:val="21"/>
                <w:szCs w:val="21"/>
                <w:lang w:val="en-US" w:eastAsia="zh-CN" w:bidi="ar-SA"/>
              </w:rPr>
              <w:fldChar w:fldCharType="begin"/>
            </w:r>
            <w:r>
              <w:rPr>
                <w:rFonts w:hint="eastAsia" w:ascii="宋体" w:hAnsi="宋体" w:eastAsia="宋体" w:cs="宋体"/>
                <w:bCs w:val="0"/>
                <w:spacing w:val="0"/>
                <w:kern w:val="2"/>
                <w:sz w:val="21"/>
                <w:szCs w:val="21"/>
                <w:lang w:val="en-US" w:eastAsia="zh-CN" w:bidi="ar-SA"/>
              </w:rPr>
              <w:instrText xml:space="preserve"> HYPERLINK "http://www.tzaj.gov.cn/zsfgshow.asp?id=720" \t "_blank" </w:instrText>
            </w:r>
            <w:r>
              <w:rPr>
                <w:rFonts w:hint="eastAsia" w:ascii="宋体" w:hAnsi="宋体" w:eastAsia="宋体" w:cs="宋体"/>
                <w:bCs w:val="0"/>
                <w:spacing w:val="0"/>
                <w:kern w:val="2"/>
                <w:sz w:val="21"/>
                <w:szCs w:val="21"/>
                <w:lang w:val="en-US" w:eastAsia="zh-CN" w:bidi="ar-SA"/>
              </w:rPr>
              <w:fldChar w:fldCharType="separate"/>
            </w:r>
            <w:r>
              <w:rPr>
                <w:rFonts w:hint="eastAsia" w:ascii="宋体" w:hAnsi="宋体" w:eastAsia="宋体" w:cs="宋体"/>
                <w:bCs w:val="0"/>
                <w:spacing w:val="0"/>
                <w:kern w:val="2"/>
                <w:sz w:val="21"/>
                <w:szCs w:val="21"/>
                <w:lang w:val="en-US" w:eastAsia="zh-CN" w:bidi="ar-SA"/>
              </w:rPr>
              <w:t>浙江省安全生产条例</w:t>
            </w:r>
            <w:r>
              <w:rPr>
                <w:rFonts w:hint="eastAsia" w:ascii="宋体" w:hAnsi="宋体" w:eastAsia="宋体" w:cs="宋体"/>
                <w:bCs w:val="0"/>
                <w:spacing w:val="0"/>
                <w:kern w:val="2"/>
                <w:sz w:val="21"/>
                <w:szCs w:val="21"/>
                <w:lang w:val="en-US" w:eastAsia="zh-CN" w:bidi="ar-SA"/>
              </w:rPr>
              <w:fldChar w:fldCharType="end"/>
            </w:r>
            <w:r>
              <w:rPr>
                <w:rFonts w:hint="eastAsia" w:ascii="宋体" w:hAnsi="宋体" w:eastAsia="宋体" w:cs="宋体"/>
                <w:bCs w:val="0"/>
                <w:spacing w:val="0"/>
                <w:kern w:val="2"/>
                <w:sz w:val="21"/>
                <w:szCs w:val="21"/>
                <w:lang w:val="en-US" w:eastAsia="zh-CN" w:bidi="ar-SA"/>
              </w:rPr>
              <w:t>》、《工作场所职业病危害警示标志》等，组织识别的适用法律法规和标准内容基本完整，与生产实际吻合，能够满足要求。</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变更：暂无记录。</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作废：暂无记录。</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综上，组织的文件、记录等的控制基本有效。</w:t>
            </w:r>
          </w:p>
        </w:tc>
        <w:tc>
          <w:tcPr>
            <w:tcW w:w="1134" w:type="dxa"/>
          </w:tcPr>
          <w:p>
            <w:pPr>
              <w:spacing w:line="360" w:lineRule="auto"/>
              <w:rPr>
                <w:rFonts w:hint="eastAsia" w:ascii="宋体" w:hAnsi="宋体" w:eastAsia="宋体" w:cs="宋体"/>
                <w:color w:val="FF0000"/>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运行的策划和控制</w:t>
            </w:r>
          </w:p>
        </w:tc>
        <w:tc>
          <w:tcPr>
            <w:tcW w:w="1272"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E08.1</w:t>
            </w: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组织制定了 LJ -P-23-2021《运行控制管理程序》、LJ-P-28-2021《废水、废气、噪音控制程序》、LJ -P-12-2021《员工健康卫生管理程序》等过程控制准则，根据准则要求，行政部负责对废水、废气、固体废弃物、危化品、能资源消耗、噪声等经营活动过程中重要环境因素采取控制措施的监督管理以及对相关方环境表现情况的监督管理；对经营活动过程中潜在的不安全隐患和健康危害并采取控制措施的监督管理以及对相关方职业健康表现的监督管理。</w:t>
            </w:r>
          </w:p>
          <w:p>
            <w:pPr>
              <w:numPr>
                <w:ilvl w:val="0"/>
                <w:numId w:val="1"/>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产生的固废主要包括：一般固废、废抹布、废油墨桶、废活性炭。提供固体废弃物处置协议：①乙方：浙江阜通环保科技有限公司；处置内容：一般固废；合同期限：2022年1月8日至2023年1月9日；②乙方：杭州立佳环境服务有限公司；处置内容：废抹布、废油墨桶、废活性炭；合同期限：2022年9月1日至2023年8月31日。</w:t>
            </w:r>
          </w:p>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抽查危废转移联单记录：</w:t>
            </w:r>
          </w:p>
          <w:p>
            <w:pPr>
              <w:pStyle w:val="2"/>
              <w:rPr>
                <w:rFonts w:hint="eastAsia"/>
                <w:lang w:val="en-US" w:eastAsia="zh-CN"/>
              </w:rPr>
            </w:pPr>
          </w:p>
          <w:p>
            <w:pPr>
              <w:pStyle w:val="2"/>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5132070</wp:posOffset>
                  </wp:positionH>
                  <wp:positionV relativeFrom="paragraph">
                    <wp:posOffset>34290</wp:posOffset>
                  </wp:positionV>
                  <wp:extent cx="1268730" cy="1550670"/>
                  <wp:effectExtent l="0" t="0" r="1270" b="11430"/>
                  <wp:wrapNone/>
                  <wp:docPr id="7" name="图片 7" descr="166849076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8490761750"/>
                          <pic:cNvPicPr>
                            <a:picLocks noChangeAspect="1"/>
                          </pic:cNvPicPr>
                        </pic:nvPicPr>
                        <pic:blipFill>
                          <a:blip r:embed="rId7"/>
                          <a:stretch>
                            <a:fillRect/>
                          </a:stretch>
                        </pic:blipFill>
                        <pic:spPr>
                          <a:xfrm>
                            <a:off x="0" y="0"/>
                            <a:ext cx="1268730" cy="1550670"/>
                          </a:xfrm>
                          <a:prstGeom prst="rect">
                            <a:avLst/>
                          </a:prstGeom>
                        </pic:spPr>
                      </pic:pic>
                    </a:graphicData>
                  </a:graphic>
                </wp:anchor>
              </w:drawing>
            </w:r>
            <w:r>
              <w:rPr>
                <w:rFonts w:hint="eastAsia"/>
                <w:lang w:val="en-US" w:eastAsia="zh-CN"/>
              </w:rPr>
              <w:drawing>
                <wp:anchor distT="0" distB="0" distL="114300" distR="114300" simplePos="0" relativeHeight="251662336" behindDoc="0" locked="0" layoutInCell="1" allowOverlap="1">
                  <wp:simplePos x="0" y="0"/>
                  <wp:positionH relativeFrom="column">
                    <wp:posOffset>3046095</wp:posOffset>
                  </wp:positionH>
                  <wp:positionV relativeFrom="paragraph">
                    <wp:posOffset>137160</wp:posOffset>
                  </wp:positionV>
                  <wp:extent cx="2101850" cy="1351915"/>
                  <wp:effectExtent l="0" t="0" r="6350" b="6985"/>
                  <wp:wrapNone/>
                  <wp:docPr id="6" name="图片 6" descr="166849071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8490716577"/>
                          <pic:cNvPicPr>
                            <a:picLocks noChangeAspect="1"/>
                          </pic:cNvPicPr>
                        </pic:nvPicPr>
                        <pic:blipFill>
                          <a:blip r:embed="rId8"/>
                          <a:stretch>
                            <a:fillRect/>
                          </a:stretch>
                        </pic:blipFill>
                        <pic:spPr>
                          <a:xfrm>
                            <a:off x="0" y="0"/>
                            <a:ext cx="2101850" cy="135191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1976120</wp:posOffset>
                  </wp:positionH>
                  <wp:positionV relativeFrom="paragraph">
                    <wp:posOffset>124460</wp:posOffset>
                  </wp:positionV>
                  <wp:extent cx="1026795" cy="1358900"/>
                  <wp:effectExtent l="0" t="0" r="1905" b="0"/>
                  <wp:wrapNone/>
                  <wp:docPr id="5" name="图片 5" descr="166849063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8490638309"/>
                          <pic:cNvPicPr>
                            <a:picLocks noChangeAspect="1"/>
                          </pic:cNvPicPr>
                        </pic:nvPicPr>
                        <pic:blipFill>
                          <a:blip r:embed="rId9"/>
                          <a:stretch>
                            <a:fillRect/>
                          </a:stretch>
                        </pic:blipFill>
                        <pic:spPr>
                          <a:xfrm>
                            <a:off x="0" y="0"/>
                            <a:ext cx="1026795" cy="1358900"/>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-45085</wp:posOffset>
                  </wp:positionH>
                  <wp:positionV relativeFrom="paragraph">
                    <wp:posOffset>124460</wp:posOffset>
                  </wp:positionV>
                  <wp:extent cx="1940560" cy="1303655"/>
                  <wp:effectExtent l="0" t="0" r="2540" b="4445"/>
                  <wp:wrapNone/>
                  <wp:docPr id="4" name="图片 4" descr="166849059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8490594195"/>
                          <pic:cNvPicPr>
                            <a:picLocks noChangeAspect="1"/>
                          </pic:cNvPicPr>
                        </pic:nvPicPr>
                        <pic:blipFill>
                          <a:blip r:embed="rId10"/>
                          <a:stretch>
                            <a:fillRect/>
                          </a:stretch>
                        </pic:blipFill>
                        <pic:spPr>
                          <a:xfrm>
                            <a:off x="0" y="0"/>
                            <a:ext cx="1940560" cy="130365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2.远程检查固废仓库：配置了基本的消防设施、防爆灯具、警装置、安全标识、危险废物管理卡，均有产生、贮存数量记录，标识位置明显，内容完整清晰，符合要求；</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3.远程检查危化品（错酸乙酯、凹版印刷油墨）仓库：配置了基本的消防设施，安全标识、MSDS标识，标识位置明显，出入库和备案信息记录内容完整清晰，温湿度控制等均符合要求。</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4.能源资源管控</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提供2022年1-10月消耗记录，组织办公区域注意节水、节电、节油，人走关闭开关，未发现有漏水和浪费电能的现象。</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5.潜在火灾管控</w:t>
            </w:r>
            <w:bookmarkStart w:id="0" w:name="_GoBack"/>
            <w:bookmarkEnd w:id="0"/>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组织办公场所均配有灭火器，由工业园区统一管理维护，经抽查，均处于有效状态。</w:t>
            </w:r>
          </w:p>
          <w:p>
            <w:p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提供职业病危害因素监测报告：报告编号：BG-SFZW210002；监测单位：浙江三方检测科技有限公司；检测结论：均符合接触限值标准；编制日期：2021年12月1日；提供危害抽查员工职业健康检查报告，抽查内容如下：报告编号：萧开 职检字第（2021-0465）号；体检类别：在岗；报告日期：2022年6月14日；受检人数：37人；体检结论与处理意见：疑似职业病0人，职业禁忌证0人，需要复查人员0人。</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防护用品发放标准（2021.7.1起执行）和发放记录（2022年7月和10月），标准中发放对象覆盖全部员工，防护用品包括工作服、劳保鞋、手套等；发放记录显示，发放人、领用人、领用用品名称、数量、时间等均有清晰记载，现场查看车间各岗位工作人员，均有佩戴相应的防护用品，符合要求。</w:t>
            </w:r>
          </w:p>
          <w:p>
            <w:pPr>
              <w:adjustRightInd w:val="0"/>
              <w:snapToGrid w:val="0"/>
              <w:spacing w:line="36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提供2022年度环境安全相关资金投入使用记录：</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69850</wp:posOffset>
                  </wp:positionH>
                  <wp:positionV relativeFrom="paragraph">
                    <wp:posOffset>6985</wp:posOffset>
                  </wp:positionV>
                  <wp:extent cx="2895600" cy="2042795"/>
                  <wp:effectExtent l="0" t="0" r="0" b="1905"/>
                  <wp:wrapNone/>
                  <wp:docPr id="10" name="图片 10" descr="16685676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8567619497"/>
                          <pic:cNvPicPr>
                            <a:picLocks noChangeAspect="1"/>
                          </pic:cNvPicPr>
                        </pic:nvPicPr>
                        <pic:blipFill>
                          <a:blip r:embed="rId11"/>
                          <a:stretch>
                            <a:fillRect/>
                          </a:stretch>
                        </pic:blipFill>
                        <pic:spPr>
                          <a:xfrm>
                            <a:off x="0" y="0"/>
                            <a:ext cx="2895600" cy="2042795"/>
                          </a:xfrm>
                          <a:prstGeom prst="rect">
                            <a:avLst/>
                          </a:prstGeom>
                        </pic:spPr>
                      </pic:pic>
                    </a:graphicData>
                  </a:graphic>
                </wp:anchor>
              </w:drawing>
            </w: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其它环境和职业健康安全策划和管控记录见各部门EO8.1。</w:t>
            </w:r>
          </w:p>
        </w:tc>
        <w:tc>
          <w:tcPr>
            <w:tcW w:w="1134" w:type="dxa"/>
            <w:vAlign w:val="top"/>
          </w:tcPr>
          <w:p>
            <w:pPr>
              <w:spacing w:line="360" w:lineRule="auto"/>
              <w:jc w:val="both"/>
              <w:rPr>
                <w:rFonts w:hint="eastAsia" w:ascii="宋体" w:hAnsi="宋体" w:eastAsia="宋体" w:cs="宋体"/>
                <w:color w:val="FF0000"/>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w:t>
            </w:r>
          </w:p>
        </w:tc>
        <w:tc>
          <w:tcPr>
            <w:tcW w:w="1272"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EO8.2</w:t>
            </w: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组织制定了LJ -P-13-2021《应急准备和响应管理程序》，识别紧急情况如下：1.火灾\爆炸；2.自然灾害；3.化学品泄露；4.触电；5.其它，均规定了相应的应急响应措施，基本覆盖了重要环境因素和重要危险源的内容，符合控制要求，无修订记录。</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抽查2022年6月8日举行的消防演练记录，内容主要包括演练目的、演练记录、演习过程的图片等信息。基本满足应急准备要求。</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绩效总则</w:t>
            </w:r>
          </w:p>
          <w:p>
            <w:pPr>
              <w:spacing w:line="360" w:lineRule="auto"/>
              <w:ind w:firstLine="420" w:firstLineChars="200"/>
              <w:jc w:val="left"/>
              <w:rPr>
                <w:rFonts w:hint="eastAsia" w:ascii="宋体" w:hAnsi="宋体" w:eastAsia="宋体" w:cs="宋体"/>
                <w:sz w:val="21"/>
                <w:szCs w:val="21"/>
                <w:lang w:val="en-US" w:eastAsia="zh-CN"/>
              </w:rPr>
            </w:pPr>
          </w:p>
        </w:tc>
        <w:tc>
          <w:tcPr>
            <w:tcW w:w="1272"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QEO9.1.1</w:t>
            </w:r>
          </w:p>
          <w:p>
            <w:pPr>
              <w:spacing w:line="360" w:lineRule="auto"/>
              <w:ind w:firstLine="420" w:firstLineChars="200"/>
              <w:jc w:val="left"/>
              <w:rPr>
                <w:rFonts w:hint="eastAsia" w:ascii="宋体" w:hAnsi="宋体" w:eastAsia="宋体" w:cs="宋体"/>
                <w:sz w:val="21"/>
                <w:szCs w:val="21"/>
                <w:lang w:val="en-US" w:eastAsia="zh-CN"/>
              </w:rPr>
            </w:pP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部对管理体系的过程能力进行监视和测量，主要通过内审对管理体系运行的符合性和有效性进行监测，内审详见行政部审核9.2条款；再通过管理评审对管理体系的充分性、有效性和适宜性作了肯定的评价，详见管理层9.2条款记录；通过目标考评，监测管理体系运行的有效性，详见行政部审核6.2条款。另行政部提供的监视测量记录，抽查内容如下：</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环境监测报告：报告编号：天量检测（2021）第21111881/21111882号；检测单位：杭州天量检测科技有限公司；报告日期：2021年11月26日；采样类别：噪声、生活污水、工艺废气；检测结果显示，均在相应标准要求的限制范围内。</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巡视组织办公、车间、仓库等：抽查组织办公楼2楼卫生间旁1处的消防栓、灭火器检查记录和有效状态，抽查办公区2楼应急照明灯、安全疏散指示灯检查记录和工作状态等，全部处于有效状态，2022年度检查记录完整、合规，符合要求；抽查组织厂区车间消防设施，均处于有效状态，2021年度检查记录完整；</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其它监视测量记录见各部门控制记录。</w:t>
            </w:r>
          </w:p>
        </w:tc>
        <w:tc>
          <w:tcPr>
            <w:tcW w:w="1134" w:type="dxa"/>
          </w:tcPr>
          <w:p>
            <w:pPr>
              <w:spacing w:line="360" w:lineRule="auto"/>
              <w:rPr>
                <w:rFonts w:hint="eastAsia" w:ascii="宋体" w:hAnsi="宋体" w:eastAsia="宋体" w:cs="宋体"/>
                <w:color w:val="FF0000"/>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848"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合规性评价</w:t>
            </w:r>
          </w:p>
        </w:tc>
        <w:tc>
          <w:tcPr>
            <w:tcW w:w="1272"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EO9.1.2</w:t>
            </w: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组织按照LJ -P-16-2021《合规性评价管理程序》对环境、职业健康安全相关的适用法律法规进行合规性评价。行政部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查看《环境法律法规合规性评价表》，内容包括法律法规名称、适用条款、适用环境因素、合规性评价证据、结论和措施等，日期：2022年10月20日，合规性评价结论均符合要求。</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查看《安全法律法规合规性评价表》，内容包括法律法规名称、适用条款、执行情况与检查评价等，日期：2022年10月20日，合规性评价结论均符合要求。</w:t>
            </w:r>
          </w:p>
        </w:tc>
        <w:tc>
          <w:tcPr>
            <w:tcW w:w="1134" w:type="dxa"/>
          </w:tcPr>
          <w:p>
            <w:pPr>
              <w:spacing w:line="360" w:lineRule="auto"/>
              <w:rPr>
                <w:rFonts w:hint="eastAsia" w:ascii="宋体" w:hAnsi="宋体" w:eastAsia="宋体" w:cs="宋体"/>
                <w:color w:val="FF0000"/>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8" w:type="dxa"/>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分析与评价</w:t>
            </w:r>
          </w:p>
          <w:p>
            <w:pPr>
              <w:spacing w:line="360" w:lineRule="auto"/>
              <w:ind w:firstLine="420" w:firstLineChars="200"/>
              <w:jc w:val="left"/>
              <w:rPr>
                <w:rFonts w:hint="eastAsia" w:ascii="宋体" w:hAnsi="宋体" w:eastAsia="宋体" w:cs="宋体"/>
                <w:sz w:val="21"/>
                <w:szCs w:val="21"/>
                <w:lang w:val="en-US" w:eastAsia="zh-CN"/>
              </w:rPr>
            </w:pPr>
          </w:p>
        </w:tc>
        <w:tc>
          <w:tcPr>
            <w:tcW w:w="1272" w:type="dxa"/>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Q9.1.3</w:t>
            </w:r>
          </w:p>
          <w:p>
            <w:pPr>
              <w:spacing w:line="360" w:lineRule="auto"/>
              <w:ind w:firstLine="420" w:firstLineChars="200"/>
              <w:jc w:val="left"/>
              <w:rPr>
                <w:rFonts w:hint="eastAsia" w:ascii="宋体" w:hAnsi="宋体" w:eastAsia="宋体" w:cs="宋体"/>
                <w:sz w:val="21"/>
                <w:szCs w:val="21"/>
                <w:lang w:val="en-US" w:eastAsia="zh-CN"/>
              </w:rPr>
            </w:pP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数据包括：产品生产和销售状况、管理体系运行状况、顾客满意管理、供方管理等过程的数据分析。查自组织管理体系运行以来，已经进行搜集信息和数据的活动：管理目标考核、顾客满意度调查、供方的交付和质量、环境、职业健康安全运行情况等的简单分析。组织通过对管理目标的状态评价产品和服务的符合性良好；对顾客满意度的评价为达到目标要求；外部供方按时交付和质量经分析均满足要求，绩效良好。通过内审评审组织管理体系的策划已有效实施；通过管理评审评价组织应对风险和机遇所采取措施有效，管理体系有效、绩效良好，评价出管理体系改进的需求有进一步提高顾客满意度。</w:t>
            </w:r>
            <w:r>
              <w:rPr>
                <w:rFonts w:hint="eastAsia" w:ascii="宋体" w:hAnsi="宋体" w:cs="宋体"/>
                <w:sz w:val="21"/>
                <w:szCs w:val="21"/>
                <w:lang w:val="en-US" w:eastAsia="zh-CN"/>
              </w:rPr>
              <w:t>分析与评价管理基本符合要求。</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848" w:type="dxa"/>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内部审核</w:t>
            </w: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p>
        </w:tc>
        <w:tc>
          <w:tcPr>
            <w:tcW w:w="1272" w:type="dxa"/>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QEO9.2</w:t>
            </w: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组织根据制定的LJ -P-15-2021《内部审核程序》进行内部审核过程控制。提供内审记录，抽查内容如下：</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查2022年10月8日制定的内部审核计划，内容包括审核目的、审核范围、审核准则、审核具体日程安排、编制批准等，内容完整，能够满足策划要求。</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审核日期：2022.10.15～16</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审核组：寇威/陈细柳：签到表显示，总经理、管理者代表、行政部、采购部、生产部、质检部、市场部、财务部各部门参与了内部审核的首末次会议；</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5408" behindDoc="0" locked="0" layoutInCell="1" allowOverlap="1">
                  <wp:simplePos x="0" y="0"/>
                  <wp:positionH relativeFrom="column">
                    <wp:posOffset>2020570</wp:posOffset>
                  </wp:positionH>
                  <wp:positionV relativeFrom="paragraph">
                    <wp:posOffset>55880</wp:posOffset>
                  </wp:positionV>
                  <wp:extent cx="1504315" cy="1035685"/>
                  <wp:effectExtent l="0" t="0" r="6985" b="5715"/>
                  <wp:wrapNone/>
                  <wp:docPr id="9" name="图片 9" descr="166851653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8516539546"/>
                          <pic:cNvPicPr>
                            <a:picLocks noChangeAspect="1"/>
                          </pic:cNvPicPr>
                        </pic:nvPicPr>
                        <pic:blipFill>
                          <a:blip r:embed="rId12"/>
                          <a:stretch>
                            <a:fillRect/>
                          </a:stretch>
                        </pic:blipFill>
                        <pic:spPr>
                          <a:xfrm>
                            <a:off x="0" y="0"/>
                            <a:ext cx="1504315" cy="1035685"/>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152400</wp:posOffset>
                  </wp:positionH>
                  <wp:positionV relativeFrom="paragraph">
                    <wp:posOffset>59690</wp:posOffset>
                  </wp:positionV>
                  <wp:extent cx="1620520" cy="1038860"/>
                  <wp:effectExtent l="0" t="0" r="5080" b="2540"/>
                  <wp:wrapNone/>
                  <wp:docPr id="8" name="图片 8" descr="166851647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8516476063"/>
                          <pic:cNvPicPr>
                            <a:picLocks noChangeAspect="1"/>
                          </pic:cNvPicPr>
                        </pic:nvPicPr>
                        <pic:blipFill>
                          <a:blip r:embed="rId13"/>
                          <a:stretch>
                            <a:fillRect/>
                          </a:stretch>
                        </pic:blipFill>
                        <pic:spPr>
                          <a:xfrm>
                            <a:off x="0" y="0"/>
                            <a:ext cx="1620520" cy="1038860"/>
                          </a:xfrm>
                          <a:prstGeom prst="rect">
                            <a:avLst/>
                          </a:prstGeom>
                        </pic:spPr>
                      </pic:pic>
                    </a:graphicData>
                  </a:graphic>
                </wp:anchor>
              </w:drawing>
            </w: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提供《内部审核检查表》，内容包括条款号、检查内容、检查记录和结果判定等，记录显示，组织审核组有按照计划要求进行，满足执行要求。</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查《内审不符合报告》：包括1项不符合条款依据正确，且均已完成整改并验证有效，与现场审核发现的情况吻合。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查《内审报告》中内部审核结论记录如下：本次内审发现1个一般不符合项，属一般不符合，总体结论：管理体系适宜、充分、有效。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综上，组织的内部审核控制基本有效。</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8" w:type="dxa"/>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不合格和纠正措施</w:t>
            </w:r>
          </w:p>
          <w:p>
            <w:pPr>
              <w:spacing w:line="360" w:lineRule="auto"/>
              <w:ind w:firstLine="420" w:firstLineChars="200"/>
              <w:jc w:val="left"/>
              <w:rPr>
                <w:rFonts w:hint="eastAsia" w:ascii="宋体" w:hAnsi="宋体" w:eastAsia="宋体" w:cs="宋体"/>
                <w:sz w:val="21"/>
                <w:szCs w:val="21"/>
                <w:lang w:val="en-US" w:eastAsia="zh-CN"/>
              </w:rPr>
            </w:pPr>
          </w:p>
        </w:tc>
        <w:tc>
          <w:tcPr>
            <w:tcW w:w="1272" w:type="dxa"/>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QEO10.2</w:t>
            </w: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行政部负责人柳新店介绍：组织在运行过程中对发现的不合格都会采取纠正措施，分析原因，举一反三地看待其他部门或类似过程，采取预防措施以防止发生不合格或不符合。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组织内审时发现的不符合项进行的原因分析、纠正措施和验证均能满足改进要求。组织内审时未发现行政部有不符合及其整改记录，其它纠正措施记录见市场部、质检部和生产部QEO10.2。</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组织外审的不符合及其纠正措施记录见此次审核的不符合报告记录。</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bl>
    <w:p>
      <w:pPr>
        <w:rPr>
          <w:rFonts w:ascii="楷体" w:hAnsi="楷体" w:eastAsia="楷体"/>
          <w:color w:val="FF0000"/>
          <w:sz w:val="24"/>
          <w:szCs w:val="24"/>
        </w:rPr>
      </w:pPr>
      <w:r>
        <w:rPr>
          <w:rFonts w:ascii="楷体" w:hAnsi="楷体" w:eastAsia="楷体"/>
          <w:color w:val="FF0000"/>
          <w:sz w:val="24"/>
          <w:szCs w:val="24"/>
        </w:rPr>
        <w:ptab w:relativeTo="margin" w:alignment="center" w:leader="none"/>
      </w:r>
    </w:p>
    <w:p>
      <w:pPr>
        <w:pStyle w:val="8"/>
        <w:rPr>
          <w:rFonts w:hint="eastAsia" w:ascii="楷体" w:hAnsi="楷体" w:eastAsia="楷体"/>
          <w:sz w:val="24"/>
          <w:szCs w:val="24"/>
          <w:lang w:eastAsia="zh-CN"/>
        </w:rPr>
      </w:pPr>
      <w:r>
        <w:rPr>
          <w:rFonts w:hint="eastAsia" w:ascii="楷体" w:hAnsi="楷体" w:eastAsia="楷体"/>
          <w:sz w:val="24"/>
          <w:szCs w:val="24"/>
        </w:rPr>
        <w:t>说明：不符合标注N</w:t>
      </w:r>
    </w:p>
    <w:p>
      <w:pPr>
        <w:rPr>
          <w:rFonts w:ascii="楷体" w:hAnsi="楷体" w:eastAsia="楷体"/>
        </w:rPr>
      </w:pPr>
      <w:r>
        <w:rPr>
          <w:rFonts w:ascii="楷体" w:hAnsi="楷体" w:eastAsia="楷体"/>
        </w:rP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36931"/>
    <w:multiLevelType w:val="singleLevel"/>
    <w:tmpl w:val="B86369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B05DD2"/>
    <w:rsid w:val="04975E7B"/>
    <w:rsid w:val="04AD7831"/>
    <w:rsid w:val="052B23E6"/>
    <w:rsid w:val="05483AD3"/>
    <w:rsid w:val="05F95B1B"/>
    <w:rsid w:val="061137A1"/>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104F40E4"/>
    <w:rsid w:val="108219C2"/>
    <w:rsid w:val="120410B5"/>
    <w:rsid w:val="12563740"/>
    <w:rsid w:val="154B63E3"/>
    <w:rsid w:val="15C96FDF"/>
    <w:rsid w:val="15E74CB1"/>
    <w:rsid w:val="15FE473B"/>
    <w:rsid w:val="16390CF7"/>
    <w:rsid w:val="16EA49EA"/>
    <w:rsid w:val="18D4070E"/>
    <w:rsid w:val="194574E2"/>
    <w:rsid w:val="198B71C0"/>
    <w:rsid w:val="19D770FB"/>
    <w:rsid w:val="1A5C1888"/>
    <w:rsid w:val="1AD81C90"/>
    <w:rsid w:val="1B5D7D5F"/>
    <w:rsid w:val="1B777320"/>
    <w:rsid w:val="1C42303D"/>
    <w:rsid w:val="1C9B31A0"/>
    <w:rsid w:val="1D807E56"/>
    <w:rsid w:val="1DAA77A7"/>
    <w:rsid w:val="1DC8247E"/>
    <w:rsid w:val="1E5344F9"/>
    <w:rsid w:val="1F4C5B16"/>
    <w:rsid w:val="1F6E4C84"/>
    <w:rsid w:val="1F996119"/>
    <w:rsid w:val="201E1C07"/>
    <w:rsid w:val="2171736E"/>
    <w:rsid w:val="22C27589"/>
    <w:rsid w:val="22DA67A0"/>
    <w:rsid w:val="231B7E62"/>
    <w:rsid w:val="23646952"/>
    <w:rsid w:val="24114171"/>
    <w:rsid w:val="243702D0"/>
    <w:rsid w:val="261E6BA2"/>
    <w:rsid w:val="27764507"/>
    <w:rsid w:val="28494E93"/>
    <w:rsid w:val="2A067935"/>
    <w:rsid w:val="2A731D21"/>
    <w:rsid w:val="2A904FAE"/>
    <w:rsid w:val="2AAF76B8"/>
    <w:rsid w:val="2AED0609"/>
    <w:rsid w:val="2AFC4894"/>
    <w:rsid w:val="2BF3446C"/>
    <w:rsid w:val="2C0F23A5"/>
    <w:rsid w:val="2D1E5BDE"/>
    <w:rsid w:val="2D202ABC"/>
    <w:rsid w:val="30A925BF"/>
    <w:rsid w:val="30D1169A"/>
    <w:rsid w:val="313660F3"/>
    <w:rsid w:val="31A64B75"/>
    <w:rsid w:val="321F6EB1"/>
    <w:rsid w:val="32DA1B9A"/>
    <w:rsid w:val="32EE73AD"/>
    <w:rsid w:val="33510E6D"/>
    <w:rsid w:val="33600675"/>
    <w:rsid w:val="356857B7"/>
    <w:rsid w:val="37954704"/>
    <w:rsid w:val="37BF0F9F"/>
    <w:rsid w:val="3862042D"/>
    <w:rsid w:val="38816CDE"/>
    <w:rsid w:val="38877E6A"/>
    <w:rsid w:val="394D4817"/>
    <w:rsid w:val="39D52D6D"/>
    <w:rsid w:val="3A3312D0"/>
    <w:rsid w:val="3B1C4698"/>
    <w:rsid w:val="3BD82AF5"/>
    <w:rsid w:val="3BFC415B"/>
    <w:rsid w:val="3C074EDE"/>
    <w:rsid w:val="3DBD4389"/>
    <w:rsid w:val="3DE54753"/>
    <w:rsid w:val="3EAF182F"/>
    <w:rsid w:val="3F5F2B6E"/>
    <w:rsid w:val="40616A59"/>
    <w:rsid w:val="40646B49"/>
    <w:rsid w:val="40E5033C"/>
    <w:rsid w:val="41452699"/>
    <w:rsid w:val="43E26C61"/>
    <w:rsid w:val="442059FF"/>
    <w:rsid w:val="448E28BE"/>
    <w:rsid w:val="453716C0"/>
    <w:rsid w:val="4670316E"/>
    <w:rsid w:val="46FC4B66"/>
    <w:rsid w:val="47421B61"/>
    <w:rsid w:val="47481C65"/>
    <w:rsid w:val="478C44AF"/>
    <w:rsid w:val="47C85858"/>
    <w:rsid w:val="47D93B88"/>
    <w:rsid w:val="49B33B03"/>
    <w:rsid w:val="4A647FF2"/>
    <w:rsid w:val="4A830AC5"/>
    <w:rsid w:val="4C4F6AC2"/>
    <w:rsid w:val="4D68038A"/>
    <w:rsid w:val="4D7F735C"/>
    <w:rsid w:val="4DC51F87"/>
    <w:rsid w:val="4EBD565D"/>
    <w:rsid w:val="4F3972CB"/>
    <w:rsid w:val="4FF0324F"/>
    <w:rsid w:val="500F2621"/>
    <w:rsid w:val="50154C45"/>
    <w:rsid w:val="50377F99"/>
    <w:rsid w:val="512A5B18"/>
    <w:rsid w:val="516E1798"/>
    <w:rsid w:val="52963C65"/>
    <w:rsid w:val="530E4AC4"/>
    <w:rsid w:val="53861634"/>
    <w:rsid w:val="53966D85"/>
    <w:rsid w:val="54290122"/>
    <w:rsid w:val="542D0BF9"/>
    <w:rsid w:val="54327F61"/>
    <w:rsid w:val="56460F02"/>
    <w:rsid w:val="56542BED"/>
    <w:rsid w:val="567F4699"/>
    <w:rsid w:val="56910EF7"/>
    <w:rsid w:val="577E1B28"/>
    <w:rsid w:val="57D12048"/>
    <w:rsid w:val="58092875"/>
    <w:rsid w:val="583F5B32"/>
    <w:rsid w:val="587753D7"/>
    <w:rsid w:val="591B3840"/>
    <w:rsid w:val="5936505F"/>
    <w:rsid w:val="59535F02"/>
    <w:rsid w:val="596F610E"/>
    <w:rsid w:val="5D186A5C"/>
    <w:rsid w:val="5EA12B9A"/>
    <w:rsid w:val="5EC61592"/>
    <w:rsid w:val="6024544B"/>
    <w:rsid w:val="60766BA9"/>
    <w:rsid w:val="60FD418F"/>
    <w:rsid w:val="616930CE"/>
    <w:rsid w:val="61694DA6"/>
    <w:rsid w:val="61D90FCD"/>
    <w:rsid w:val="625C4267"/>
    <w:rsid w:val="62701F28"/>
    <w:rsid w:val="62F41C7A"/>
    <w:rsid w:val="6374344C"/>
    <w:rsid w:val="63B65B26"/>
    <w:rsid w:val="64542FE8"/>
    <w:rsid w:val="65540141"/>
    <w:rsid w:val="661D61B9"/>
    <w:rsid w:val="68D47E36"/>
    <w:rsid w:val="69090A9E"/>
    <w:rsid w:val="6A2B4273"/>
    <w:rsid w:val="6BFB6754"/>
    <w:rsid w:val="6CD06EDE"/>
    <w:rsid w:val="6CE54BAD"/>
    <w:rsid w:val="6DCC1B4E"/>
    <w:rsid w:val="6E6300FF"/>
    <w:rsid w:val="6E856E85"/>
    <w:rsid w:val="6F457218"/>
    <w:rsid w:val="6F486209"/>
    <w:rsid w:val="6F645AC0"/>
    <w:rsid w:val="704C72E2"/>
    <w:rsid w:val="70563953"/>
    <w:rsid w:val="70EE19A4"/>
    <w:rsid w:val="714A76D4"/>
    <w:rsid w:val="71702D3C"/>
    <w:rsid w:val="71E35433"/>
    <w:rsid w:val="71FE51BE"/>
    <w:rsid w:val="72786FBF"/>
    <w:rsid w:val="72DB435C"/>
    <w:rsid w:val="72EA1F3A"/>
    <w:rsid w:val="73A1682D"/>
    <w:rsid w:val="73E14564"/>
    <w:rsid w:val="74285A1A"/>
    <w:rsid w:val="74370371"/>
    <w:rsid w:val="74DB24E3"/>
    <w:rsid w:val="74DC0BDB"/>
    <w:rsid w:val="74FF6217"/>
    <w:rsid w:val="75CD1CA7"/>
    <w:rsid w:val="75FF5579"/>
    <w:rsid w:val="7826709D"/>
    <w:rsid w:val="79314CD6"/>
    <w:rsid w:val="7A3B334A"/>
    <w:rsid w:val="7BF1538F"/>
    <w:rsid w:val="7C4F6B44"/>
    <w:rsid w:val="7F1F4828"/>
    <w:rsid w:val="7F363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link w:val="21"/>
    <w:unhideWhenUsed/>
    <w:qFormat/>
    <w:uiPriority w:val="99"/>
    <w:pPr>
      <w:spacing w:line="420" w:lineRule="exact"/>
    </w:pPr>
    <w:rPr>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Plain Text"/>
    <w:basedOn w:val="1"/>
    <w:link w:val="23"/>
    <w:qFormat/>
    <w:uiPriority w:val="0"/>
    <w:rPr>
      <w:rFonts w:ascii="宋体" w:hAnsi="Courier New"/>
    </w:rPr>
  </w:style>
  <w:style w:type="paragraph" w:styleId="7">
    <w:name w:val="Balloon Text"/>
    <w:basedOn w:val="1"/>
    <w:link w:val="16"/>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4"/>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qFormat/>
    <w:uiPriority w:val="0"/>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fontstyle01"/>
    <w:basedOn w:val="13"/>
    <w:qFormat/>
    <w:uiPriority w:val="0"/>
    <w:rPr>
      <w:rFonts w:hint="eastAsia" w:ascii="宋体" w:hAnsi="宋体" w:eastAsia="宋体"/>
      <w:color w:val="000000"/>
      <w:sz w:val="24"/>
      <w:szCs w:val="24"/>
    </w:rPr>
  </w:style>
  <w:style w:type="character" w:customStyle="1" w:styleId="19">
    <w:name w:val="fontstyle21"/>
    <w:basedOn w:val="13"/>
    <w:qFormat/>
    <w:uiPriority w:val="0"/>
    <w:rPr>
      <w:rFonts w:hint="default" w:ascii="Times New Roman" w:hAnsi="Times New Roman" w:cs="Times New Roman"/>
      <w:color w:val="000000"/>
      <w:sz w:val="24"/>
      <w:szCs w:val="24"/>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21">
    <w:name w:val="正文文本 Char"/>
    <w:basedOn w:val="13"/>
    <w:link w:val="3"/>
    <w:qFormat/>
    <w:uiPriority w:val="99"/>
    <w:rPr>
      <w:rFonts w:ascii="Times New Roman" w:hAnsi="Times New Roman" w:eastAsia="宋体" w:cs="Times New Roman"/>
      <w:kern w:val="2"/>
      <w:sz w:val="24"/>
    </w:rPr>
  </w:style>
  <w:style w:type="paragraph" w:customStyle="1" w:styleId="22">
    <w:name w:val="表格文字"/>
    <w:basedOn w:val="1"/>
    <w:qFormat/>
    <w:uiPriority w:val="0"/>
    <w:pPr>
      <w:spacing w:before="25" w:after="25"/>
    </w:pPr>
    <w:rPr>
      <w:bCs/>
      <w:spacing w:val="10"/>
    </w:rPr>
  </w:style>
  <w:style w:type="character" w:customStyle="1" w:styleId="23">
    <w:name w:val="纯文本 Char"/>
    <w:basedOn w:val="13"/>
    <w:link w:val="6"/>
    <w:qFormat/>
    <w:uiPriority w:val="0"/>
    <w:rPr>
      <w:rFonts w:ascii="宋体" w:hAnsi="Courier New" w:eastAsia="宋体" w:cs="Times New Roman"/>
      <w:kern w:val="2"/>
      <w:sz w:val="21"/>
    </w:rPr>
  </w:style>
  <w:style w:type="character" w:customStyle="1" w:styleId="24">
    <w:name w:val="标题 Char"/>
    <w:basedOn w:val="13"/>
    <w:link w:val="10"/>
    <w:qFormat/>
    <w:uiPriority w:val="0"/>
    <w:rPr>
      <w:rFonts w:ascii="Book Antiqua" w:hAnsi="Book Antiqua" w:eastAsia="宋体" w:cs="Times New Roman"/>
      <w:b/>
      <w:sz w:val="31"/>
      <w:szCs w:val="31"/>
      <w:u w:val="single"/>
      <w:lang w:eastAsia="en-US"/>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629</Words>
  <Characters>3590</Characters>
  <Lines>29</Lines>
  <Paragraphs>8</Paragraphs>
  <TotalTime>3</TotalTime>
  <ScaleCrop>false</ScaleCrop>
  <LinksUpToDate>false</LinksUpToDate>
  <CharactersWithSpaces>4211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2022-11-16T03:04:38Z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09AE695EA8734E9EB8E8229AAF1D7F79</vt:lpwstr>
  </property>
</Properties>
</file>