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86BD" w14:textId="77777777" w:rsidR="00663226" w:rsidRDefault="00663226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1F9CB45D" w14:textId="77777777" w:rsidR="00663226" w:rsidRDefault="000000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019"/>
        <w:gridCol w:w="11223"/>
        <w:gridCol w:w="760"/>
      </w:tblGrid>
      <w:tr w:rsidR="00663226" w14:paraId="5B13A7EA" w14:textId="77777777">
        <w:trPr>
          <w:trHeight w:val="515"/>
        </w:trPr>
        <w:tc>
          <w:tcPr>
            <w:tcW w:w="1707" w:type="dxa"/>
            <w:vMerge w:val="restart"/>
            <w:vAlign w:val="center"/>
          </w:tcPr>
          <w:p w14:paraId="59C013FF" w14:textId="77777777" w:rsidR="00663226" w:rsidRDefault="0000000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过程与活动、</w:t>
            </w:r>
          </w:p>
          <w:p w14:paraId="38CC1107" w14:textId="77777777" w:rsidR="00663226" w:rsidRDefault="0000000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14:paraId="07B608E5" w14:textId="77777777" w:rsidR="00663226" w:rsidRDefault="0000000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</w:t>
            </w:r>
          </w:p>
          <w:p w14:paraId="6D7FFA60" w14:textId="77777777" w:rsidR="00663226" w:rsidRDefault="0000000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14:paraId="61B53620" w14:textId="48F89175" w:rsidR="00663226" w:rsidRDefault="0000000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受审核部门：样品加工室   主管领导/陪同人员：</w:t>
            </w:r>
            <w:r w:rsidR="004566ED">
              <w:rPr>
                <w:rFonts w:ascii="宋体" w:hAnsi="宋体" w:cs="宋体" w:hint="eastAsia"/>
                <w:sz w:val="24"/>
                <w:szCs w:val="24"/>
              </w:rPr>
              <w:t>罗元</w:t>
            </w:r>
            <w:r>
              <w:rPr>
                <w:rFonts w:ascii="宋体" w:hAnsi="宋体" w:cs="宋体" w:hint="eastAsia"/>
                <w:sz w:val="24"/>
                <w:szCs w:val="24"/>
              </w:rPr>
              <w:t>/王全琼</w:t>
            </w:r>
          </w:p>
        </w:tc>
        <w:tc>
          <w:tcPr>
            <w:tcW w:w="760" w:type="dxa"/>
            <w:vMerge w:val="restart"/>
            <w:vAlign w:val="center"/>
          </w:tcPr>
          <w:p w14:paraId="7FEA5033" w14:textId="77777777" w:rsidR="00663226" w:rsidRDefault="00000000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判定</w:t>
            </w:r>
          </w:p>
        </w:tc>
      </w:tr>
      <w:tr w:rsidR="00663226" w14:paraId="1D1EE920" w14:textId="77777777">
        <w:trPr>
          <w:trHeight w:val="403"/>
        </w:trPr>
        <w:tc>
          <w:tcPr>
            <w:tcW w:w="1707" w:type="dxa"/>
            <w:vMerge/>
            <w:vAlign w:val="center"/>
          </w:tcPr>
          <w:p w14:paraId="1C1DB1B9" w14:textId="77777777" w:rsidR="00663226" w:rsidRDefault="00663226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14:paraId="3A37C765" w14:textId="77777777" w:rsidR="00663226" w:rsidRDefault="00663226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08E94895" w14:textId="0BF4C6D5" w:rsidR="00663226" w:rsidRDefault="00000000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审核员：</w:t>
            </w:r>
            <w:r w:rsidR="004566ED">
              <w:rPr>
                <w:rFonts w:ascii="宋体" w:hAnsi="宋体" w:cs="宋体" w:hint="eastAsia"/>
                <w:sz w:val="24"/>
                <w:szCs w:val="24"/>
              </w:rPr>
              <w:t>伍光华、林郁（实习）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审核时间：202</w:t>
            </w:r>
            <w:r w:rsidR="00FB40FB"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.</w:t>
            </w:r>
            <w:r w:rsidR="00FB40FB"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1.</w:t>
            </w:r>
            <w:r w:rsidR="00FB40FB">
              <w:rPr>
                <w:rFonts w:ascii="宋体" w:hAnsi="宋体" w:cs="宋体"/>
                <w:sz w:val="24"/>
                <w:szCs w:val="24"/>
              </w:rPr>
              <w:t>1</w:t>
            </w:r>
            <w:r w:rsidR="002475F3"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60" w:type="dxa"/>
            <w:vMerge/>
          </w:tcPr>
          <w:p w14:paraId="78923C44" w14:textId="77777777" w:rsidR="00663226" w:rsidRDefault="0066322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663226" w14:paraId="50DE5508" w14:textId="77777777">
        <w:trPr>
          <w:trHeight w:val="516"/>
        </w:trPr>
        <w:tc>
          <w:tcPr>
            <w:tcW w:w="1707" w:type="dxa"/>
            <w:vMerge/>
            <w:vAlign w:val="center"/>
          </w:tcPr>
          <w:p w14:paraId="45E2442C" w14:textId="77777777" w:rsidR="00663226" w:rsidRDefault="00663226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14:paraId="145E13C5" w14:textId="77777777" w:rsidR="00663226" w:rsidRDefault="00663226">
            <w:pPr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602240C9" w14:textId="77777777" w:rsidR="00FB40FB" w:rsidRDefault="00000000" w:rsidP="00FB40FB">
            <w:pPr>
              <w:adjustRightInd w:val="0"/>
              <w:snapToGrid w:val="0"/>
              <w:spacing w:line="320" w:lineRule="exact"/>
              <w:ind w:rightChars="50" w:right="105"/>
              <w:textAlignment w:val="baseline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涉及标准条款：</w:t>
            </w:r>
            <w:r w:rsidR="00FB40FB">
              <w:rPr>
                <w:rFonts w:ascii="宋体" w:hAnsi="宋体" w:cs="Arial"/>
                <w:szCs w:val="21"/>
              </w:rPr>
              <w:t>QMS:5.3</w:t>
            </w:r>
            <w:r w:rsidR="00FB40FB">
              <w:rPr>
                <w:rFonts w:ascii="宋体" w:hAnsi="宋体" w:cs="Arial" w:hint="eastAsia"/>
                <w:szCs w:val="21"/>
              </w:rPr>
              <w:t>组织的岗位、职责和权限、</w:t>
            </w:r>
            <w:r w:rsidR="00FB40FB">
              <w:rPr>
                <w:rFonts w:ascii="宋体" w:hAnsi="宋体" w:cs="Arial"/>
                <w:szCs w:val="21"/>
              </w:rPr>
              <w:t>6.2</w:t>
            </w:r>
            <w:r w:rsidR="00FB40FB">
              <w:rPr>
                <w:rFonts w:ascii="宋体" w:hAnsi="宋体" w:cs="Arial" w:hint="eastAsia"/>
                <w:szCs w:val="21"/>
              </w:rPr>
              <w:t>质量目标、</w:t>
            </w:r>
            <w:r w:rsidR="00FB40FB">
              <w:rPr>
                <w:rFonts w:ascii="宋体" w:hAnsi="宋体" w:cs="Arial"/>
                <w:szCs w:val="21"/>
              </w:rPr>
              <w:t>8.1</w:t>
            </w:r>
            <w:r w:rsidR="00FB40FB">
              <w:rPr>
                <w:rFonts w:ascii="宋体" w:hAnsi="宋体" w:cs="Arial" w:hint="eastAsia"/>
                <w:szCs w:val="21"/>
              </w:rPr>
              <w:t>运行策划和控制、</w:t>
            </w:r>
          </w:p>
          <w:p w14:paraId="5CD056E4" w14:textId="790D99B0" w:rsidR="00FB40FB" w:rsidRPr="002475F3" w:rsidRDefault="00FB40FB" w:rsidP="002475F3">
            <w:pPr>
              <w:snapToGrid w:val="0"/>
              <w:spacing w:line="26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E/OMS: 5.3</w:t>
            </w:r>
            <w:r>
              <w:rPr>
                <w:rFonts w:ascii="宋体" w:hAnsi="宋体" w:cs="Arial" w:hint="eastAsia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Cs w:val="21"/>
              </w:rPr>
              <w:t>6.2</w:t>
            </w:r>
            <w:r>
              <w:rPr>
                <w:rFonts w:ascii="宋体" w:hAnsi="宋体" w:cs="Arial" w:hint="eastAsia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Cs w:val="21"/>
              </w:rPr>
              <w:t>6.1.2</w:t>
            </w:r>
            <w:r>
              <w:rPr>
                <w:rFonts w:ascii="宋体" w:hAnsi="宋体" w:cs="Arial" w:hint="eastAsia"/>
                <w:szCs w:val="21"/>
              </w:rPr>
              <w:t>环境因素</w:t>
            </w:r>
            <w:r>
              <w:rPr>
                <w:rFonts w:ascii="宋体" w:hAnsi="宋体" w:cs="Arial"/>
                <w:szCs w:val="21"/>
              </w:rPr>
              <w:t>/</w:t>
            </w:r>
            <w:r>
              <w:rPr>
                <w:rFonts w:ascii="宋体" w:hAnsi="宋体" w:cs="Arial" w:hint="eastAsia"/>
                <w:szCs w:val="21"/>
              </w:rPr>
              <w:t>危险源辨识与评价、</w:t>
            </w:r>
            <w:r>
              <w:rPr>
                <w:rFonts w:ascii="宋体" w:hAnsi="宋体" w:cs="Arial"/>
                <w:szCs w:val="21"/>
              </w:rPr>
              <w:t>8.1</w:t>
            </w:r>
            <w:r>
              <w:rPr>
                <w:rFonts w:ascii="宋体" w:hAnsi="宋体" w:cs="Arial" w:hint="eastAsia"/>
                <w:szCs w:val="21"/>
              </w:rPr>
              <w:t>运行策划和控制、</w:t>
            </w:r>
            <w:r>
              <w:rPr>
                <w:rFonts w:ascii="宋体" w:hAnsi="宋体" w:cs="Arial"/>
                <w:szCs w:val="21"/>
              </w:rPr>
              <w:t>8.2</w:t>
            </w:r>
            <w:r>
              <w:rPr>
                <w:rFonts w:ascii="宋体" w:hAnsi="宋体" w:cs="Arial" w:hint="eastAsia"/>
                <w:szCs w:val="21"/>
              </w:rPr>
              <w:t>应急准备和响应，</w:t>
            </w:r>
          </w:p>
        </w:tc>
        <w:tc>
          <w:tcPr>
            <w:tcW w:w="760" w:type="dxa"/>
            <w:vMerge/>
          </w:tcPr>
          <w:p w14:paraId="3FA24FDB" w14:textId="77777777" w:rsidR="00663226" w:rsidRDefault="00663226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FB40FB" w14:paraId="3701BDE2" w14:textId="77777777">
        <w:trPr>
          <w:trHeight w:val="1081"/>
        </w:trPr>
        <w:tc>
          <w:tcPr>
            <w:tcW w:w="1707" w:type="dxa"/>
          </w:tcPr>
          <w:p w14:paraId="7C70F0E4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组织的岗位职责和权限</w:t>
            </w:r>
          </w:p>
          <w:p w14:paraId="13D644A1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E139A40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QEO：5.3</w:t>
            </w:r>
          </w:p>
          <w:p w14:paraId="711140D8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</w:tcPr>
          <w:p w14:paraId="3DF19621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根据手册（1）组织并安排加工室的生产任务。</w:t>
            </w:r>
          </w:p>
          <w:p w14:paraId="78194CF9" w14:textId="77777777" w:rsidR="00FB40FB" w:rsidRDefault="00FB40FB" w:rsidP="00FB40FB">
            <w:pPr>
              <w:spacing w:line="280" w:lineRule="exact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（2）做好加工室与各科室的沟通工作。</w:t>
            </w:r>
          </w:p>
          <w:p w14:paraId="7DAAD641" w14:textId="77777777" w:rsidR="00FB40FB" w:rsidRDefault="00FB40FB" w:rsidP="00FB40FB">
            <w:pPr>
              <w:spacing w:line="280" w:lineRule="exact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（3）负责对加工技术的有效指导。</w:t>
            </w:r>
          </w:p>
          <w:p w14:paraId="1DEA67BD" w14:textId="77777777" w:rsidR="00FB40FB" w:rsidRDefault="00FB40FB" w:rsidP="00FB40FB">
            <w:pPr>
              <w:spacing w:line="280" w:lineRule="exact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（4）负责对加工过程的质量监督，并及时解决加工中出现的问题。</w:t>
            </w:r>
          </w:p>
          <w:p w14:paraId="449A7555" w14:textId="77777777" w:rsidR="00FB40FB" w:rsidRDefault="00FB40FB" w:rsidP="00FB40FB">
            <w:pPr>
              <w:spacing w:line="280" w:lineRule="exact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（5）做好原始记录的审核工作，检查记录填写是否完整，数据是否属实。</w:t>
            </w:r>
          </w:p>
          <w:p w14:paraId="74941624" w14:textId="77777777" w:rsidR="00FB40FB" w:rsidRDefault="00FB40FB" w:rsidP="00FB40FB">
            <w:pPr>
              <w:spacing w:line="280" w:lineRule="exact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（6）组织加工人员进行业务技能的学习。</w:t>
            </w:r>
          </w:p>
          <w:p w14:paraId="7022623B" w14:textId="77777777" w:rsidR="00FB40FB" w:rsidRDefault="00FB40FB" w:rsidP="00FB40FB">
            <w:pPr>
              <w:spacing w:line="280" w:lineRule="exact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（7）完成上级领导交办的其它工作。</w:t>
            </w:r>
          </w:p>
        </w:tc>
        <w:tc>
          <w:tcPr>
            <w:tcW w:w="760" w:type="dxa"/>
          </w:tcPr>
          <w:p w14:paraId="721F54B6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B40FB" w14:paraId="78008604" w14:textId="77777777">
        <w:trPr>
          <w:trHeight w:val="1603"/>
        </w:trPr>
        <w:tc>
          <w:tcPr>
            <w:tcW w:w="1707" w:type="dxa"/>
          </w:tcPr>
          <w:p w14:paraId="58DE5301" w14:textId="6822FBA0" w:rsidR="00FB40FB" w:rsidRPr="00B75FA5" w:rsidRDefault="00B75FA5" w:rsidP="00FB40FB">
            <w:pPr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Arial" w:hint="eastAsia"/>
                <w:szCs w:val="21"/>
              </w:rPr>
              <w:t>质量目标，环境与职业健康安全目标</w:t>
            </w:r>
          </w:p>
        </w:tc>
        <w:tc>
          <w:tcPr>
            <w:tcW w:w="1019" w:type="dxa"/>
          </w:tcPr>
          <w:p w14:paraId="64232746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QEO：6.2</w:t>
            </w:r>
          </w:p>
          <w:p w14:paraId="33A6A76F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722298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</w:tcPr>
          <w:p w14:paraId="04A5EFD3" w14:textId="77777777" w:rsidR="00FB40FB" w:rsidRDefault="00FB40FB" w:rsidP="00FB40FB">
            <w:pPr>
              <w:spacing w:line="2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管理目标有：</w:t>
            </w:r>
            <w:r>
              <w:rPr>
                <w:rFonts w:hint="eastAsia"/>
                <w:color w:val="000000"/>
                <w:szCs w:val="21"/>
              </w:rPr>
              <w:t xml:space="preserve">                       </w:t>
            </w:r>
          </w:p>
          <w:tbl>
            <w:tblPr>
              <w:tblW w:w="91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8"/>
              <w:gridCol w:w="1335"/>
              <w:gridCol w:w="1857"/>
              <w:gridCol w:w="1062"/>
            </w:tblGrid>
            <w:tr w:rsidR="00FB40FB" w14:paraId="4C34DC8D" w14:textId="77777777">
              <w:trPr>
                <w:trHeight w:val="163"/>
                <w:jc w:val="center"/>
              </w:trPr>
              <w:tc>
                <w:tcPr>
                  <w:tcW w:w="4908" w:type="dxa"/>
                  <w:vMerge w:val="restart"/>
                  <w:vAlign w:val="center"/>
                </w:tcPr>
                <w:p w14:paraId="6CEE1384" w14:textId="77777777" w:rsidR="00FB40FB" w:rsidRDefault="00FB40FB" w:rsidP="00FB40FB">
                  <w:pPr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sz w:val="24"/>
                    </w:rPr>
                    <w:t>质量、环境、职业健康安全目标</w:t>
                  </w:r>
                </w:p>
              </w:tc>
              <w:tc>
                <w:tcPr>
                  <w:tcW w:w="4254" w:type="dxa"/>
                  <w:gridSpan w:val="3"/>
                  <w:vAlign w:val="center"/>
                </w:tcPr>
                <w:p w14:paraId="046FB30E" w14:textId="0A2A234A" w:rsidR="00FB40FB" w:rsidRDefault="00FB40FB" w:rsidP="00FB40FB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考核（202</w:t>
                  </w:r>
                  <w:r w:rsidR="00C8708D">
                    <w:rPr>
                      <w:rFonts w:ascii="宋体" w:hAnsi="宋体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sz w:val="24"/>
                    </w:rPr>
                    <w:t>年</w:t>
                  </w:r>
                  <w:r w:rsidR="00C8708D">
                    <w:rPr>
                      <w:rFonts w:ascii="宋体" w:hAnsi="宋体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sz w:val="24"/>
                    </w:rPr>
                    <w:t>月-202</w:t>
                  </w:r>
                  <w:r w:rsidR="00C8708D">
                    <w:rPr>
                      <w:rFonts w:ascii="宋体" w:hAnsi="宋体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sz w:val="24"/>
                    </w:rPr>
                    <w:t>年1</w:t>
                  </w:r>
                  <w:r w:rsidR="00C8708D">
                    <w:rPr>
                      <w:rFonts w:ascii="宋体" w:hAnsi="宋体"/>
                      <w:sz w:val="24"/>
                    </w:rPr>
                    <w:t>0</w:t>
                  </w:r>
                  <w:r>
                    <w:rPr>
                      <w:rFonts w:ascii="宋体" w:hAnsi="宋体" w:hint="eastAsia"/>
                      <w:sz w:val="24"/>
                    </w:rPr>
                    <w:t>月份）</w:t>
                  </w:r>
                </w:p>
              </w:tc>
            </w:tr>
            <w:tr w:rsidR="00FB40FB" w14:paraId="0170EE18" w14:textId="77777777">
              <w:trPr>
                <w:trHeight w:val="163"/>
                <w:jc w:val="center"/>
              </w:trPr>
              <w:tc>
                <w:tcPr>
                  <w:tcW w:w="4908" w:type="dxa"/>
                  <w:vMerge/>
                  <w:vAlign w:val="center"/>
                </w:tcPr>
                <w:p w14:paraId="22FDFD78" w14:textId="77777777" w:rsidR="00FB40FB" w:rsidRDefault="00FB40FB" w:rsidP="00FB40FB">
                  <w:pPr>
                    <w:ind w:firstLine="480"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1335" w:type="dxa"/>
                  <w:vAlign w:val="center"/>
                </w:tcPr>
                <w:p w14:paraId="04F19BD2" w14:textId="77777777" w:rsidR="00FB40FB" w:rsidRDefault="00FB40FB" w:rsidP="00FB40FB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考核情况</w:t>
                  </w:r>
                </w:p>
              </w:tc>
              <w:tc>
                <w:tcPr>
                  <w:tcW w:w="1857" w:type="dxa"/>
                  <w:vAlign w:val="center"/>
                </w:tcPr>
                <w:p w14:paraId="43F375BF" w14:textId="77777777" w:rsidR="00FB40FB" w:rsidRDefault="00FB40FB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考核时间</w:t>
                  </w:r>
                </w:p>
              </w:tc>
              <w:tc>
                <w:tcPr>
                  <w:tcW w:w="1062" w:type="dxa"/>
                  <w:vAlign w:val="center"/>
                </w:tcPr>
                <w:p w14:paraId="6DF8EB8A" w14:textId="77777777" w:rsidR="00FB40FB" w:rsidRDefault="00FB40FB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考核人</w:t>
                  </w:r>
                </w:p>
              </w:tc>
            </w:tr>
            <w:tr w:rsidR="00FB40FB" w14:paraId="260E3164" w14:textId="77777777">
              <w:trPr>
                <w:trHeight w:val="335"/>
                <w:jc w:val="center"/>
              </w:trPr>
              <w:tc>
                <w:tcPr>
                  <w:tcW w:w="4908" w:type="dxa"/>
                </w:tcPr>
                <w:p w14:paraId="646AC3FE" w14:textId="77777777" w:rsidR="00FB40FB" w:rsidRDefault="00FB40FB" w:rsidP="00FB40FB">
                  <w:pPr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加工合格率100%；</w:t>
                  </w:r>
                </w:p>
              </w:tc>
              <w:tc>
                <w:tcPr>
                  <w:tcW w:w="1335" w:type="dxa"/>
                  <w:vAlign w:val="center"/>
                </w:tcPr>
                <w:p w14:paraId="6EEDC6BB" w14:textId="77777777" w:rsidR="00FB40FB" w:rsidRDefault="00FB40FB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100%</w:t>
                  </w:r>
                </w:p>
              </w:tc>
              <w:tc>
                <w:tcPr>
                  <w:tcW w:w="1857" w:type="dxa"/>
                  <w:vAlign w:val="center"/>
                </w:tcPr>
                <w:p w14:paraId="32EDE8F9" w14:textId="620895C9" w:rsidR="00FB40FB" w:rsidRDefault="00FB40FB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202</w:t>
                  </w:r>
                  <w:r w:rsidR="00C8708D">
                    <w:rPr>
                      <w:rFonts w:ascii="宋体" w:hAnsi="宋体"/>
                      <w:color w:val="00000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.</w:t>
                  </w:r>
                  <w:r w:rsidR="00C8708D">
                    <w:rPr>
                      <w:rFonts w:ascii="宋体" w:hAnsi="宋体"/>
                      <w:color w:val="000000"/>
                      <w:sz w:val="24"/>
                    </w:rPr>
                    <w:t>10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.</w:t>
                  </w:r>
                  <w:r w:rsidR="009F2A98">
                    <w:rPr>
                      <w:rFonts w:ascii="宋体" w:hAnsi="宋体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1062" w:type="dxa"/>
                  <w:vMerge w:val="restart"/>
                  <w:vAlign w:val="center"/>
                </w:tcPr>
                <w:p w14:paraId="6C0F67CE" w14:textId="77777777" w:rsidR="00FB40FB" w:rsidRDefault="00FB40FB" w:rsidP="00FB40FB">
                  <w:pPr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总工室</w:t>
                  </w:r>
                </w:p>
              </w:tc>
            </w:tr>
            <w:tr w:rsidR="00FB40FB" w14:paraId="759A6AA6" w14:textId="77777777">
              <w:trPr>
                <w:trHeight w:val="335"/>
                <w:jc w:val="center"/>
              </w:trPr>
              <w:tc>
                <w:tcPr>
                  <w:tcW w:w="4908" w:type="dxa"/>
                </w:tcPr>
                <w:p w14:paraId="09897E02" w14:textId="77777777" w:rsidR="00FB40FB" w:rsidRDefault="00FB40FB" w:rsidP="00FB40FB">
                  <w:pPr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生产安全事故率为零。</w:t>
                  </w:r>
                </w:p>
              </w:tc>
              <w:tc>
                <w:tcPr>
                  <w:tcW w:w="1335" w:type="dxa"/>
                  <w:vAlign w:val="center"/>
                </w:tcPr>
                <w:p w14:paraId="7AB3BA6F" w14:textId="77777777" w:rsidR="00FB40FB" w:rsidRDefault="00FB40FB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100%</w:t>
                  </w:r>
                </w:p>
              </w:tc>
              <w:tc>
                <w:tcPr>
                  <w:tcW w:w="1857" w:type="dxa"/>
                  <w:vAlign w:val="center"/>
                </w:tcPr>
                <w:p w14:paraId="5C043EDE" w14:textId="391B75C9" w:rsidR="00FB40FB" w:rsidRDefault="009F2A98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202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.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10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.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1062" w:type="dxa"/>
                  <w:vMerge/>
                  <w:vAlign w:val="center"/>
                </w:tcPr>
                <w:p w14:paraId="29EC9EF2" w14:textId="77777777" w:rsidR="00FB40FB" w:rsidRDefault="00FB40FB" w:rsidP="00FB40FB">
                  <w:pPr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:rsidR="00FB40FB" w14:paraId="09D2843B" w14:textId="77777777">
              <w:trPr>
                <w:trHeight w:val="335"/>
                <w:jc w:val="center"/>
              </w:trPr>
              <w:tc>
                <w:tcPr>
                  <w:tcW w:w="4908" w:type="dxa"/>
                </w:tcPr>
                <w:p w14:paraId="3FFA601C" w14:textId="77777777" w:rsidR="00FB40FB" w:rsidRDefault="00FB40FB" w:rsidP="00FB40FB">
                  <w:pPr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/>
                    </w:rPr>
                    <w:t>火灾事故为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。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</w:tc>
              <w:tc>
                <w:tcPr>
                  <w:tcW w:w="1335" w:type="dxa"/>
                  <w:vAlign w:val="center"/>
                </w:tcPr>
                <w:p w14:paraId="0345EB1E" w14:textId="77777777" w:rsidR="00FB40FB" w:rsidRDefault="00FB40FB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1857" w:type="dxa"/>
                  <w:vAlign w:val="center"/>
                </w:tcPr>
                <w:p w14:paraId="2C598251" w14:textId="3F8FD55B" w:rsidR="00FB40FB" w:rsidRDefault="009F2A98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202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.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10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.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1062" w:type="dxa"/>
                  <w:vMerge/>
                  <w:vAlign w:val="center"/>
                </w:tcPr>
                <w:p w14:paraId="00E91B8C" w14:textId="77777777" w:rsidR="00FB40FB" w:rsidRDefault="00FB40FB" w:rsidP="00FB40FB">
                  <w:pPr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  <w:tr w:rsidR="00FB40FB" w14:paraId="7424E6F9" w14:textId="77777777">
              <w:trPr>
                <w:trHeight w:val="335"/>
                <w:jc w:val="center"/>
              </w:trPr>
              <w:tc>
                <w:tcPr>
                  <w:tcW w:w="4908" w:type="dxa"/>
                </w:tcPr>
                <w:p w14:paraId="6C279204" w14:textId="77777777" w:rsidR="00FB40FB" w:rsidRDefault="00FB40FB" w:rsidP="00FB40FB">
                  <w:pPr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/>
                    </w:rPr>
                    <w:t>固废分类处置率</w:t>
                  </w:r>
                  <w:r>
                    <w:rPr>
                      <w:rFonts w:hint="eastAsia"/>
                    </w:rPr>
                    <w:t>100%</w:t>
                  </w:r>
                  <w:r>
                    <w:rPr>
                      <w:rFonts w:hint="eastAsia"/>
                    </w:rPr>
                    <w:t>；</w:t>
                  </w:r>
                </w:p>
              </w:tc>
              <w:tc>
                <w:tcPr>
                  <w:tcW w:w="1335" w:type="dxa"/>
                  <w:vAlign w:val="center"/>
                </w:tcPr>
                <w:p w14:paraId="45198CD7" w14:textId="77777777" w:rsidR="00FB40FB" w:rsidRDefault="00FB40FB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100%</w:t>
                  </w:r>
                </w:p>
              </w:tc>
              <w:tc>
                <w:tcPr>
                  <w:tcW w:w="1857" w:type="dxa"/>
                  <w:vAlign w:val="center"/>
                </w:tcPr>
                <w:p w14:paraId="003CED33" w14:textId="64D018F3" w:rsidR="00FB40FB" w:rsidRDefault="009F2A98" w:rsidP="00FB40FB">
                  <w:pPr>
                    <w:jc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202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.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10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.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1062" w:type="dxa"/>
                  <w:vMerge/>
                  <w:vAlign w:val="center"/>
                </w:tcPr>
                <w:p w14:paraId="3C646FE1" w14:textId="77777777" w:rsidR="00FB40FB" w:rsidRDefault="00FB40FB" w:rsidP="00FB40FB">
                  <w:pPr>
                    <w:rPr>
                      <w:rFonts w:ascii="宋体" w:hAnsi="宋体"/>
                      <w:color w:val="000000"/>
                      <w:sz w:val="24"/>
                    </w:rPr>
                  </w:pPr>
                </w:p>
              </w:tc>
            </w:tr>
          </w:tbl>
          <w:p w14:paraId="46BDDDAF" w14:textId="77777777" w:rsidR="00FB40FB" w:rsidRDefault="00FB40FB" w:rsidP="00FB40FB">
            <w:pPr>
              <w:pStyle w:val="a4"/>
              <w:spacing w:line="300" w:lineRule="auto"/>
              <w:ind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</w:t>
            </w:r>
          </w:p>
          <w:p w14:paraId="7CEE6CE5" w14:textId="1D430024" w:rsidR="00FB40FB" w:rsidRDefault="00FB40FB" w:rsidP="00FB40FB">
            <w:pPr>
              <w:spacing w:line="28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目标可测量，与公司方针一致。</w:t>
            </w:r>
          </w:p>
          <w:p w14:paraId="61D483BA" w14:textId="2E691E40" w:rsidR="00FB40FB" w:rsidRDefault="009F2A98" w:rsidP="00FB40FB">
            <w:pPr>
              <w:spacing w:line="280" w:lineRule="exact"/>
              <w:ind w:firstLineChars="200"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管理目标按季度统计，上一次统计时间为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022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日，</w:t>
            </w:r>
            <w:r w:rsidR="00FB40FB">
              <w:rPr>
                <w:rFonts w:hint="eastAsia"/>
                <w:color w:val="000000"/>
                <w:szCs w:val="21"/>
              </w:rPr>
              <w:t>管理目标完成。</w:t>
            </w:r>
          </w:p>
        </w:tc>
        <w:tc>
          <w:tcPr>
            <w:tcW w:w="760" w:type="dxa"/>
          </w:tcPr>
          <w:p w14:paraId="30CE5E33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B40FB" w14:paraId="7DE2552A" w14:textId="77777777">
        <w:trPr>
          <w:trHeight w:val="1465"/>
        </w:trPr>
        <w:tc>
          <w:tcPr>
            <w:tcW w:w="1707" w:type="dxa"/>
          </w:tcPr>
          <w:p w14:paraId="0FD202DA" w14:textId="77777777" w:rsidR="00FB40FB" w:rsidRDefault="00FB40FB" w:rsidP="00FB40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运行的策划和控制</w:t>
            </w:r>
          </w:p>
        </w:tc>
        <w:tc>
          <w:tcPr>
            <w:tcW w:w="1019" w:type="dxa"/>
          </w:tcPr>
          <w:p w14:paraId="06C40D10" w14:textId="77777777" w:rsidR="00FB40FB" w:rsidRDefault="00FB40FB" w:rsidP="00FB40FB">
            <w:pPr>
              <w:spacing w:before="120"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Q8.1</w:t>
            </w:r>
          </w:p>
        </w:tc>
        <w:tc>
          <w:tcPr>
            <w:tcW w:w="11223" w:type="dxa"/>
          </w:tcPr>
          <w:p w14:paraId="2A35C434" w14:textId="77777777" w:rsidR="00FB40FB" w:rsidRPr="00186DFA" w:rsidRDefault="00FB40FB" w:rsidP="00FB40FB">
            <w:pPr>
              <w:spacing w:line="340" w:lineRule="exact"/>
              <w:rPr>
                <w:rFonts w:ascii="宋体" w:hAnsi="宋体"/>
                <w:sz w:val="24"/>
                <w:szCs w:val="24"/>
              </w:rPr>
            </w:pPr>
            <w:r w:rsidRPr="00186DFA">
              <w:rPr>
                <w:rFonts w:ascii="宋体" w:hAnsi="宋体" w:hint="eastAsia"/>
                <w:sz w:val="24"/>
              </w:rPr>
              <w:t>公司编制有产品实现的策划程序《生产和服务管理控制程序》、《设备控制程序》，针对每个设备，制定了设备操作规程。确保各类样品的加工顺利，样品检测满足相关标准的要求和顾客的要求，对样品、过程或合同规定制定专门的质量措施、资源和活动顺序，以确保满足规定要求，依据样品的要求，确定了样品的加工工艺流程，关键过程,编制了相关的工艺文件，作业指导书</w:t>
            </w:r>
            <w:r w:rsidRPr="00186DFA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6BB4CADE" w14:textId="77777777" w:rsidR="00FB40FB" w:rsidRPr="00186DFA" w:rsidRDefault="00FB40FB" w:rsidP="00FB40FB">
            <w:pPr>
              <w:rPr>
                <w:rFonts w:ascii="宋体" w:hAnsi="宋体"/>
                <w:sz w:val="24"/>
                <w:szCs w:val="24"/>
              </w:rPr>
            </w:pPr>
            <w:r w:rsidRPr="00186DFA">
              <w:rPr>
                <w:rFonts w:ascii="宋体" w:hAnsi="宋体" w:hint="eastAsia"/>
                <w:sz w:val="24"/>
                <w:szCs w:val="24"/>
              </w:rPr>
              <w:t>查看样品加工工艺流程：</w:t>
            </w:r>
          </w:p>
          <w:p w14:paraId="11D78789" w14:textId="77777777" w:rsidR="00FB40FB" w:rsidRPr="00186DFA" w:rsidRDefault="00FB40FB" w:rsidP="00FB40FB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  <w:r w:rsidRPr="00186DFA">
              <w:rPr>
                <w:rFonts w:ascii="宋体" w:hAnsi="宋体" w:hint="eastAsia"/>
                <w:b/>
                <w:bCs/>
                <w:sz w:val="24"/>
              </w:rPr>
              <w:t>岩矿样品加工流程</w:t>
            </w:r>
          </w:p>
          <w:p w14:paraId="14774101" w14:textId="77777777" w:rsidR="00FB40FB" w:rsidRPr="00186DFA" w:rsidRDefault="00FB40FB" w:rsidP="00FB40FB">
            <w:pPr>
              <w:spacing w:line="340" w:lineRule="exact"/>
              <w:rPr>
                <w:rFonts w:ascii="宋体" w:hAnsi="宋体"/>
                <w:sz w:val="24"/>
              </w:rPr>
            </w:pPr>
            <w:r w:rsidRPr="00186DFA">
              <w:rPr>
                <w:rFonts w:ascii="宋体" w:hAnsi="宋体" w:hint="eastAsia"/>
                <w:sz w:val="24"/>
              </w:rPr>
              <w:t>粗碎→中碎→缩分→细碎→装袋</w:t>
            </w:r>
          </w:p>
          <w:p w14:paraId="3E05799D" w14:textId="77777777" w:rsidR="00FB40FB" w:rsidRPr="00186DFA" w:rsidRDefault="00FB40FB" w:rsidP="00FB40FB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  <w:r w:rsidRPr="00186DFA">
              <w:rPr>
                <w:rFonts w:ascii="宋体" w:hAnsi="宋体" w:hint="eastAsia"/>
                <w:b/>
                <w:bCs/>
                <w:sz w:val="24"/>
              </w:rPr>
              <w:t>环境样品加工流程 理化项目：</w:t>
            </w:r>
          </w:p>
          <w:p w14:paraId="731742FD" w14:textId="77777777" w:rsidR="00FB40FB" w:rsidRPr="00186DFA" w:rsidRDefault="00FB40FB" w:rsidP="00FB40FB">
            <w:pPr>
              <w:spacing w:line="340" w:lineRule="exact"/>
              <w:rPr>
                <w:rFonts w:ascii="宋体" w:hAnsi="宋体"/>
                <w:sz w:val="24"/>
                <w:szCs w:val="22"/>
              </w:rPr>
            </w:pPr>
            <w:r w:rsidRPr="00186DFA">
              <w:rPr>
                <w:rFonts w:ascii="宋体" w:hAnsi="宋体" w:hint="eastAsia"/>
                <w:sz w:val="24"/>
                <w:szCs w:val="22"/>
              </w:rPr>
              <w:t>风干→研磨→过筛→装瓶</w:t>
            </w:r>
          </w:p>
          <w:p w14:paraId="5E71E4A3" w14:textId="77777777" w:rsidR="00FB40FB" w:rsidRPr="00186DFA" w:rsidRDefault="00FB40FB" w:rsidP="00FB40FB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  <w:r w:rsidRPr="00186DFA">
              <w:rPr>
                <w:rFonts w:ascii="宋体" w:hAnsi="宋体" w:hint="eastAsia"/>
                <w:b/>
                <w:bCs/>
                <w:sz w:val="24"/>
              </w:rPr>
              <w:t>有机项目：</w:t>
            </w:r>
          </w:p>
          <w:p w14:paraId="525D1D73" w14:textId="77777777" w:rsidR="00FB40FB" w:rsidRPr="00186DFA" w:rsidRDefault="00FB40FB" w:rsidP="00FB40FB">
            <w:pPr>
              <w:spacing w:line="340" w:lineRule="exact"/>
              <w:rPr>
                <w:rFonts w:ascii="宋体" w:hAnsi="宋体"/>
                <w:sz w:val="24"/>
              </w:rPr>
            </w:pPr>
            <w:r w:rsidRPr="00186DFA">
              <w:rPr>
                <w:rFonts w:ascii="宋体" w:hAnsi="宋体" w:hint="eastAsia"/>
                <w:sz w:val="24"/>
              </w:rPr>
              <w:t>预冷冻→冷冻干燥→研磨→装瓶</w:t>
            </w:r>
          </w:p>
          <w:p w14:paraId="593FB59E" w14:textId="77777777" w:rsidR="00FB40FB" w:rsidRPr="00186DFA" w:rsidRDefault="00FB40FB" w:rsidP="00FB40FB">
            <w:pPr>
              <w:pStyle w:val="af"/>
              <w:spacing w:line="340" w:lineRule="exact"/>
              <w:rPr>
                <w:rFonts w:ascii="宋体" w:hAnsi="宋体"/>
                <w:sz w:val="24"/>
              </w:rPr>
            </w:pPr>
            <w:r w:rsidRPr="00186DFA">
              <w:rPr>
                <w:rFonts w:ascii="宋体" w:hAnsi="宋体" w:hint="eastAsia"/>
                <w:sz w:val="24"/>
              </w:rPr>
              <w:t>样品整改加工过程为关键过程</w:t>
            </w:r>
          </w:p>
          <w:p w14:paraId="7C275D5D" w14:textId="7F069DEF" w:rsidR="00FB40FB" w:rsidRPr="00186DFA" w:rsidRDefault="00FB40FB" w:rsidP="00FB40FB">
            <w:pPr>
              <w:pStyle w:val="af"/>
              <w:spacing w:line="340" w:lineRule="exact"/>
              <w:rPr>
                <w:rFonts w:ascii="宋体" w:hAnsi="宋体"/>
                <w:sz w:val="24"/>
              </w:rPr>
            </w:pPr>
            <w:r w:rsidRPr="00186DFA">
              <w:rPr>
                <w:rFonts w:ascii="宋体" w:hAnsi="宋体" w:hint="eastAsia"/>
                <w:sz w:val="24"/>
              </w:rPr>
              <w:t>加工车间提供《生产设备台账》主要设备设施：电热恒温干燥箱，行星球磨机，颚式破碎机，双辊破碎机，圆盘粉碎机</w:t>
            </w:r>
            <w:r w:rsidR="001D5E15">
              <w:rPr>
                <w:rFonts w:ascii="宋体" w:hAnsi="宋体" w:hint="eastAsia"/>
                <w:sz w:val="24"/>
              </w:rPr>
              <w:t>，</w:t>
            </w:r>
            <w:r w:rsidRPr="00186DFA">
              <w:rPr>
                <w:rFonts w:ascii="宋体" w:hAnsi="宋体" w:hint="eastAsia"/>
                <w:sz w:val="24"/>
              </w:rPr>
              <w:t>制样粉碎机，光谱电极车床等等，设备能力基本满足要求</w:t>
            </w:r>
          </w:p>
          <w:p w14:paraId="0D35B95E" w14:textId="17F4BFD0" w:rsidR="00FB40FB" w:rsidRPr="00186DFA" w:rsidRDefault="00FB40FB" w:rsidP="00FB40FB">
            <w:pPr>
              <w:pStyle w:val="af"/>
              <w:spacing w:line="340" w:lineRule="exact"/>
              <w:rPr>
                <w:rFonts w:ascii="宋体" w:hAnsi="宋体"/>
                <w:sz w:val="24"/>
              </w:rPr>
            </w:pPr>
            <w:r w:rsidRPr="00186DFA">
              <w:rPr>
                <w:rFonts w:ascii="宋体" w:hAnsi="宋体" w:hint="eastAsia"/>
                <w:sz w:val="24"/>
              </w:rPr>
              <w:t>查看《202</w:t>
            </w:r>
            <w:r w:rsidR="00C5353F" w:rsidRPr="00186DFA">
              <w:rPr>
                <w:rFonts w:ascii="宋体" w:hAnsi="宋体"/>
                <w:sz w:val="24"/>
              </w:rPr>
              <w:t>2</w:t>
            </w:r>
            <w:r w:rsidRPr="00186DFA">
              <w:rPr>
                <w:rFonts w:ascii="宋体" w:hAnsi="宋体" w:hint="eastAsia"/>
                <w:sz w:val="24"/>
              </w:rPr>
              <w:t>年度员工培训计划表》，202</w:t>
            </w:r>
            <w:r w:rsidR="00C5353F" w:rsidRPr="00186DFA">
              <w:rPr>
                <w:rFonts w:ascii="宋体" w:hAnsi="宋体"/>
                <w:sz w:val="24"/>
              </w:rPr>
              <w:t>2</w:t>
            </w:r>
            <w:r w:rsidRPr="00186DFA">
              <w:rPr>
                <w:rFonts w:ascii="宋体" w:hAnsi="宋体" w:hint="eastAsia"/>
                <w:sz w:val="24"/>
              </w:rPr>
              <w:t>年</w:t>
            </w:r>
            <w:r w:rsidR="00C5353F" w:rsidRPr="00186DFA">
              <w:rPr>
                <w:rFonts w:ascii="宋体" w:hAnsi="宋体"/>
                <w:sz w:val="24"/>
              </w:rPr>
              <w:t>4</w:t>
            </w:r>
            <w:r w:rsidRPr="00186DFA">
              <w:rPr>
                <w:rFonts w:ascii="宋体" w:hAnsi="宋体" w:hint="eastAsia"/>
                <w:sz w:val="24"/>
              </w:rPr>
              <w:t>月2</w:t>
            </w:r>
            <w:r w:rsidR="00C5353F" w:rsidRPr="00186DFA">
              <w:rPr>
                <w:rFonts w:ascii="宋体" w:hAnsi="宋体"/>
                <w:sz w:val="24"/>
              </w:rPr>
              <w:t>6</w:t>
            </w:r>
            <w:r w:rsidRPr="00186DFA">
              <w:rPr>
                <w:rFonts w:ascii="宋体" w:hAnsi="宋体" w:hint="eastAsia"/>
                <w:sz w:val="24"/>
              </w:rPr>
              <w:t>日进行了《</w:t>
            </w:r>
            <w:r w:rsidR="00C5353F" w:rsidRPr="00186DFA">
              <w:rPr>
                <w:rFonts w:ascii="宋体" w:hAnsi="宋体" w:hint="eastAsia"/>
                <w:sz w:val="24"/>
              </w:rPr>
              <w:t>凯式定氮仪应用技术培训</w:t>
            </w:r>
            <w:r w:rsidRPr="00186DFA">
              <w:rPr>
                <w:rFonts w:ascii="宋体" w:hAnsi="宋体" w:hint="eastAsia"/>
                <w:sz w:val="24"/>
              </w:rPr>
              <w:t>》，考试结果均合格</w:t>
            </w:r>
            <w:r w:rsidR="00C5353F" w:rsidRPr="00186DFA">
              <w:rPr>
                <w:rFonts w:ascii="宋体" w:hAnsi="宋体" w:hint="eastAsia"/>
                <w:sz w:val="24"/>
              </w:rPr>
              <w:t>。</w:t>
            </w:r>
            <w:r w:rsidR="00186DFA" w:rsidRPr="00186DFA">
              <w:rPr>
                <w:rFonts w:ascii="宋体" w:hAnsi="宋体" w:hint="eastAsia"/>
                <w:sz w:val="24"/>
              </w:rPr>
              <w:t>2</w:t>
            </w:r>
            <w:r w:rsidR="00186DFA" w:rsidRPr="00186DFA">
              <w:rPr>
                <w:rFonts w:ascii="宋体" w:hAnsi="宋体"/>
                <w:sz w:val="24"/>
              </w:rPr>
              <w:t>022</w:t>
            </w:r>
            <w:r w:rsidR="00186DFA" w:rsidRPr="00186DFA">
              <w:rPr>
                <w:rFonts w:ascii="宋体" w:hAnsi="宋体" w:hint="eastAsia"/>
                <w:sz w:val="24"/>
              </w:rPr>
              <w:t>年7月1</w:t>
            </w:r>
            <w:r w:rsidR="00186DFA" w:rsidRPr="00186DFA">
              <w:rPr>
                <w:rFonts w:ascii="宋体" w:hAnsi="宋体"/>
                <w:sz w:val="24"/>
              </w:rPr>
              <w:t>4</w:t>
            </w:r>
            <w:r w:rsidR="00186DFA" w:rsidRPr="00186DFA">
              <w:rPr>
                <w:rFonts w:ascii="宋体" w:hAnsi="宋体" w:hint="eastAsia"/>
                <w:sz w:val="24"/>
              </w:rPr>
              <w:t>日进行了《兽残农残检测前技术处理技术》培训，考试结果合格。</w:t>
            </w:r>
          </w:p>
          <w:p w14:paraId="6114F2EF" w14:textId="380B38CE" w:rsidR="00FB40FB" w:rsidRPr="00186DFA" w:rsidRDefault="00FB40FB" w:rsidP="00FB40FB">
            <w:pPr>
              <w:pStyle w:val="af"/>
              <w:spacing w:line="340" w:lineRule="exact"/>
              <w:rPr>
                <w:rFonts w:ascii="宋体" w:hAnsi="宋体"/>
                <w:sz w:val="24"/>
              </w:rPr>
            </w:pPr>
            <w:r w:rsidRPr="00186DFA">
              <w:rPr>
                <w:rFonts w:ascii="宋体" w:hAnsi="宋体" w:hint="eastAsia"/>
                <w:sz w:val="24"/>
              </w:rPr>
              <w:t>质控评价方法：《江西省农用地土壤污染状况详查质量保证与质量控制工作方案》、DZ/T0145-2017《土壤地球化学测量规程》、DZ/T0258-2014《多目标区域地球化学调查规范》、DZ/他1-2015《地球化学普查规范》、DZ/T0130-2006《地质矿产实验室测试质量管理规范》、CNAS-GL02：2014《能力验证结果的统计处理和能力评价指南》</w:t>
            </w:r>
          </w:p>
          <w:p w14:paraId="7BB8A5F8" w14:textId="77777777" w:rsidR="00FB40FB" w:rsidRPr="00186DFA" w:rsidRDefault="00FB40FB" w:rsidP="00FB40FB">
            <w:pPr>
              <w:pStyle w:val="af"/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</w:tcPr>
          <w:p w14:paraId="75C4118D" w14:textId="77777777" w:rsidR="00FB40FB" w:rsidRDefault="00FB40FB" w:rsidP="00FB40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B40FB" w14:paraId="3CC22D1E" w14:textId="77777777">
        <w:trPr>
          <w:trHeight w:val="2110"/>
        </w:trPr>
        <w:tc>
          <w:tcPr>
            <w:tcW w:w="1707" w:type="dxa"/>
            <w:vAlign w:val="center"/>
          </w:tcPr>
          <w:p w14:paraId="1991A328" w14:textId="77777777" w:rsidR="00FB40FB" w:rsidRDefault="00FB40FB" w:rsidP="00FB40F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环境因素、危险源</w:t>
            </w:r>
          </w:p>
        </w:tc>
        <w:tc>
          <w:tcPr>
            <w:tcW w:w="1019" w:type="dxa"/>
            <w:vAlign w:val="center"/>
          </w:tcPr>
          <w:p w14:paraId="032D063C" w14:textId="77777777" w:rsidR="00FB40FB" w:rsidRDefault="00FB40FB" w:rsidP="00FB40F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E/O:</w:t>
            </w:r>
          </w:p>
          <w:p w14:paraId="549713F2" w14:textId="77777777" w:rsidR="00FB40FB" w:rsidRDefault="00FB40FB" w:rsidP="00FB40FB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6.1.2</w:t>
            </w:r>
          </w:p>
          <w:p w14:paraId="7154D0F5" w14:textId="164747BB" w:rsidR="00965D1B" w:rsidRPr="00965D1B" w:rsidRDefault="00965D1B" w:rsidP="00965D1B">
            <w:pPr>
              <w:pStyle w:val="a0"/>
            </w:pPr>
          </w:p>
        </w:tc>
        <w:tc>
          <w:tcPr>
            <w:tcW w:w="11223" w:type="dxa"/>
            <w:vAlign w:val="center"/>
          </w:tcPr>
          <w:p w14:paraId="5DE14ACE" w14:textId="77777777" w:rsidR="00FB40FB" w:rsidRDefault="00FB40FB" w:rsidP="00FB40F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查有：《环境因素和危险源识别评价与控制程序》。</w:t>
            </w:r>
          </w:p>
          <w:p w14:paraId="26FF9EB9" w14:textId="77777777" w:rsidR="00FB40FB" w:rsidRDefault="00FB40FB" w:rsidP="00FB40F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查《环境因素识别与评价表》，识别考虑了正常、异常情况，针对过去、现在、将来三种时态，考虑了供方、客户等可施加影响的环境因素。</w:t>
            </w:r>
          </w:p>
          <w:p w14:paraId="3778E989" w14:textId="77777777" w:rsidR="00FB40FB" w:rsidRDefault="00FB40FB" w:rsidP="00FB40F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涉及本部门的环境因素有办公活动中生活垃圾排放、样品加工过程固废和粉尘排放、样品研磨过程产生得噪音排放、火灾事故发生等。</w:t>
            </w:r>
          </w:p>
          <w:p w14:paraId="34A40DCD" w14:textId="77777777" w:rsidR="00FB40FB" w:rsidRDefault="00FB40FB" w:rsidP="00FB40F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查《重要环境因素清单》，评价出火灾、噪声、粉尘3项重要环境因素。</w:t>
            </w:r>
          </w:p>
          <w:p w14:paraId="14B253EE" w14:textId="77777777" w:rsidR="00FB40FB" w:rsidRDefault="00FB40FB" w:rsidP="00FB40F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控制措施：佩戴防尘口罩，耳塞等劳保用品、固废分类存放、办公危废交耗材供应公司，垃圾由环卫部门拉走，包装物分类卖掉，日常检查，日常培训教育，消防配备消防器材，应急演练等措施。</w:t>
            </w:r>
          </w:p>
          <w:p w14:paraId="184A9EDD" w14:textId="77777777" w:rsidR="00FB40FB" w:rsidRDefault="00FB40FB" w:rsidP="00FB40F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查《危险源辨识与风险评价表》，识别样品加工等活动过程中的危险源。包括样品加工过程中的设备使用，设备、电力使用等使用不当导致人身伤害、外来人员安全措施不当造成的火灾和人身伤害，交通事故等。</w:t>
            </w:r>
          </w:p>
          <w:p w14:paraId="01BD501E" w14:textId="77777777" w:rsidR="00FB40FB" w:rsidRDefault="00FB40FB" w:rsidP="00FB40F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涉及本部门的危险源有加工活动过程中机械噪声、劳保用品使用不当导致得尘肺病、线路老化导致火灾或触电，外来人员安全措施不当造成的火灾和人身伤害等。</w:t>
            </w:r>
          </w:p>
          <w:p w14:paraId="56B73B7B" w14:textId="77777777" w:rsidR="00FB40FB" w:rsidRDefault="00FB40FB" w:rsidP="00FB40F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查《不可接受风险清单》，评价出重大危险源3个，包括：触电火灾、职业病伤害、机械伤害等，制订了相应的管理方案并已实施。</w:t>
            </w:r>
          </w:p>
          <w:p w14:paraId="4E71BA72" w14:textId="77777777" w:rsidR="00FB40FB" w:rsidRDefault="00FB40FB" w:rsidP="00FB40FB">
            <w:pPr>
              <w:spacing w:line="360" w:lineRule="auto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危险源控制执行管理方案、配备消防器材、个体防护、日常检查、日常培训教育等运行控制措施等。</w:t>
            </w:r>
          </w:p>
        </w:tc>
        <w:tc>
          <w:tcPr>
            <w:tcW w:w="760" w:type="dxa"/>
          </w:tcPr>
          <w:p w14:paraId="7C0A934F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符合</w:t>
            </w:r>
          </w:p>
        </w:tc>
      </w:tr>
      <w:tr w:rsidR="00FB40FB" w14:paraId="044681F0" w14:textId="77777777">
        <w:trPr>
          <w:trHeight w:val="6461"/>
        </w:trPr>
        <w:tc>
          <w:tcPr>
            <w:tcW w:w="1707" w:type="dxa"/>
          </w:tcPr>
          <w:p w14:paraId="0049B5A3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运行控制</w:t>
            </w:r>
          </w:p>
        </w:tc>
        <w:tc>
          <w:tcPr>
            <w:tcW w:w="1019" w:type="dxa"/>
          </w:tcPr>
          <w:p w14:paraId="26C9EA9C" w14:textId="77777777" w:rsidR="00FB40FB" w:rsidRDefault="00FB40FB" w:rsidP="00FB40FB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EO8.1</w:t>
            </w:r>
          </w:p>
          <w:p w14:paraId="2B3A2596" w14:textId="77777777" w:rsidR="00FB40FB" w:rsidRDefault="00FB40FB" w:rsidP="00FB40FB">
            <w:pPr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14:paraId="70C0B538" w14:textId="77777777" w:rsidR="00FB40FB" w:rsidRDefault="00FB40FB" w:rsidP="00FB40FB">
            <w:pPr>
              <w:ind w:firstLineChars="200" w:firstLine="420"/>
            </w:pPr>
            <w:r>
              <w:rPr>
                <w:rFonts w:hint="eastAsia"/>
              </w:rPr>
              <w:t>本部门应执行的运行控制文件包括：固体废弃物控制程序</w:t>
            </w:r>
            <w:r>
              <w:rPr>
                <w:rFonts w:hint="eastAsia"/>
                <w:lang w:val="en-GB"/>
              </w:rPr>
              <w:t>、环境和职业健康安全应急准备与响应程序、环境监视与测量程序、职业健康安全的监视和测量程序</w:t>
            </w:r>
            <w:r>
              <w:rPr>
                <w:rFonts w:hint="eastAsia"/>
              </w:rPr>
              <w:t>、环境不符合控制程序、职业健康安全不符合控制程序等</w:t>
            </w:r>
          </w:p>
          <w:p w14:paraId="2BF51B5B" w14:textId="77777777" w:rsidR="00FB40FB" w:rsidRDefault="00FB40FB" w:rsidP="00FB40FB">
            <w:r>
              <w:rPr>
                <w:rFonts w:hint="eastAsia"/>
              </w:rPr>
              <w:t>运行控制情况：</w:t>
            </w:r>
          </w:p>
          <w:p w14:paraId="75274F31" w14:textId="77777777" w:rsidR="00FB40FB" w:rsidRDefault="00FB40FB" w:rsidP="00FB40F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样品加工区域：生活污水：接入南昌市城市污水管统一处理。</w:t>
            </w:r>
          </w:p>
          <w:p w14:paraId="0016028A" w14:textId="77777777" w:rsidR="00FB40FB" w:rsidRDefault="00FB40FB" w:rsidP="00FB40F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噪声：样品粉碎产生噪音，加工人员佩戴耳塞。</w:t>
            </w:r>
          </w:p>
          <w:p w14:paraId="676C25CC" w14:textId="77777777" w:rsidR="00FB40FB" w:rsidRDefault="00FB40FB" w:rsidP="00FB40F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固废：加工过程残余得样品碎渣，集中处置。</w:t>
            </w:r>
          </w:p>
          <w:p w14:paraId="3AF2EFC2" w14:textId="77777777" w:rsidR="00FB40FB" w:rsidRDefault="00FB40FB" w:rsidP="00FB40FB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现场查看加工区域，整洁、光线充足、室内空气良好、配置有风扇，加工设备安全状态良好，教育员工正确使用加工设备，现场用电基本规范，无乱拉线现象，防止火灾发生。</w:t>
            </w:r>
          </w:p>
          <w:p w14:paraId="14E4B521" w14:textId="77777777" w:rsidR="00FB40FB" w:rsidRDefault="00FB40FB" w:rsidP="00FB40FB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加工过程注意节约用电、用水，做到人走灯灭，预防滴漏，下班前要关闭电源，防止触电。</w:t>
            </w:r>
          </w:p>
          <w:p w14:paraId="250569B0" w14:textId="77777777" w:rsidR="00FB40FB" w:rsidRDefault="00FB40FB" w:rsidP="00FB40FB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加工区域禁止吸烟，现场查看无安全隐患，加工区域配备有效的干粉灭火器。</w:t>
            </w:r>
          </w:p>
          <w:p w14:paraId="5BB44F57" w14:textId="77777777" w:rsidR="00FB40FB" w:rsidRDefault="00FB40FB" w:rsidP="00FB40FB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工作时间平均每天不超过</w:t>
            </w:r>
            <w:r>
              <w:t>8</w:t>
            </w:r>
            <w:r>
              <w:rPr>
                <w:rFonts w:hint="eastAsia"/>
              </w:rPr>
              <w:t>小时。</w:t>
            </w:r>
          </w:p>
          <w:p w14:paraId="2F54A49B" w14:textId="77777777" w:rsidR="00FB40FB" w:rsidRDefault="00FB40FB" w:rsidP="00FB40FB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现场查看样品加工区域配备符合要求的消防设施</w:t>
            </w:r>
          </w:p>
          <w:p w14:paraId="5D3BACA4" w14:textId="77777777" w:rsidR="00FB40FB" w:rsidRDefault="00FB40FB" w:rsidP="00FB40FB">
            <w:r>
              <w:t>9</w:t>
            </w:r>
            <w:r>
              <w:rPr>
                <w:rFonts w:hint="eastAsia"/>
              </w:rPr>
              <w:t>、相关方施加影响：公司能够控制或能够施加影响的相关方有顾客等，禁止无关人员进入加工场地</w:t>
            </w:r>
          </w:p>
          <w:p w14:paraId="555B03B7" w14:textId="6C9AB456" w:rsidR="00FB40FB" w:rsidRDefault="00FB40FB" w:rsidP="00FB40FB">
            <w:r w:rsidRPr="00435FF5">
              <w:rPr>
                <w:rFonts w:hint="eastAsia"/>
              </w:rPr>
              <w:t>提供公司人员</w:t>
            </w:r>
            <w:r w:rsidRPr="00435FF5">
              <w:rPr>
                <w:rFonts w:hint="eastAsia"/>
              </w:rPr>
              <w:t>202</w:t>
            </w:r>
            <w:r w:rsidR="00B75FA5" w:rsidRPr="00435FF5">
              <w:t>2</w:t>
            </w:r>
            <w:r w:rsidRPr="00435FF5">
              <w:rPr>
                <w:rFonts w:hint="eastAsia"/>
              </w:rPr>
              <w:t>年</w:t>
            </w:r>
            <w:r w:rsidR="00B75FA5" w:rsidRPr="00435FF5">
              <w:t>10</w:t>
            </w:r>
            <w:r w:rsidRPr="00435FF5">
              <w:rPr>
                <w:rFonts w:hint="eastAsia"/>
              </w:rPr>
              <w:t>月社保清单，企业定岗人员共</w:t>
            </w:r>
            <w:r w:rsidR="00B75FA5" w:rsidRPr="00435FF5">
              <w:t>38</w:t>
            </w:r>
            <w:r w:rsidRPr="00435FF5">
              <w:rPr>
                <w:rFonts w:hint="eastAsia"/>
              </w:rPr>
              <w:t>人左右</w:t>
            </w:r>
          </w:p>
          <w:p w14:paraId="1FAA7227" w14:textId="164F7123" w:rsidR="00FB40FB" w:rsidRDefault="00FB40FB" w:rsidP="00FB40FB">
            <w:r>
              <w:rPr>
                <w:rFonts w:hint="eastAsia"/>
              </w:rPr>
              <w:t>公司制定了安全生产责任属，制定了安全目标考核制定</w:t>
            </w:r>
          </w:p>
          <w:p w14:paraId="68EA0082" w14:textId="77777777" w:rsidR="00FB40FB" w:rsidRDefault="00FB40FB" w:rsidP="00FB40FB">
            <w:r>
              <w:rPr>
                <w:rFonts w:hint="eastAsia"/>
              </w:rPr>
              <w:t>提供员工体检清单</w:t>
            </w:r>
          </w:p>
          <w:p w14:paraId="742259DC" w14:textId="77777777" w:rsidR="00FB40FB" w:rsidRDefault="00FB40FB" w:rsidP="00FB40FB">
            <w:r>
              <w:rPr>
                <w:rFonts w:hint="eastAsia"/>
              </w:rPr>
              <w:t>提供员工个人劳保用品发放记录。</w:t>
            </w:r>
          </w:p>
          <w:p w14:paraId="64DE3692" w14:textId="77777777" w:rsidR="00FB40FB" w:rsidRDefault="00FB40FB" w:rsidP="00FB40FB"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运行控制基本满足要求。</w:t>
            </w:r>
          </w:p>
        </w:tc>
        <w:tc>
          <w:tcPr>
            <w:tcW w:w="760" w:type="dxa"/>
          </w:tcPr>
          <w:p w14:paraId="3BE05D60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不符合</w:t>
            </w:r>
          </w:p>
          <w:p w14:paraId="296AF9A7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07F843FA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5A548C29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7891DF87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0F3927B2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0FF72DFE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18AC3195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20F6DF79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39E7DD3B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0F1EE3B9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2F12E808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14:paraId="035C3AC0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FB40FB" w14:paraId="76E5DF8F" w14:textId="77777777">
        <w:trPr>
          <w:trHeight w:val="783"/>
        </w:trPr>
        <w:tc>
          <w:tcPr>
            <w:tcW w:w="1707" w:type="dxa"/>
            <w:vAlign w:val="center"/>
          </w:tcPr>
          <w:p w14:paraId="1FF391C8" w14:textId="77777777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应急准备和响应</w:t>
            </w:r>
          </w:p>
        </w:tc>
        <w:tc>
          <w:tcPr>
            <w:tcW w:w="1019" w:type="dxa"/>
            <w:vAlign w:val="center"/>
          </w:tcPr>
          <w:p w14:paraId="5E2C64F8" w14:textId="77777777" w:rsidR="00FB40FB" w:rsidRDefault="00FB40FB" w:rsidP="00FB40FB">
            <w:pPr>
              <w:snapToGrid w:val="0"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E/O：8.2</w:t>
            </w:r>
          </w:p>
        </w:tc>
        <w:tc>
          <w:tcPr>
            <w:tcW w:w="11223" w:type="dxa"/>
          </w:tcPr>
          <w:p w14:paraId="682A6A96" w14:textId="6806E159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负责人介绍，公司制定《应急准备和响应控制程序》、《应急救援预案》等，包括：火灾、爆炸应急预案、生产车间中毒、梅雨、雷电等恶劣天气应急预案、机械伤害应急预案等</w:t>
            </w:r>
            <w:r w:rsidR="00AF7DEF">
              <w:rPr>
                <w:rFonts w:ascii="宋体" w:hAnsi="宋体" w:cs="宋体" w:hint="eastAsia"/>
                <w:szCs w:val="21"/>
              </w:rPr>
              <w:t>，制定《消防知识培训及消防演练方案》，并进行消防演练。</w:t>
            </w:r>
          </w:p>
          <w:p w14:paraId="3E47FD4B" w14:textId="2489732F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见：</w:t>
            </w:r>
            <w:r w:rsidRPr="00772449">
              <w:rPr>
                <w:rFonts w:ascii="宋体" w:hAnsi="宋体" w:cs="宋体" w:hint="eastAsia"/>
                <w:szCs w:val="21"/>
              </w:rPr>
              <w:t>《</w:t>
            </w:r>
            <w:r w:rsidR="00AF7DEF" w:rsidRPr="00772449">
              <w:rPr>
                <w:rFonts w:ascii="宋体" w:hAnsi="宋体" w:cs="宋体" w:hint="eastAsia"/>
                <w:szCs w:val="21"/>
              </w:rPr>
              <w:t>消防知识培训和消防演练总结</w:t>
            </w:r>
            <w:r w:rsidRPr="00772449">
              <w:rPr>
                <w:rFonts w:ascii="宋体" w:hAnsi="宋体" w:cs="宋体" w:hint="eastAsia"/>
                <w:szCs w:val="21"/>
              </w:rPr>
              <w:t>》</w:t>
            </w:r>
          </w:p>
          <w:p w14:paraId="6ACD094D" w14:textId="6DE7E5DF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演练时间 ：202</w:t>
            </w:r>
            <w:r w:rsidR="00AF7DEF"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年6月</w:t>
            </w:r>
            <w:r w:rsidR="00AF7DEF">
              <w:rPr>
                <w:rFonts w:ascii="宋体" w:hAnsi="宋体" w:cs="宋体"/>
                <w:szCs w:val="21"/>
              </w:rPr>
              <w:t>16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  <w:p w14:paraId="746A940B" w14:textId="4265631F" w:rsidR="00772449" w:rsidRPr="00772449" w:rsidRDefault="00772449" w:rsidP="00772449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培训地点：向塘基地管理中心大楼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楼会议室</w:t>
            </w:r>
          </w:p>
          <w:p w14:paraId="56EAADC2" w14:textId="77777777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演练地点：公司篮球场</w:t>
            </w:r>
          </w:p>
          <w:p w14:paraId="0418BCC7" w14:textId="77777777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演练部门：全体部门和员工</w:t>
            </w:r>
          </w:p>
          <w:p w14:paraId="440ED4D7" w14:textId="04466C31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演练总指挥：</w:t>
            </w:r>
            <w:r w:rsidR="00AF7DEF">
              <w:rPr>
                <w:rFonts w:ascii="宋体" w:hAnsi="宋体" w:cs="宋体" w:hint="eastAsia"/>
                <w:szCs w:val="21"/>
              </w:rPr>
              <w:t>陈志勇</w:t>
            </w:r>
          </w:p>
          <w:p w14:paraId="08081EF1" w14:textId="77777777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参加人员各部门部长。过程记录详细。</w:t>
            </w:r>
          </w:p>
          <w:p w14:paraId="3A97A711" w14:textId="63EF499D" w:rsidR="00FB40FB" w:rsidRDefault="00772449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先培训后演练，培训会上陈志勇重点讲解了火灾案例，实验室危险化学品火灾处置，各类消防灭火器的种类及灭火种类、防毒面具正确佩戴、用电安全、消防四懂四会、如何正确逃生等内容。培训会后进行消防灭火演练，参训人员进行了灭火器使用现场操作</w:t>
            </w:r>
            <w:r w:rsidR="00FB40FB">
              <w:rPr>
                <w:rFonts w:ascii="宋体" w:hAnsi="宋体" w:cs="宋体" w:hint="eastAsia"/>
                <w:szCs w:val="21"/>
              </w:rPr>
              <w:t>。</w:t>
            </w:r>
          </w:p>
          <w:p w14:paraId="66F114C2" w14:textId="77461E20" w:rsidR="00FB40FB" w:rsidRDefault="00FB40FB" w:rsidP="00994B44">
            <w:pPr>
              <w:snapToGrid w:val="0"/>
              <w:spacing w:line="280" w:lineRule="exact"/>
              <w:jc w:val="left"/>
              <w:rPr>
                <w:rFonts w:ascii="宋体" w:hAnsi="宋体" w:cs="宋体" w:hint="eastAsia"/>
                <w:szCs w:val="21"/>
              </w:rPr>
            </w:pPr>
          </w:p>
          <w:p w14:paraId="49B651A9" w14:textId="77777777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基本符合。</w:t>
            </w:r>
          </w:p>
          <w:p w14:paraId="72678B8B" w14:textId="77777777" w:rsidR="00FB40FB" w:rsidRDefault="00FB40FB" w:rsidP="00FB40FB">
            <w:pPr>
              <w:snapToGrid w:val="0"/>
              <w:spacing w:line="28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dxa"/>
          </w:tcPr>
          <w:p w14:paraId="09615AD2" w14:textId="77777777" w:rsidR="00FB40FB" w:rsidRDefault="00FB40FB" w:rsidP="00FB40FB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符合</w:t>
            </w:r>
          </w:p>
        </w:tc>
      </w:tr>
    </w:tbl>
    <w:p w14:paraId="6BBE76C5" w14:textId="77777777" w:rsidR="00663226" w:rsidRDefault="00000000">
      <w:pPr>
        <w:pStyle w:val="a8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04DF4D4B" w14:textId="77777777" w:rsidR="00663226" w:rsidRDefault="00663226">
      <w:pPr>
        <w:pStyle w:val="a8"/>
      </w:pPr>
    </w:p>
    <w:p w14:paraId="05A4F51D" w14:textId="77777777" w:rsidR="00663226" w:rsidRDefault="00663226"/>
    <w:sectPr w:rsidR="00663226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25A9" w14:textId="77777777" w:rsidR="00515989" w:rsidRDefault="00515989">
      <w:r>
        <w:separator/>
      </w:r>
    </w:p>
  </w:endnote>
  <w:endnote w:type="continuationSeparator" w:id="0">
    <w:p w14:paraId="1E1092C1" w14:textId="77777777" w:rsidR="00515989" w:rsidRDefault="0051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2CE17980" w14:textId="77777777" w:rsidR="00663226" w:rsidRDefault="00000000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FEF03A" w14:textId="77777777" w:rsidR="00663226" w:rsidRDefault="006632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50C1" w14:textId="77777777" w:rsidR="00515989" w:rsidRDefault="00515989">
      <w:r>
        <w:separator/>
      </w:r>
    </w:p>
  </w:footnote>
  <w:footnote w:type="continuationSeparator" w:id="0">
    <w:p w14:paraId="54D3C44A" w14:textId="77777777" w:rsidR="00515989" w:rsidRDefault="0051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54AD" w14:textId="77777777" w:rsidR="00663226" w:rsidRDefault="00000000">
    <w:pPr>
      <w:pStyle w:val="aa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624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9E52D1" wp14:editId="5EDBEA2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0" t="0" r="139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5B2A5E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21941AB7" w14:textId="77777777" w:rsidR="0066322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FB84A64" w14:textId="77777777" w:rsidR="00663226" w:rsidRDefault="00000000">
    <w:pPr>
      <w:pStyle w:val="aa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624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hlOThiN2ZiYWFhMTVmZWIyMjliZTE5YjA2MDUwOTgifQ=="/>
  </w:docVars>
  <w:rsids>
    <w:rsidRoot w:val="009973B4"/>
    <w:rsid w:val="00020CBC"/>
    <w:rsid w:val="000237F6"/>
    <w:rsid w:val="0003373A"/>
    <w:rsid w:val="001634F5"/>
    <w:rsid w:val="00186DFA"/>
    <w:rsid w:val="001A2D7F"/>
    <w:rsid w:val="001D5E15"/>
    <w:rsid w:val="002475F3"/>
    <w:rsid w:val="00337922"/>
    <w:rsid w:val="00340867"/>
    <w:rsid w:val="00354BAF"/>
    <w:rsid w:val="00380837"/>
    <w:rsid w:val="003A198A"/>
    <w:rsid w:val="00410914"/>
    <w:rsid w:val="00435FF5"/>
    <w:rsid w:val="004566ED"/>
    <w:rsid w:val="004F57C0"/>
    <w:rsid w:val="00515989"/>
    <w:rsid w:val="00536930"/>
    <w:rsid w:val="00564E53"/>
    <w:rsid w:val="00644FE2"/>
    <w:rsid w:val="00663226"/>
    <w:rsid w:val="0067640C"/>
    <w:rsid w:val="006E678B"/>
    <w:rsid w:val="00772449"/>
    <w:rsid w:val="007757F3"/>
    <w:rsid w:val="007E6AEB"/>
    <w:rsid w:val="00842B5A"/>
    <w:rsid w:val="008973EE"/>
    <w:rsid w:val="008B65EE"/>
    <w:rsid w:val="00965D1B"/>
    <w:rsid w:val="00971600"/>
    <w:rsid w:val="00994B44"/>
    <w:rsid w:val="009973B4"/>
    <w:rsid w:val="009C28C1"/>
    <w:rsid w:val="009F2A98"/>
    <w:rsid w:val="009F7EED"/>
    <w:rsid w:val="00AB6F8C"/>
    <w:rsid w:val="00AF0AAB"/>
    <w:rsid w:val="00AF7DEF"/>
    <w:rsid w:val="00B75FA5"/>
    <w:rsid w:val="00BF597E"/>
    <w:rsid w:val="00C44D05"/>
    <w:rsid w:val="00C51A36"/>
    <w:rsid w:val="00C5353F"/>
    <w:rsid w:val="00C55228"/>
    <w:rsid w:val="00C8708D"/>
    <w:rsid w:val="00CD58DF"/>
    <w:rsid w:val="00CE315A"/>
    <w:rsid w:val="00D06F59"/>
    <w:rsid w:val="00D8388C"/>
    <w:rsid w:val="00EB0164"/>
    <w:rsid w:val="00ED0F62"/>
    <w:rsid w:val="00FB40FB"/>
    <w:rsid w:val="01715FF0"/>
    <w:rsid w:val="0320505F"/>
    <w:rsid w:val="0378379C"/>
    <w:rsid w:val="04510B7D"/>
    <w:rsid w:val="079E15F2"/>
    <w:rsid w:val="08E60B71"/>
    <w:rsid w:val="0A8D103E"/>
    <w:rsid w:val="0ACE1CBC"/>
    <w:rsid w:val="0B5F07F0"/>
    <w:rsid w:val="0C1869EC"/>
    <w:rsid w:val="0C294383"/>
    <w:rsid w:val="0D9E0994"/>
    <w:rsid w:val="0E063427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9BD6015"/>
    <w:rsid w:val="1A742241"/>
    <w:rsid w:val="1B3E39A3"/>
    <w:rsid w:val="1B405BB2"/>
    <w:rsid w:val="1B9E43FA"/>
    <w:rsid w:val="1BEC3BF1"/>
    <w:rsid w:val="1D85741F"/>
    <w:rsid w:val="1E847499"/>
    <w:rsid w:val="1F1F7BA7"/>
    <w:rsid w:val="1FD7676E"/>
    <w:rsid w:val="23351337"/>
    <w:rsid w:val="23557E88"/>
    <w:rsid w:val="23BC2B2D"/>
    <w:rsid w:val="24AD4883"/>
    <w:rsid w:val="25390A68"/>
    <w:rsid w:val="26B207F6"/>
    <w:rsid w:val="274E61F5"/>
    <w:rsid w:val="2767752B"/>
    <w:rsid w:val="27B61173"/>
    <w:rsid w:val="27DF7CD6"/>
    <w:rsid w:val="2C703113"/>
    <w:rsid w:val="2CF30AC4"/>
    <w:rsid w:val="2D9327E0"/>
    <w:rsid w:val="2E00760C"/>
    <w:rsid w:val="2EE93C61"/>
    <w:rsid w:val="2FE57D8B"/>
    <w:rsid w:val="2FEB299B"/>
    <w:rsid w:val="32691255"/>
    <w:rsid w:val="32C11AD5"/>
    <w:rsid w:val="33861652"/>
    <w:rsid w:val="34041CDB"/>
    <w:rsid w:val="3438524B"/>
    <w:rsid w:val="347A7706"/>
    <w:rsid w:val="34B32935"/>
    <w:rsid w:val="375F34D7"/>
    <w:rsid w:val="38894ECB"/>
    <w:rsid w:val="38F61C56"/>
    <w:rsid w:val="3AD826FA"/>
    <w:rsid w:val="3D744581"/>
    <w:rsid w:val="3DAD6D4F"/>
    <w:rsid w:val="40285D69"/>
    <w:rsid w:val="41842DAE"/>
    <w:rsid w:val="436F2755"/>
    <w:rsid w:val="458C1191"/>
    <w:rsid w:val="466F33FE"/>
    <w:rsid w:val="48800E04"/>
    <w:rsid w:val="489C542B"/>
    <w:rsid w:val="494C5676"/>
    <w:rsid w:val="4ABE4B71"/>
    <w:rsid w:val="4B723AB9"/>
    <w:rsid w:val="4BCE3348"/>
    <w:rsid w:val="4C116CD0"/>
    <w:rsid w:val="4D4E681E"/>
    <w:rsid w:val="4D943D2E"/>
    <w:rsid w:val="4E133598"/>
    <w:rsid w:val="4E95570D"/>
    <w:rsid w:val="50886C2D"/>
    <w:rsid w:val="52390AC9"/>
    <w:rsid w:val="56135BAC"/>
    <w:rsid w:val="56390FCA"/>
    <w:rsid w:val="563932E5"/>
    <w:rsid w:val="58322D49"/>
    <w:rsid w:val="5A526EF4"/>
    <w:rsid w:val="5AAA27E4"/>
    <w:rsid w:val="5BCC76FD"/>
    <w:rsid w:val="5DAB4DE2"/>
    <w:rsid w:val="5DAC4DCE"/>
    <w:rsid w:val="5E200E48"/>
    <w:rsid w:val="5EA12B9A"/>
    <w:rsid w:val="5EC96705"/>
    <w:rsid w:val="5ED74E33"/>
    <w:rsid w:val="61561089"/>
    <w:rsid w:val="63E248DD"/>
    <w:rsid w:val="65B35620"/>
    <w:rsid w:val="65B47E80"/>
    <w:rsid w:val="661149EF"/>
    <w:rsid w:val="6612664F"/>
    <w:rsid w:val="66B7462A"/>
    <w:rsid w:val="68EE481F"/>
    <w:rsid w:val="695E025E"/>
    <w:rsid w:val="6A23146B"/>
    <w:rsid w:val="6AAB450E"/>
    <w:rsid w:val="6ADF4005"/>
    <w:rsid w:val="6D53402F"/>
    <w:rsid w:val="6F974183"/>
    <w:rsid w:val="6FF60E19"/>
    <w:rsid w:val="6FFF1F7F"/>
    <w:rsid w:val="700D5C7C"/>
    <w:rsid w:val="7333596B"/>
    <w:rsid w:val="73A00EA2"/>
    <w:rsid w:val="74F27756"/>
    <w:rsid w:val="75A8368A"/>
    <w:rsid w:val="761F43CB"/>
    <w:rsid w:val="76373F2B"/>
    <w:rsid w:val="77310DBF"/>
    <w:rsid w:val="78741EB2"/>
    <w:rsid w:val="7AE70756"/>
    <w:rsid w:val="7B305FC8"/>
    <w:rsid w:val="7B5C61FD"/>
    <w:rsid w:val="7C4566E1"/>
    <w:rsid w:val="7CE9234D"/>
    <w:rsid w:val="7E331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F073"/>
  <w15:docId w15:val="{ABDE4227-1CFB-4F02-AB5D-C13A227C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ody Text Indent"/>
    <w:basedOn w:val="a"/>
    <w:qFormat/>
    <w:pPr>
      <w:ind w:firstLineChars="200" w:firstLine="480"/>
    </w:pPr>
    <w:rPr>
      <w:sz w:val="24"/>
    </w:rPr>
  </w:style>
  <w:style w:type="paragraph" w:styleId="a5">
    <w:name w:val="Plain Text"/>
    <w:basedOn w:val="a"/>
    <w:unhideWhenUsed/>
    <w:qFormat/>
    <w:rPr>
      <w:rFonts w:ascii="宋体" w:hAnsi="Courier New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e">
    <w:name w:val="东方正文"/>
    <w:basedOn w:val="a"/>
    <w:qFormat/>
    <w:pPr>
      <w:spacing w:line="400" w:lineRule="exact"/>
      <w:ind w:left="284" w:right="284"/>
    </w:pPr>
  </w:style>
  <w:style w:type="paragraph" w:styleId="af">
    <w:name w:val="No Spacing"/>
    <w:qFormat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ly ly</cp:lastModifiedBy>
  <cp:revision>30</cp:revision>
  <dcterms:created xsi:type="dcterms:W3CDTF">2015-06-17T12:51:00Z</dcterms:created>
  <dcterms:modified xsi:type="dcterms:W3CDTF">2022-11-18T07:17:00Z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38CA59A73FC340B1A1F6C492654F36E9</vt:lpwstr>
  </property>
</Properties>
</file>