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bidi w:val="0"/>
              <w:rPr>
                <w:rFonts w:hint="eastAsia"/>
              </w:rPr>
            </w:pPr>
            <w:r>
              <w:rPr>
                <w:rFonts w:hint="eastAsia"/>
              </w:rPr>
              <w:t>过程与活动、</w:t>
            </w:r>
          </w:p>
          <w:p>
            <w:pPr>
              <w:bidi w:val="0"/>
              <w:rPr>
                <w:rFonts w:hint="eastAsia"/>
              </w:rPr>
            </w:pPr>
            <w:r>
              <w:rPr>
                <w:rFonts w:hint="eastAsia"/>
              </w:rPr>
              <w:t>抽样计划</w:t>
            </w:r>
          </w:p>
        </w:tc>
        <w:tc>
          <w:tcPr>
            <w:tcW w:w="998" w:type="dxa"/>
            <w:vMerge w:val="restart"/>
            <w:vAlign w:val="center"/>
          </w:tcPr>
          <w:p>
            <w:pPr>
              <w:bidi w:val="0"/>
              <w:rPr>
                <w:rFonts w:hint="eastAsia"/>
              </w:rPr>
            </w:pPr>
            <w:r>
              <w:rPr>
                <w:rFonts w:hint="eastAsia"/>
              </w:rPr>
              <w:t>涉及</w:t>
            </w:r>
          </w:p>
          <w:p>
            <w:pPr>
              <w:bidi w:val="0"/>
              <w:rPr>
                <w:rFonts w:hint="eastAsia"/>
              </w:rPr>
            </w:pPr>
            <w:r>
              <w:rPr>
                <w:rFonts w:hint="eastAsia"/>
              </w:rPr>
              <w:t>条款</w:t>
            </w:r>
          </w:p>
        </w:tc>
        <w:tc>
          <w:tcPr>
            <w:tcW w:w="10004" w:type="dxa"/>
            <w:vAlign w:val="center"/>
          </w:tcPr>
          <w:p>
            <w:pPr>
              <w:bidi w:val="0"/>
              <w:rPr>
                <w:rFonts w:hint="eastAsia"/>
                <w:lang w:eastAsia="zh-CN"/>
              </w:rPr>
            </w:pPr>
            <w:r>
              <w:rPr>
                <w:rFonts w:hint="eastAsia"/>
              </w:rPr>
              <w:t>受审核部门：</w:t>
            </w:r>
            <w:r>
              <w:rPr>
                <w:rFonts w:hint="eastAsia"/>
                <w:lang w:val="en-US" w:eastAsia="zh-CN"/>
              </w:rPr>
              <w:t>办公室</w:t>
            </w:r>
            <w:r>
              <w:rPr>
                <w:rFonts w:hint="eastAsia"/>
              </w:rPr>
              <w:t xml:space="preserve">  主管领导：</w:t>
            </w:r>
            <w:r>
              <w:rPr>
                <w:rFonts w:hint="eastAsia"/>
                <w:lang w:val="en-US" w:eastAsia="zh-CN"/>
              </w:rPr>
              <w:t>阳叶琴</w:t>
            </w:r>
            <w:r>
              <w:rPr>
                <w:rFonts w:hint="eastAsia"/>
              </w:rPr>
              <w:t xml:space="preserve">   陪同人员：</w:t>
            </w:r>
            <w:r>
              <w:rPr>
                <w:rFonts w:hint="eastAsia" w:ascii="华文细黑" w:hAnsi="华文细黑" w:cs="华文细黑"/>
                <w:sz w:val="21"/>
                <w:szCs w:val="21"/>
                <w:highlight w:val="none"/>
                <w:lang w:val="en-US" w:eastAsia="zh-CN"/>
              </w:rPr>
              <w:t>沈国锦</w:t>
            </w:r>
            <w:r>
              <w:rPr>
                <w:rFonts w:hint="eastAsia" w:ascii="华文细黑" w:hAnsi="华文细黑" w:eastAsia="华文细黑" w:cs="华文细黑"/>
                <w:sz w:val="21"/>
                <w:szCs w:val="21"/>
                <w:highlight w:val="none"/>
              </w:rPr>
              <w:t xml:space="preserve"> </w:t>
            </w:r>
            <w:bookmarkStart w:id="1" w:name="_GoBack"/>
            <w:bookmarkEnd w:id="1"/>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pPr>
              <w:bidi w:val="0"/>
              <w:rPr>
                <w:rFonts w:hint="eastAsia"/>
              </w:rPr>
            </w:pPr>
          </w:p>
        </w:tc>
        <w:tc>
          <w:tcPr>
            <w:tcW w:w="998" w:type="dxa"/>
            <w:vMerge w:val="continue"/>
            <w:vAlign w:val="center"/>
          </w:tcPr>
          <w:p>
            <w:pPr>
              <w:bidi w:val="0"/>
              <w:rPr>
                <w:rFonts w:hint="eastAsia"/>
              </w:rPr>
            </w:pPr>
          </w:p>
        </w:tc>
        <w:tc>
          <w:tcPr>
            <w:tcW w:w="10004" w:type="dxa"/>
            <w:vAlign w:val="center"/>
          </w:tcPr>
          <w:p>
            <w:pPr>
              <w:bidi w:val="0"/>
              <w:rPr>
                <w:rFonts w:hint="default" w:eastAsia="华文细黑"/>
                <w:lang w:val="en-US" w:eastAsia="zh-CN"/>
              </w:rPr>
            </w:pPr>
            <w:r>
              <w:rPr>
                <w:rFonts w:hint="eastAsia"/>
              </w:rPr>
              <w:t>审核员：</w:t>
            </w:r>
            <w:r>
              <w:rPr>
                <w:rFonts w:hint="eastAsia"/>
                <w:lang w:val="en-US" w:eastAsia="zh-CN"/>
              </w:rPr>
              <w:t>张磊 夏包喜；</w:t>
            </w:r>
            <w:r>
              <w:rPr>
                <w:rFonts w:hint="eastAsia"/>
              </w:rPr>
              <w:t>审核时间：</w:t>
            </w:r>
            <w:r>
              <w:rPr>
                <w:rFonts w:hint="eastAsia"/>
                <w:lang w:val="en-US" w:eastAsia="zh-CN"/>
              </w:rPr>
              <w:t>2022.12.5  13:30-17:00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pPr>
              <w:bidi w:val="0"/>
              <w:rPr>
                <w:rFonts w:hint="eastAsia"/>
              </w:rPr>
            </w:pPr>
          </w:p>
        </w:tc>
        <w:tc>
          <w:tcPr>
            <w:tcW w:w="998" w:type="dxa"/>
            <w:vMerge w:val="continue"/>
            <w:vAlign w:val="center"/>
          </w:tcPr>
          <w:p>
            <w:pPr>
              <w:bidi w:val="0"/>
              <w:rPr>
                <w:rFonts w:hint="eastAsia"/>
              </w:rPr>
            </w:pPr>
          </w:p>
        </w:tc>
        <w:tc>
          <w:tcPr>
            <w:tcW w:w="10004" w:type="dxa"/>
            <w:vAlign w:val="center"/>
          </w:tcPr>
          <w:p>
            <w:pPr>
              <w:bidi w:val="0"/>
              <w:rPr>
                <w:rFonts w:hint="eastAsia"/>
                <w:lang w:val="en-US" w:eastAsia="zh-CN"/>
              </w:rPr>
            </w:pPr>
            <w:r>
              <w:rPr>
                <w:rFonts w:hint="eastAsia"/>
                <w:lang w:val="en-US" w:eastAsia="zh-CN"/>
              </w:rPr>
              <w:t>审核条款：</w:t>
            </w:r>
          </w:p>
          <w:p>
            <w:pPr>
              <w:bidi w:val="0"/>
              <w:rPr>
                <w:rFonts w:hint="default"/>
                <w:lang w:val="en-US" w:eastAsia="zh-CN"/>
              </w:rPr>
            </w:pPr>
            <w:r>
              <w:rPr>
                <w:rFonts w:hint="eastAsia"/>
                <w:lang w:val="en-US" w:eastAsia="zh-CN"/>
              </w:rPr>
              <w:t>EO：5.3、6.1.2、6.1.3/9.1.2、6.2、7.2/7.3、7.4、7.5、8.1、8.2、9.1.2、10.2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bidi w:val="0"/>
              <w:rPr>
                <w:rFonts w:hint="eastAsia"/>
              </w:rPr>
            </w:pPr>
            <w:r>
              <w:rPr>
                <w:rFonts w:hint="eastAsia"/>
              </w:rPr>
              <w:t>组织的岗位、职责和权限</w:t>
            </w:r>
          </w:p>
          <w:p>
            <w:pPr>
              <w:bidi w:val="0"/>
              <w:rPr>
                <w:rFonts w:hint="eastAsia"/>
              </w:rPr>
            </w:pPr>
          </w:p>
        </w:tc>
        <w:tc>
          <w:tcPr>
            <w:tcW w:w="998" w:type="dxa"/>
          </w:tcPr>
          <w:p>
            <w:pPr>
              <w:bidi w:val="0"/>
              <w:rPr>
                <w:rFonts w:hint="eastAsia"/>
              </w:rPr>
            </w:pPr>
            <w:r>
              <w:rPr>
                <w:rFonts w:hint="eastAsia"/>
                <w:lang w:eastAsia="zh-CN"/>
              </w:rPr>
              <w:t>EO</w:t>
            </w:r>
            <w:r>
              <w:rPr>
                <w:rFonts w:hint="eastAsia"/>
              </w:rPr>
              <w:t>5.3</w:t>
            </w: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lang w:val="en-US" w:eastAsia="zh-CN"/>
              </w:rPr>
              <w:t>查组织手册，</w:t>
            </w:r>
            <w:r>
              <w:rPr>
                <w:rFonts w:hint="eastAsia" w:ascii="宋体" w:hAnsi="宋体" w:cs="宋体"/>
                <w:szCs w:val="21"/>
                <w:lang w:eastAsia="zh-CN"/>
              </w:rPr>
              <w:t>办公室</w:t>
            </w:r>
            <w:r>
              <w:rPr>
                <w:rFonts w:hint="eastAsia" w:ascii="宋体" w:hAnsi="宋体" w:cs="宋体"/>
                <w:szCs w:val="21"/>
              </w:rPr>
              <w:t>职责</w:t>
            </w:r>
            <w:r>
              <w:rPr>
                <w:rFonts w:hint="eastAsia" w:ascii="宋体" w:hAnsi="宋体" w:cs="宋体"/>
                <w:szCs w:val="21"/>
                <w:lang w:val="en-US" w:eastAsia="zh-CN"/>
              </w:rPr>
              <w:t>职责如下</w:t>
            </w:r>
            <w:r>
              <w:rPr>
                <w:rFonts w:hint="eastAsia" w:ascii="宋体" w:hAnsi="宋体" w:cs="宋体"/>
                <w:szCs w:val="21"/>
              </w:rPr>
              <w:t>：</w:t>
            </w:r>
          </w:p>
          <w:p>
            <w:pPr>
              <w:spacing w:line="280" w:lineRule="exact"/>
              <w:ind w:firstLine="420" w:firstLineChars="200"/>
              <w:rPr>
                <w:rFonts w:hint="eastAsia" w:ascii="宋体" w:hAnsi="宋体" w:cs="宋体"/>
                <w:szCs w:val="21"/>
              </w:rPr>
            </w:pPr>
            <w:r>
              <w:rPr>
                <w:rFonts w:hint="eastAsia" w:ascii="宋体" w:hAnsi="宋体" w:cs="宋体"/>
                <w:szCs w:val="21"/>
              </w:rPr>
              <w:t>a)负责环境职业健康安全管理体系文件记录的编制与管理；</w:t>
            </w:r>
          </w:p>
          <w:p>
            <w:pPr>
              <w:spacing w:line="280" w:lineRule="exact"/>
              <w:ind w:firstLine="420" w:firstLineChars="200"/>
              <w:rPr>
                <w:rFonts w:hint="eastAsia" w:ascii="宋体" w:hAnsi="宋体" w:cs="宋体"/>
                <w:szCs w:val="21"/>
              </w:rPr>
            </w:pPr>
            <w:r>
              <w:rPr>
                <w:rFonts w:hint="eastAsia" w:ascii="宋体" w:hAnsi="宋体" w:cs="宋体"/>
                <w:szCs w:val="21"/>
              </w:rPr>
              <w:t>b)负责组织公司环境因素和危险源的识别和评价；</w:t>
            </w:r>
          </w:p>
          <w:p>
            <w:pPr>
              <w:spacing w:line="280" w:lineRule="exact"/>
              <w:ind w:firstLine="420" w:firstLineChars="200"/>
              <w:rPr>
                <w:rFonts w:hint="eastAsia" w:ascii="宋体" w:hAnsi="宋体" w:cs="宋体"/>
                <w:szCs w:val="21"/>
              </w:rPr>
            </w:pPr>
            <w:r>
              <w:rPr>
                <w:rFonts w:hint="eastAsia" w:ascii="宋体" w:hAnsi="宋体" w:cs="宋体"/>
                <w:szCs w:val="21"/>
              </w:rPr>
              <w:t>c)负责组织公司合规义务的获取和管理；</w:t>
            </w:r>
          </w:p>
          <w:p>
            <w:pPr>
              <w:spacing w:line="280" w:lineRule="exact"/>
              <w:ind w:firstLine="420" w:firstLineChars="200"/>
              <w:rPr>
                <w:rFonts w:hint="eastAsia" w:ascii="宋体" w:hAnsi="宋体" w:cs="宋体"/>
                <w:szCs w:val="21"/>
              </w:rPr>
            </w:pPr>
            <w:r>
              <w:rPr>
                <w:rFonts w:hint="eastAsia" w:ascii="宋体" w:hAnsi="宋体" w:cs="宋体"/>
                <w:szCs w:val="21"/>
              </w:rPr>
              <w:t>d)负责组织公司环境职业健康安全目标和管理方案的制定和实施；</w:t>
            </w:r>
          </w:p>
          <w:p>
            <w:pPr>
              <w:spacing w:line="280" w:lineRule="exact"/>
              <w:ind w:firstLine="420" w:firstLineChars="200"/>
              <w:rPr>
                <w:rFonts w:hint="eastAsia" w:ascii="宋体" w:hAnsi="宋体" w:cs="宋体"/>
                <w:szCs w:val="21"/>
              </w:rPr>
            </w:pPr>
            <w:r>
              <w:rPr>
                <w:rFonts w:hint="eastAsia" w:ascii="宋体" w:hAnsi="宋体" w:cs="宋体"/>
                <w:szCs w:val="21"/>
              </w:rPr>
              <w:t>e)负责合规性评价；</w:t>
            </w:r>
          </w:p>
          <w:p>
            <w:pPr>
              <w:spacing w:line="280" w:lineRule="exact"/>
              <w:ind w:firstLine="420" w:firstLineChars="200"/>
              <w:rPr>
                <w:rFonts w:hint="eastAsia" w:ascii="宋体" w:hAnsi="宋体" w:cs="宋体"/>
                <w:szCs w:val="21"/>
              </w:rPr>
            </w:pPr>
            <w:r>
              <w:rPr>
                <w:rFonts w:hint="eastAsia" w:ascii="宋体" w:hAnsi="宋体" w:cs="宋体"/>
                <w:szCs w:val="21"/>
              </w:rPr>
              <w:t>f)负责组织纠正和预防措施的实施和验证；</w:t>
            </w:r>
          </w:p>
          <w:p>
            <w:pPr>
              <w:spacing w:line="280" w:lineRule="exact"/>
              <w:ind w:firstLine="420" w:firstLineChars="200"/>
              <w:rPr>
                <w:rFonts w:hint="eastAsia" w:ascii="宋体" w:hAnsi="宋体" w:cs="宋体"/>
                <w:szCs w:val="21"/>
              </w:rPr>
            </w:pPr>
            <w:r>
              <w:rPr>
                <w:rFonts w:hint="eastAsia" w:ascii="宋体" w:hAnsi="宋体" w:cs="宋体"/>
                <w:szCs w:val="21"/>
              </w:rPr>
              <w:t>g)负责环境安全体系的监视测量；包括事件调查、事故报告、分析与处理。</w:t>
            </w:r>
          </w:p>
          <w:p>
            <w:pPr>
              <w:spacing w:line="280" w:lineRule="exact"/>
              <w:ind w:firstLine="420" w:firstLineChars="200"/>
              <w:rPr>
                <w:rFonts w:hint="eastAsia" w:ascii="宋体" w:hAnsi="宋体" w:cs="宋体"/>
                <w:szCs w:val="21"/>
              </w:rPr>
            </w:pPr>
            <w:r>
              <w:rPr>
                <w:rFonts w:hint="eastAsia" w:ascii="宋体" w:hAnsi="宋体" w:cs="宋体"/>
                <w:szCs w:val="21"/>
              </w:rPr>
              <w:t>h)协助组织内审及管理评审。</w:t>
            </w:r>
          </w:p>
          <w:p>
            <w:pPr>
              <w:spacing w:line="280" w:lineRule="exact"/>
              <w:ind w:firstLine="420" w:firstLineChars="200"/>
              <w:rPr>
                <w:rFonts w:hint="eastAsia" w:ascii="宋体" w:hAnsi="宋体" w:cs="宋体"/>
                <w:szCs w:val="21"/>
              </w:rPr>
            </w:pPr>
            <w:r>
              <w:rPr>
                <w:rFonts w:hint="eastAsia" w:ascii="宋体" w:hAnsi="宋体" w:cs="宋体"/>
                <w:szCs w:val="21"/>
              </w:rPr>
              <w:t>i)负责人力资源的管理、劳动防护用品发放标准的制定；</w:t>
            </w:r>
          </w:p>
          <w:p>
            <w:pPr>
              <w:spacing w:line="280" w:lineRule="exact"/>
              <w:ind w:firstLine="420" w:firstLineChars="200"/>
              <w:rPr>
                <w:rFonts w:hint="eastAsia" w:ascii="宋体" w:hAnsi="宋体" w:cs="宋体"/>
                <w:szCs w:val="21"/>
              </w:rPr>
            </w:pPr>
            <w:r>
              <w:rPr>
                <w:rFonts w:hint="eastAsia" w:ascii="宋体" w:hAnsi="宋体" w:cs="宋体"/>
                <w:szCs w:val="21"/>
              </w:rPr>
              <w:t>j)负责公司的内外部信息交流、协商和沟通管理；维护员工的合法权益，实施工会的职责；</w:t>
            </w:r>
          </w:p>
          <w:p>
            <w:pPr>
              <w:spacing w:line="280" w:lineRule="exact"/>
              <w:ind w:firstLine="420" w:firstLineChars="200"/>
              <w:rPr>
                <w:rFonts w:hint="eastAsia" w:ascii="宋体" w:hAnsi="宋体" w:cs="宋体"/>
                <w:szCs w:val="21"/>
              </w:rPr>
            </w:pPr>
            <w:r>
              <w:rPr>
                <w:rFonts w:hint="eastAsia" w:ascii="宋体" w:hAnsi="宋体" w:cs="宋体"/>
                <w:szCs w:val="21"/>
              </w:rPr>
              <w:t>k)负责公司后勤管理。如办公场所和宿舍区的职业健康安全与环境的管理，垃圾管理，对危险废物进行最终处置；</w:t>
            </w:r>
          </w:p>
          <w:p>
            <w:pPr>
              <w:spacing w:line="280" w:lineRule="exact"/>
              <w:ind w:firstLine="420" w:firstLineChars="200"/>
              <w:rPr>
                <w:rFonts w:hint="eastAsia" w:ascii="宋体" w:hAnsi="宋体" w:cs="宋体"/>
                <w:szCs w:val="21"/>
              </w:rPr>
            </w:pPr>
            <w:r>
              <w:rPr>
                <w:rFonts w:hint="eastAsia" w:ascii="宋体" w:hAnsi="宋体" w:cs="宋体"/>
                <w:szCs w:val="21"/>
              </w:rPr>
              <w:t>l)负责公司的安全保卫工作，对进入公司的相关方进行管理；</w:t>
            </w:r>
          </w:p>
          <w:p>
            <w:pPr>
              <w:spacing w:line="280" w:lineRule="exact"/>
              <w:ind w:firstLine="420" w:firstLineChars="200"/>
              <w:rPr>
                <w:rFonts w:hint="eastAsia" w:ascii="宋体" w:hAnsi="宋体" w:cs="宋体"/>
                <w:szCs w:val="21"/>
              </w:rPr>
            </w:pPr>
            <w:r>
              <w:rPr>
                <w:rFonts w:hint="eastAsia" w:ascii="宋体" w:hAnsi="宋体" w:cs="宋体"/>
                <w:szCs w:val="21"/>
              </w:rPr>
              <w:t xml:space="preserve">m）负责新、改、扩建项目环境安全管理。 </w:t>
            </w:r>
          </w:p>
          <w:p>
            <w:pPr>
              <w:spacing w:line="280" w:lineRule="exact"/>
              <w:ind w:firstLine="420" w:firstLineChars="200"/>
              <w:rPr>
                <w:rFonts w:hint="default" w:ascii="宋体" w:hAnsi="宋体" w:eastAsia="华文细黑" w:cs="宋体"/>
                <w:szCs w:val="21"/>
                <w:lang w:val="en-US" w:eastAsia="zh-CN"/>
              </w:rPr>
            </w:pPr>
            <w:r>
              <w:rPr>
                <w:rFonts w:hint="eastAsia" w:ascii="宋体" w:hAnsi="宋体" w:cs="宋体"/>
                <w:szCs w:val="21"/>
                <w:lang w:val="en-US" w:eastAsia="zh-CN"/>
              </w:rPr>
              <w:t>询问办公室主任阳叶琴，熟悉其职责与权限，符合要求。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hint="default" w:ascii="华文细黑" w:hAnsi="华文细黑" w:eastAsia="华文细黑" w:cs="华文细黑"/>
                <w:szCs w:val="21"/>
                <w:lang w:val="en-US" w:eastAsia="zh-CN"/>
              </w:rPr>
            </w:pPr>
            <w:r>
              <w:rPr>
                <w:rFonts w:hint="eastAsia" w:ascii="华文细黑" w:hAnsi="华文细黑" w:eastAsia="华文细黑" w:cs="华文细黑"/>
                <w:szCs w:val="21"/>
              </w:rPr>
              <w:t>环境因素</w:t>
            </w:r>
            <w:r>
              <w:rPr>
                <w:rFonts w:hint="eastAsia" w:ascii="华文细黑" w:hAnsi="华文细黑" w:cs="华文细黑"/>
                <w:szCs w:val="21"/>
                <w:lang w:eastAsia="zh-CN"/>
              </w:rPr>
              <w:t>、</w:t>
            </w:r>
            <w:r>
              <w:rPr>
                <w:rFonts w:hint="eastAsia" w:ascii="华文细黑" w:hAnsi="华文细黑" w:cs="华文细黑"/>
                <w:szCs w:val="21"/>
                <w:lang w:val="en-US" w:eastAsia="zh-CN"/>
              </w:rPr>
              <w:t>危险源</w:t>
            </w:r>
            <w:r>
              <w:rPr>
                <w:rFonts w:hint="eastAsia" w:ascii="华文细黑" w:hAnsi="华文细黑" w:eastAsia="华文细黑" w:cs="华文细黑"/>
                <w:szCs w:val="21"/>
              </w:rPr>
              <w:t>识别</w:t>
            </w:r>
            <w:r>
              <w:rPr>
                <w:rFonts w:hint="eastAsia" w:ascii="华文细黑" w:hAnsi="华文细黑" w:cs="华文细黑"/>
                <w:szCs w:val="21"/>
                <w:lang w:val="en-US" w:eastAsia="zh-CN"/>
              </w:rPr>
              <w:t>与控制</w:t>
            </w:r>
          </w:p>
        </w:tc>
        <w:tc>
          <w:tcPr>
            <w:tcW w:w="998" w:type="dxa"/>
          </w:tcPr>
          <w:p>
            <w:pPr>
              <w:spacing w:line="280" w:lineRule="exact"/>
              <w:rPr>
                <w:rFonts w:hint="eastAsia" w:ascii="华文细黑" w:hAnsi="华文细黑" w:eastAsia="华文细黑" w:cs="华文细黑"/>
                <w:szCs w:val="21"/>
              </w:rPr>
            </w:pPr>
            <w:r>
              <w:rPr>
                <w:rFonts w:hint="eastAsia" w:ascii="华文细黑" w:hAnsi="华文细黑" w:cs="华文细黑"/>
                <w:szCs w:val="21"/>
                <w:lang w:eastAsia="zh-CN"/>
              </w:rPr>
              <w:t>EO</w:t>
            </w:r>
            <w:r>
              <w:rPr>
                <w:rFonts w:hint="eastAsia" w:ascii="华文细黑" w:hAnsi="华文细黑" w:eastAsia="华文细黑" w:cs="华文细黑"/>
                <w:szCs w:val="21"/>
              </w:rPr>
              <w:t>6.1.2</w:t>
            </w:r>
          </w:p>
        </w:tc>
        <w:tc>
          <w:tcPr>
            <w:tcW w:w="10004" w:type="dxa"/>
            <w:vAlign w:val="center"/>
          </w:tcPr>
          <w:p>
            <w:pPr>
              <w:spacing w:line="280" w:lineRule="exact"/>
              <w:ind w:firstLine="420" w:firstLineChars="200"/>
              <w:rPr>
                <w:color w:val="auto"/>
                <w:szCs w:val="21"/>
              </w:rPr>
            </w:pPr>
            <w:r>
              <w:rPr>
                <w:rFonts w:hint="eastAsia"/>
                <w:color w:val="auto"/>
                <w:szCs w:val="21"/>
                <w:lang w:val="en-US" w:eastAsia="zh-CN"/>
              </w:rPr>
              <w:t>组织制定了</w:t>
            </w:r>
            <w:r>
              <w:rPr>
                <w:rFonts w:hint="eastAsia"/>
                <w:color w:val="auto"/>
                <w:szCs w:val="21"/>
              </w:rPr>
              <w:t>《</w:t>
            </w:r>
            <w:r>
              <w:rPr>
                <w:rFonts w:hint="eastAsia"/>
                <w:color w:val="auto"/>
                <w:szCs w:val="21"/>
                <w:lang w:eastAsia="zh-CN"/>
              </w:rPr>
              <w:t>环境因素危险源的识别及评价控制程序</w:t>
            </w:r>
            <w:r>
              <w:rPr>
                <w:rFonts w:hint="eastAsia"/>
                <w:color w:val="auto"/>
                <w:szCs w:val="21"/>
              </w:rPr>
              <w:t>》</w:t>
            </w:r>
            <w:r>
              <w:rPr>
                <w:rFonts w:hint="eastAsia"/>
                <w:color w:val="auto"/>
                <w:szCs w:val="21"/>
                <w:lang w:eastAsia="zh-CN"/>
              </w:rPr>
              <w:t>，</w:t>
            </w:r>
            <w:r>
              <w:rPr>
                <w:rFonts w:hint="eastAsia"/>
                <w:color w:val="auto"/>
                <w:szCs w:val="21"/>
              </w:rPr>
              <w:t>用以指导进行环境因素的识别、登记评价，以确定重要环境因素以及对环境因素的定期更新，环境因素的识别和确定考虑</w:t>
            </w:r>
            <w:r>
              <w:rPr>
                <w:rFonts w:hint="eastAsia"/>
                <w:color w:val="auto"/>
                <w:szCs w:val="21"/>
                <w:lang w:val="en-US" w:eastAsia="zh-CN"/>
              </w:rPr>
              <w:t>了</w:t>
            </w:r>
            <w:r>
              <w:rPr>
                <w:rFonts w:hint="eastAsia"/>
                <w:color w:val="auto"/>
                <w:szCs w:val="21"/>
              </w:rPr>
              <w:t>生命周期观点。</w:t>
            </w:r>
          </w:p>
          <w:p>
            <w:pPr>
              <w:spacing w:line="280" w:lineRule="exact"/>
              <w:ind w:firstLine="420" w:firstLineChars="200"/>
              <w:rPr>
                <w:color w:val="FF0000"/>
                <w:szCs w:val="21"/>
              </w:rPr>
            </w:pPr>
            <w:r>
              <w:rPr>
                <w:rFonts w:hint="eastAsia"/>
                <w:color w:val="auto"/>
                <w:szCs w:val="21"/>
              </w:rPr>
              <w:t>提供了《环境因素识别评价表》</w:t>
            </w:r>
            <w:r>
              <w:rPr>
                <w:rFonts w:hint="eastAsia"/>
                <w:color w:val="auto"/>
                <w:szCs w:val="21"/>
                <w:lang w:eastAsia="zh-CN"/>
              </w:rPr>
              <w:t>：</w:t>
            </w:r>
            <w:r>
              <w:rPr>
                <w:rFonts w:hint="eastAsia"/>
                <w:color w:val="auto"/>
                <w:szCs w:val="21"/>
                <w:lang w:val="en-US" w:eastAsia="zh-CN"/>
              </w:rPr>
              <w:t>组织根据场所、作业活动等因素</w:t>
            </w:r>
            <w:r>
              <w:rPr>
                <w:rFonts w:hint="eastAsia"/>
                <w:color w:val="auto"/>
                <w:szCs w:val="21"/>
              </w:rPr>
              <w:t>识别出环境因素</w:t>
            </w:r>
            <w:r>
              <w:rPr>
                <w:rFonts w:hint="eastAsia"/>
                <w:color w:val="auto"/>
                <w:szCs w:val="21"/>
                <w:lang w:val="en-US" w:eastAsia="zh-CN"/>
              </w:rPr>
              <w:t>38</w:t>
            </w:r>
            <w:r>
              <w:rPr>
                <w:rFonts w:hint="eastAsia"/>
                <w:color w:val="auto"/>
                <w:szCs w:val="21"/>
              </w:rPr>
              <w:t>项，</w:t>
            </w:r>
            <w:r>
              <w:rPr>
                <w:rFonts w:hint="eastAsia"/>
                <w:color w:val="auto"/>
                <w:szCs w:val="21"/>
                <w:lang w:val="en-US" w:eastAsia="zh-CN"/>
              </w:rPr>
              <w:t>内容涉及固废包括生活垃圾和工业固废、废水包括</w:t>
            </w:r>
            <w:r>
              <w:rPr>
                <w:rFonts w:hint="eastAsia"/>
                <w:color w:val="auto"/>
                <w:szCs w:val="21"/>
              </w:rPr>
              <w:t>生活污水的排放、</w:t>
            </w:r>
            <w:r>
              <w:rPr>
                <w:rFonts w:hint="eastAsia"/>
                <w:color w:val="auto"/>
                <w:szCs w:val="21"/>
                <w:lang w:val="en-US" w:eastAsia="zh-CN"/>
              </w:rPr>
              <w:t>噪声</w:t>
            </w:r>
            <w:r>
              <w:rPr>
                <w:rFonts w:hint="eastAsia"/>
                <w:color w:val="auto"/>
                <w:szCs w:val="21"/>
              </w:rPr>
              <w:t>等</w:t>
            </w:r>
            <w:r>
              <w:rPr>
                <w:rFonts w:hint="eastAsia"/>
                <w:color w:val="auto"/>
                <w:szCs w:val="21"/>
                <w:lang w:eastAsia="zh-CN"/>
              </w:rPr>
              <w:t>，</w:t>
            </w:r>
            <w:r>
              <w:rPr>
                <w:rFonts w:hint="eastAsia"/>
                <w:color w:val="auto"/>
                <w:szCs w:val="21"/>
              </w:rPr>
              <w:t>识别的环境因素标明时态、状态和对环境的影响，并制定</w:t>
            </w:r>
            <w:r>
              <w:rPr>
                <w:rFonts w:hint="eastAsia"/>
                <w:color w:val="auto"/>
                <w:szCs w:val="21"/>
                <w:lang w:val="en-US" w:eastAsia="zh-CN"/>
              </w:rPr>
              <w:t>了相应的控制</w:t>
            </w:r>
            <w:r>
              <w:rPr>
                <w:rFonts w:hint="eastAsia"/>
                <w:color w:val="auto"/>
                <w:szCs w:val="21"/>
              </w:rPr>
              <w:t>措施</w:t>
            </w:r>
            <w:r>
              <w:rPr>
                <w:rFonts w:hint="eastAsia"/>
                <w:color w:val="auto"/>
                <w:szCs w:val="21"/>
                <w:lang w:eastAsia="zh-CN"/>
              </w:rPr>
              <w:t>，</w:t>
            </w:r>
            <w:r>
              <w:rPr>
                <w:rFonts w:hint="eastAsia"/>
                <w:color w:val="auto"/>
                <w:szCs w:val="21"/>
                <w:lang w:val="en-US" w:eastAsia="zh-CN"/>
              </w:rPr>
              <w:t>基本符合识别和控制要求</w:t>
            </w:r>
            <w:r>
              <w:rPr>
                <w:rFonts w:hint="eastAsia"/>
                <w:color w:val="auto"/>
                <w:szCs w:val="21"/>
              </w:rPr>
              <w:t>。</w:t>
            </w:r>
          </w:p>
          <w:p>
            <w:pPr>
              <w:spacing w:line="280" w:lineRule="exact"/>
              <w:ind w:firstLine="420" w:firstLineChars="200"/>
              <w:rPr>
                <w:rFonts w:hint="default"/>
                <w:color w:val="FF0000"/>
                <w:szCs w:val="21"/>
                <w:lang w:val="en-US"/>
              </w:rPr>
            </w:pPr>
            <w:r>
              <w:rPr>
                <w:rFonts w:hint="eastAsia"/>
                <w:color w:val="auto"/>
                <w:szCs w:val="21"/>
              </w:rPr>
              <w:t>提供了</w:t>
            </w:r>
            <w:r>
              <w:rPr>
                <w:rFonts w:hint="eastAsia"/>
                <w:color w:val="auto"/>
                <w:szCs w:val="21"/>
                <w:lang w:eastAsia="zh-CN"/>
              </w:rPr>
              <w:t>《</w:t>
            </w:r>
            <w:r>
              <w:rPr>
                <w:rFonts w:hint="eastAsia"/>
                <w:color w:val="auto"/>
                <w:szCs w:val="21"/>
              </w:rPr>
              <w:t>重要环境因素控制清单</w:t>
            </w:r>
            <w:r>
              <w:rPr>
                <w:rFonts w:hint="eastAsia"/>
                <w:color w:val="auto"/>
                <w:szCs w:val="21"/>
                <w:lang w:eastAsia="zh-CN"/>
              </w:rPr>
              <w:t>》，</w:t>
            </w:r>
            <w:r>
              <w:rPr>
                <w:rFonts w:hint="eastAsia"/>
                <w:color w:val="auto"/>
                <w:szCs w:val="21"/>
                <w:lang w:val="en-US" w:eastAsia="zh-CN"/>
              </w:rPr>
              <w:t>内容汇总如下：</w:t>
            </w:r>
          </w:p>
          <w:tbl>
            <w:tblPr>
              <w:tblStyle w:val="7"/>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
              <w:gridCol w:w="1538"/>
              <w:gridCol w:w="2751"/>
              <w:gridCol w:w="960"/>
              <w:gridCol w:w="741"/>
              <w:gridCol w:w="3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81" w:type="dxa"/>
                  <w:tcBorders>
                    <w:top w:val="single" w:color="auto" w:sz="12" w:space="0"/>
                    <w:left w:val="single" w:color="auto" w:sz="12"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宋体" w:hAnsi="宋体"/>
                      <w:szCs w:val="21"/>
                    </w:rPr>
                  </w:pPr>
                  <w:r>
                    <w:rPr>
                      <w:rFonts w:hint="eastAsia" w:ascii="宋体" w:hAnsi="宋体"/>
                      <w:szCs w:val="21"/>
                    </w:rPr>
                    <w:t>序号</w:t>
                  </w:r>
                </w:p>
              </w:tc>
              <w:tc>
                <w:tcPr>
                  <w:tcW w:w="1538" w:type="dxa"/>
                  <w:tcBorders>
                    <w:top w:val="single" w:color="auto" w:sz="12" w:space="0"/>
                    <w:left w:val="single" w:color="auto" w:sz="6"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宋体" w:hAnsi="宋体"/>
                      <w:szCs w:val="21"/>
                    </w:rPr>
                  </w:pPr>
                  <w:r>
                    <w:rPr>
                      <w:rFonts w:hint="eastAsia" w:ascii="宋体" w:hAnsi="宋体"/>
                      <w:szCs w:val="21"/>
                    </w:rPr>
                    <w:t>重要环境因素</w:t>
                  </w:r>
                </w:p>
              </w:tc>
              <w:tc>
                <w:tcPr>
                  <w:tcW w:w="2751" w:type="dxa"/>
                  <w:tcBorders>
                    <w:top w:val="single" w:color="auto" w:sz="12" w:space="0"/>
                    <w:left w:val="single" w:color="auto" w:sz="6" w:space="0"/>
                    <w:bottom w:val="single" w:color="auto" w:sz="6" w:space="0"/>
                    <w:right w:val="single" w:color="auto" w:sz="6" w:space="0"/>
                  </w:tcBorders>
                  <w:noWrap w:val="0"/>
                  <w:vAlign w:val="center"/>
                </w:tcPr>
                <w:p>
                  <w:pPr>
                    <w:spacing w:line="240" w:lineRule="atLeast"/>
                    <w:jc w:val="center"/>
                    <w:rPr>
                      <w:rFonts w:hint="eastAsia" w:ascii="宋体" w:hAnsi="宋体"/>
                      <w:szCs w:val="21"/>
                    </w:rPr>
                  </w:pPr>
                  <w:r>
                    <w:rPr>
                      <w:rFonts w:hint="eastAsia" w:ascii="宋体" w:hAnsi="宋体"/>
                      <w:szCs w:val="21"/>
                    </w:rPr>
                    <w:t>活动、产品、服务</w:t>
                  </w:r>
                </w:p>
              </w:tc>
              <w:tc>
                <w:tcPr>
                  <w:tcW w:w="960" w:type="dxa"/>
                  <w:tcBorders>
                    <w:top w:val="single" w:color="auto" w:sz="12" w:space="0"/>
                    <w:left w:val="single" w:color="auto" w:sz="6"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宋体" w:hAnsi="宋体"/>
                      <w:szCs w:val="21"/>
                    </w:rPr>
                  </w:pPr>
                  <w:r>
                    <w:rPr>
                      <w:rFonts w:hint="eastAsia" w:ascii="宋体" w:hAnsi="宋体"/>
                      <w:szCs w:val="21"/>
                    </w:rPr>
                    <w:t>环境影响</w:t>
                  </w:r>
                </w:p>
              </w:tc>
              <w:tc>
                <w:tcPr>
                  <w:tcW w:w="741" w:type="dxa"/>
                  <w:tcBorders>
                    <w:top w:val="single" w:color="auto" w:sz="12" w:space="0"/>
                    <w:left w:val="single" w:color="auto" w:sz="6"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宋体" w:hAnsi="宋体"/>
                      <w:szCs w:val="21"/>
                    </w:rPr>
                  </w:pPr>
                  <w:r>
                    <w:rPr>
                      <w:rFonts w:hint="eastAsia" w:ascii="宋体" w:hAnsi="宋体"/>
                      <w:szCs w:val="21"/>
                    </w:rPr>
                    <w:t>时态/状态</w:t>
                  </w:r>
                </w:p>
              </w:tc>
              <w:tc>
                <w:tcPr>
                  <w:tcW w:w="3405" w:type="dxa"/>
                  <w:tcBorders>
                    <w:top w:val="single" w:color="auto" w:sz="12" w:space="0"/>
                    <w:left w:val="single" w:color="auto" w:sz="6" w:space="0"/>
                    <w:bottom w:val="single" w:color="auto" w:sz="6" w:space="0"/>
                    <w:right w:val="single" w:color="auto" w:sz="12" w:space="0"/>
                  </w:tcBorders>
                  <w:noWrap w:val="0"/>
                  <w:vAlign w:val="center"/>
                </w:tcPr>
                <w:p>
                  <w:pPr>
                    <w:spacing w:line="240" w:lineRule="atLeast"/>
                    <w:jc w:val="center"/>
                    <w:rPr>
                      <w:rFonts w:hint="eastAsia" w:ascii="宋体" w:hAnsi="宋体"/>
                      <w:szCs w:val="21"/>
                    </w:rPr>
                  </w:pPr>
                  <w:r>
                    <w:rPr>
                      <w:rFonts w:hint="eastAsia" w:ascii="宋体" w:hAnsi="宋体"/>
                      <w:szCs w:val="21"/>
                    </w:rPr>
                    <w:t>控</w:t>
                  </w:r>
                  <w:r>
                    <w:rPr>
                      <w:rFonts w:ascii="宋体" w:hAnsi="宋体"/>
                      <w:szCs w:val="21"/>
                    </w:rPr>
                    <w:t xml:space="preserve">  </w:t>
                  </w:r>
                  <w:r>
                    <w:rPr>
                      <w:rFonts w:hint="eastAsia" w:ascii="宋体" w:hAnsi="宋体"/>
                      <w:szCs w:val="21"/>
                    </w:rPr>
                    <w:t>制</w:t>
                  </w:r>
                  <w:r>
                    <w:rPr>
                      <w:rFonts w:ascii="宋体" w:hAnsi="宋体"/>
                      <w:szCs w:val="21"/>
                    </w:rPr>
                    <w:t xml:space="preserve">  </w:t>
                  </w:r>
                  <w:r>
                    <w:rPr>
                      <w:rFonts w:hint="eastAsia" w:ascii="宋体" w:hAnsi="宋体"/>
                      <w:szCs w:val="21"/>
                    </w:rPr>
                    <w:t>方</w:t>
                  </w:r>
                  <w:r>
                    <w:rPr>
                      <w:rFonts w:ascii="宋体" w:hAnsi="宋体"/>
                      <w:szCs w:val="21"/>
                    </w:rPr>
                    <w:t xml:space="preserve">  </w:t>
                  </w:r>
                  <w:r>
                    <w:rPr>
                      <w:rFonts w:hint="eastAsia" w:ascii="宋体" w:hAnsi="宋体"/>
                      <w:szCs w:val="21"/>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381" w:type="dxa"/>
                  <w:tcBorders>
                    <w:top w:val="single" w:color="auto" w:sz="6" w:space="0"/>
                    <w:left w:val="single" w:color="auto" w:sz="12"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宋体" w:hAnsi="宋体"/>
                      <w:szCs w:val="21"/>
                    </w:rPr>
                  </w:pPr>
                  <w:r>
                    <w:rPr>
                      <w:rFonts w:hint="eastAsia" w:ascii="宋体" w:hAnsi="宋体"/>
                      <w:szCs w:val="21"/>
                    </w:rPr>
                    <w:t>1</w:t>
                  </w:r>
                </w:p>
              </w:tc>
              <w:tc>
                <w:tcPr>
                  <w:tcW w:w="1538"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ind w:left="-105" w:leftChars="-50" w:right="-105" w:rightChars="-50"/>
                    <w:rPr>
                      <w:rFonts w:hint="eastAsia" w:ascii="宋体" w:hAnsi="宋体"/>
                      <w:szCs w:val="21"/>
                    </w:rPr>
                  </w:pPr>
                  <w:r>
                    <w:rPr>
                      <w:rFonts w:hint="eastAsia" w:ascii="宋体" w:hAnsi="宋体"/>
                      <w:szCs w:val="21"/>
                    </w:rPr>
                    <w:t>噪声排放</w:t>
                  </w:r>
                </w:p>
              </w:tc>
              <w:tc>
                <w:tcPr>
                  <w:tcW w:w="2751"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rPr>
                      <w:rFonts w:hint="eastAsia" w:ascii="宋体" w:hAnsi="宋体"/>
                      <w:szCs w:val="21"/>
                    </w:rPr>
                  </w:pPr>
                  <w:r>
                    <w:rPr>
                      <w:rFonts w:hint="eastAsia" w:ascii="宋体" w:hAnsi="宋体"/>
                      <w:szCs w:val="21"/>
                    </w:rPr>
                    <w:t>废气处理风机、打磨机、丝网印刷机设备运行产生噪声的排放</w:t>
                  </w:r>
                </w:p>
              </w:tc>
              <w:tc>
                <w:tcPr>
                  <w:tcW w:w="960"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宋体" w:hAnsi="宋体"/>
                      <w:szCs w:val="21"/>
                    </w:rPr>
                  </w:pPr>
                  <w:r>
                    <w:rPr>
                      <w:rFonts w:hint="eastAsia" w:ascii="宋体" w:hAnsi="宋体"/>
                      <w:szCs w:val="21"/>
                    </w:rPr>
                    <w:t>噪声污染</w:t>
                  </w:r>
                </w:p>
              </w:tc>
              <w:tc>
                <w:tcPr>
                  <w:tcW w:w="741"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宋体" w:hAnsi="宋体"/>
                      <w:szCs w:val="21"/>
                    </w:rPr>
                  </w:pPr>
                  <w:r>
                    <w:rPr>
                      <w:rFonts w:hint="eastAsia" w:ascii="宋体" w:hAnsi="宋体"/>
                      <w:szCs w:val="21"/>
                    </w:rPr>
                    <w:t>现在/正常</w:t>
                  </w:r>
                </w:p>
              </w:tc>
              <w:tc>
                <w:tcPr>
                  <w:tcW w:w="3405" w:type="dxa"/>
                  <w:tcBorders>
                    <w:top w:val="single" w:color="auto" w:sz="6" w:space="0"/>
                    <w:left w:val="single" w:color="auto" w:sz="6" w:space="0"/>
                    <w:bottom w:val="single" w:color="auto" w:sz="6" w:space="0"/>
                    <w:right w:val="single" w:color="auto" w:sz="12" w:space="0"/>
                  </w:tcBorders>
                  <w:noWrap w:val="0"/>
                  <w:vAlign w:val="center"/>
                </w:tcPr>
                <w:p>
                  <w:pPr>
                    <w:spacing w:line="240" w:lineRule="atLeast"/>
                    <w:rPr>
                      <w:rFonts w:hint="eastAsia" w:ascii="宋体" w:hAnsi="宋体"/>
                      <w:szCs w:val="21"/>
                    </w:rPr>
                  </w:pPr>
                  <w:r>
                    <w:rPr>
                      <w:rFonts w:hint="eastAsia" w:ascii="宋体" w:hAnsi="宋体"/>
                      <w:szCs w:val="21"/>
                    </w:rPr>
                    <w:t>运行控制：</w:t>
                  </w:r>
                </w:p>
                <w:p>
                  <w:pPr>
                    <w:numPr>
                      <w:ilvl w:val="0"/>
                      <w:numId w:val="1"/>
                    </w:numPr>
                    <w:spacing w:line="240" w:lineRule="atLeast"/>
                    <w:rPr>
                      <w:rFonts w:hint="eastAsia" w:ascii="宋体" w:hAnsi="宋体"/>
                      <w:szCs w:val="21"/>
                    </w:rPr>
                  </w:pPr>
                  <w:r>
                    <w:rPr>
                      <w:rFonts w:hint="eastAsia" w:ascii="宋体" w:hAnsi="宋体"/>
                      <w:szCs w:val="21"/>
                    </w:rPr>
                    <w:t>加强设备日常维护保养；</w:t>
                  </w:r>
                </w:p>
                <w:p>
                  <w:pPr>
                    <w:numPr>
                      <w:ilvl w:val="0"/>
                      <w:numId w:val="1"/>
                    </w:numPr>
                    <w:spacing w:line="240" w:lineRule="atLeast"/>
                    <w:rPr>
                      <w:rFonts w:hint="eastAsia" w:ascii="宋体" w:hAnsi="宋体"/>
                      <w:szCs w:val="21"/>
                    </w:rPr>
                  </w:pPr>
                  <w:r>
                    <w:rPr>
                      <w:rFonts w:hint="eastAsia" w:ascii="宋体" w:hAnsi="宋体"/>
                      <w:szCs w:val="21"/>
                    </w:rPr>
                    <w:t>加强设备减振、隔离防护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81" w:type="dxa"/>
                  <w:vMerge w:val="restart"/>
                  <w:tcBorders>
                    <w:top w:val="single" w:color="auto" w:sz="6" w:space="0"/>
                    <w:left w:val="single" w:color="auto" w:sz="12" w:space="0"/>
                    <w:right w:val="single" w:color="auto" w:sz="6" w:space="0"/>
                  </w:tcBorders>
                  <w:noWrap w:val="0"/>
                  <w:vAlign w:val="center"/>
                </w:tcPr>
                <w:p>
                  <w:pPr>
                    <w:spacing w:line="240" w:lineRule="atLeast"/>
                    <w:ind w:left="-105" w:leftChars="-50" w:right="-105" w:rightChars="-50"/>
                    <w:jc w:val="center"/>
                    <w:rPr>
                      <w:rFonts w:hint="eastAsia" w:ascii="宋体" w:hAnsi="宋体"/>
                      <w:szCs w:val="21"/>
                    </w:rPr>
                  </w:pPr>
                  <w:r>
                    <w:rPr>
                      <w:rFonts w:hint="eastAsia" w:ascii="宋体" w:hAnsi="宋体"/>
                      <w:szCs w:val="21"/>
                    </w:rPr>
                    <w:t>2</w:t>
                  </w:r>
                </w:p>
              </w:tc>
              <w:tc>
                <w:tcPr>
                  <w:tcW w:w="1538" w:type="dxa"/>
                  <w:vMerge w:val="restart"/>
                  <w:tcBorders>
                    <w:top w:val="single" w:color="auto" w:sz="6" w:space="0"/>
                    <w:left w:val="single" w:color="auto" w:sz="6" w:space="0"/>
                    <w:right w:val="single" w:color="auto" w:sz="6" w:space="0"/>
                  </w:tcBorders>
                  <w:noWrap w:val="0"/>
                  <w:vAlign w:val="center"/>
                </w:tcPr>
                <w:p>
                  <w:pPr>
                    <w:spacing w:line="240" w:lineRule="atLeast"/>
                    <w:ind w:left="-105" w:leftChars="-50" w:right="-105" w:rightChars="-50"/>
                    <w:rPr>
                      <w:rFonts w:hint="eastAsia" w:ascii="宋体" w:hAnsi="宋体"/>
                      <w:szCs w:val="21"/>
                    </w:rPr>
                  </w:pPr>
                  <w:r>
                    <w:rPr>
                      <w:rFonts w:hint="eastAsia" w:ascii="宋体" w:hAnsi="宋体"/>
                      <w:szCs w:val="21"/>
                    </w:rPr>
                    <w:t>固废的废弃</w:t>
                  </w:r>
                </w:p>
              </w:tc>
              <w:tc>
                <w:tcPr>
                  <w:tcW w:w="2751"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rPr>
                      <w:rFonts w:hint="eastAsia" w:ascii="宋体" w:hAnsi="宋体"/>
                      <w:szCs w:val="21"/>
                    </w:rPr>
                  </w:pPr>
                  <w:r>
                    <w:rPr>
                      <w:rFonts w:hint="eastAsia" w:ascii="宋体" w:hAnsi="宋体"/>
                      <w:szCs w:val="21"/>
                    </w:rPr>
                    <w:t>废油漆桶、废油墨桶的废弃</w:t>
                  </w:r>
                </w:p>
              </w:tc>
              <w:tc>
                <w:tcPr>
                  <w:tcW w:w="960" w:type="dxa"/>
                  <w:vMerge w:val="restart"/>
                  <w:tcBorders>
                    <w:top w:val="single" w:color="auto" w:sz="6" w:space="0"/>
                    <w:left w:val="single" w:color="auto" w:sz="6" w:space="0"/>
                    <w:right w:val="single" w:color="auto" w:sz="6" w:space="0"/>
                  </w:tcBorders>
                  <w:noWrap w:val="0"/>
                  <w:vAlign w:val="center"/>
                </w:tcPr>
                <w:p>
                  <w:pPr>
                    <w:spacing w:line="240" w:lineRule="atLeast"/>
                    <w:ind w:left="-105" w:leftChars="-50" w:right="-105" w:rightChars="-50"/>
                    <w:jc w:val="center"/>
                    <w:rPr>
                      <w:rFonts w:hint="eastAsia" w:ascii="宋体" w:hAnsi="宋体"/>
                      <w:szCs w:val="21"/>
                    </w:rPr>
                  </w:pPr>
                  <w:r>
                    <w:rPr>
                      <w:rFonts w:hint="eastAsia" w:ascii="宋体" w:hAnsi="宋体"/>
                      <w:szCs w:val="21"/>
                    </w:rPr>
                    <w:t>水体/土壤污染</w:t>
                  </w:r>
                </w:p>
              </w:tc>
              <w:tc>
                <w:tcPr>
                  <w:tcW w:w="741" w:type="dxa"/>
                  <w:vMerge w:val="restart"/>
                  <w:tcBorders>
                    <w:top w:val="single" w:color="auto" w:sz="6" w:space="0"/>
                    <w:left w:val="single" w:color="auto" w:sz="6" w:space="0"/>
                    <w:right w:val="single" w:color="auto" w:sz="6" w:space="0"/>
                  </w:tcBorders>
                  <w:noWrap w:val="0"/>
                  <w:vAlign w:val="center"/>
                </w:tcPr>
                <w:p>
                  <w:pPr>
                    <w:spacing w:line="240" w:lineRule="atLeast"/>
                    <w:ind w:left="-105" w:leftChars="-50" w:right="-105" w:rightChars="-50"/>
                    <w:jc w:val="center"/>
                    <w:rPr>
                      <w:rFonts w:hint="eastAsia" w:ascii="宋体" w:hAnsi="宋体"/>
                      <w:szCs w:val="21"/>
                    </w:rPr>
                  </w:pPr>
                  <w:r>
                    <w:rPr>
                      <w:rFonts w:hint="eastAsia" w:ascii="宋体" w:hAnsi="宋体"/>
                      <w:szCs w:val="21"/>
                    </w:rPr>
                    <w:t>现在/正常</w:t>
                  </w:r>
                </w:p>
              </w:tc>
              <w:tc>
                <w:tcPr>
                  <w:tcW w:w="3405" w:type="dxa"/>
                  <w:vMerge w:val="restart"/>
                  <w:tcBorders>
                    <w:top w:val="single" w:color="auto" w:sz="6" w:space="0"/>
                    <w:left w:val="single" w:color="auto" w:sz="6" w:space="0"/>
                    <w:right w:val="single" w:color="auto" w:sz="12" w:space="0"/>
                  </w:tcBorders>
                  <w:noWrap w:val="0"/>
                  <w:vAlign w:val="center"/>
                </w:tcPr>
                <w:p>
                  <w:pPr>
                    <w:spacing w:line="240" w:lineRule="atLeast"/>
                    <w:rPr>
                      <w:rFonts w:ascii="宋体" w:hAnsi="宋体"/>
                      <w:szCs w:val="21"/>
                    </w:rPr>
                  </w:pPr>
                  <w:r>
                    <w:rPr>
                      <w:rFonts w:hint="eastAsia" w:ascii="宋体" w:hAnsi="宋体"/>
                      <w:szCs w:val="21"/>
                    </w:rPr>
                    <w:t>运行控制：</w:t>
                  </w:r>
                </w:p>
                <w:p>
                  <w:pPr>
                    <w:numPr>
                      <w:ilvl w:val="0"/>
                      <w:numId w:val="2"/>
                    </w:numPr>
                    <w:spacing w:line="240" w:lineRule="atLeast"/>
                    <w:rPr>
                      <w:rFonts w:ascii="宋体" w:hAnsi="宋体"/>
                      <w:szCs w:val="21"/>
                    </w:rPr>
                  </w:pPr>
                  <w:r>
                    <w:rPr>
                      <w:rFonts w:hint="eastAsia" w:ascii="宋体" w:hAnsi="宋体"/>
                      <w:szCs w:val="21"/>
                    </w:rPr>
                    <w:t>废活性炭、废油漆桶、废油墨桶、漆渣统一收集后，委托有资质单位处置</w:t>
                  </w:r>
                </w:p>
                <w:p>
                  <w:pPr>
                    <w:numPr>
                      <w:ilvl w:val="0"/>
                      <w:numId w:val="2"/>
                    </w:numPr>
                    <w:spacing w:line="240" w:lineRule="atLeast"/>
                    <w:rPr>
                      <w:rFonts w:hint="eastAsia" w:ascii="宋体" w:hAnsi="宋体"/>
                      <w:szCs w:val="21"/>
                    </w:rPr>
                  </w:pPr>
                  <w:r>
                    <w:rPr>
                      <w:rFonts w:hint="eastAsia" w:ascii="宋体" w:hAnsi="宋体"/>
                      <w:szCs w:val="21"/>
                    </w:rPr>
                    <w:t>生活垃圾由环卫部门定期清运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381" w:type="dxa"/>
                  <w:vMerge w:val="continue"/>
                  <w:tcBorders>
                    <w:left w:val="single" w:color="auto" w:sz="12" w:space="0"/>
                    <w:right w:val="single" w:color="auto" w:sz="6" w:space="0"/>
                  </w:tcBorders>
                  <w:noWrap w:val="0"/>
                  <w:vAlign w:val="center"/>
                </w:tcPr>
                <w:p>
                  <w:pPr>
                    <w:spacing w:line="240" w:lineRule="atLeast"/>
                    <w:ind w:left="-105" w:leftChars="-50" w:right="-105" w:rightChars="-50"/>
                    <w:jc w:val="center"/>
                    <w:rPr>
                      <w:rFonts w:hint="eastAsia" w:ascii="宋体" w:hAnsi="宋体"/>
                      <w:szCs w:val="21"/>
                    </w:rPr>
                  </w:pPr>
                </w:p>
              </w:tc>
              <w:tc>
                <w:tcPr>
                  <w:tcW w:w="1538" w:type="dxa"/>
                  <w:vMerge w:val="continue"/>
                  <w:tcBorders>
                    <w:left w:val="single" w:color="auto" w:sz="6" w:space="0"/>
                    <w:right w:val="single" w:color="auto" w:sz="6" w:space="0"/>
                  </w:tcBorders>
                  <w:noWrap w:val="0"/>
                  <w:vAlign w:val="center"/>
                </w:tcPr>
                <w:p>
                  <w:pPr>
                    <w:spacing w:line="240" w:lineRule="atLeast"/>
                    <w:ind w:left="-105" w:leftChars="-50" w:right="-105" w:rightChars="-50"/>
                    <w:rPr>
                      <w:rFonts w:hint="eastAsia" w:ascii="宋体" w:hAnsi="宋体"/>
                      <w:szCs w:val="21"/>
                    </w:rPr>
                  </w:pPr>
                </w:p>
              </w:tc>
              <w:tc>
                <w:tcPr>
                  <w:tcW w:w="2751"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rPr>
                      <w:rFonts w:hint="eastAsia" w:ascii="宋体" w:hAnsi="宋体"/>
                      <w:szCs w:val="21"/>
                    </w:rPr>
                  </w:pPr>
                  <w:r>
                    <w:rPr>
                      <w:rFonts w:hint="eastAsia" w:ascii="宋体" w:hAnsi="宋体"/>
                      <w:szCs w:val="21"/>
                    </w:rPr>
                    <w:t>漆雾处理产生的漆渣</w:t>
                  </w:r>
                </w:p>
              </w:tc>
              <w:tc>
                <w:tcPr>
                  <w:tcW w:w="960" w:type="dxa"/>
                  <w:vMerge w:val="continue"/>
                  <w:tcBorders>
                    <w:left w:val="single" w:color="auto" w:sz="6" w:space="0"/>
                    <w:right w:val="single" w:color="auto" w:sz="6" w:space="0"/>
                  </w:tcBorders>
                  <w:noWrap w:val="0"/>
                  <w:vAlign w:val="center"/>
                </w:tcPr>
                <w:p>
                  <w:pPr>
                    <w:spacing w:line="240" w:lineRule="atLeast"/>
                    <w:ind w:left="-105" w:leftChars="-50" w:right="-105" w:rightChars="-50"/>
                    <w:jc w:val="center"/>
                    <w:rPr>
                      <w:rFonts w:hint="eastAsia" w:ascii="宋体" w:hAnsi="宋体"/>
                      <w:szCs w:val="21"/>
                    </w:rPr>
                  </w:pPr>
                </w:p>
              </w:tc>
              <w:tc>
                <w:tcPr>
                  <w:tcW w:w="741" w:type="dxa"/>
                  <w:vMerge w:val="continue"/>
                  <w:tcBorders>
                    <w:left w:val="single" w:color="auto" w:sz="6" w:space="0"/>
                    <w:right w:val="single" w:color="auto" w:sz="6" w:space="0"/>
                  </w:tcBorders>
                  <w:noWrap w:val="0"/>
                  <w:vAlign w:val="center"/>
                </w:tcPr>
                <w:p>
                  <w:pPr>
                    <w:spacing w:line="240" w:lineRule="atLeast"/>
                    <w:ind w:left="-105" w:leftChars="-50" w:right="-105" w:rightChars="-50"/>
                    <w:jc w:val="center"/>
                    <w:rPr>
                      <w:rFonts w:hint="eastAsia" w:ascii="宋体" w:hAnsi="宋体"/>
                      <w:szCs w:val="21"/>
                    </w:rPr>
                  </w:pPr>
                </w:p>
              </w:tc>
              <w:tc>
                <w:tcPr>
                  <w:tcW w:w="3405" w:type="dxa"/>
                  <w:vMerge w:val="continue"/>
                  <w:tcBorders>
                    <w:left w:val="single" w:color="auto" w:sz="6" w:space="0"/>
                    <w:right w:val="single" w:color="auto" w:sz="12" w:space="0"/>
                  </w:tcBorders>
                  <w:noWrap w:val="0"/>
                  <w:vAlign w:val="center"/>
                </w:tcPr>
                <w:p>
                  <w:pPr>
                    <w:spacing w:line="240" w:lineRule="atLeas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381" w:type="dxa"/>
                  <w:vMerge w:val="continue"/>
                  <w:tcBorders>
                    <w:left w:val="single" w:color="auto" w:sz="12" w:space="0"/>
                    <w:right w:val="single" w:color="auto" w:sz="6" w:space="0"/>
                  </w:tcBorders>
                  <w:noWrap w:val="0"/>
                  <w:vAlign w:val="center"/>
                </w:tcPr>
                <w:p>
                  <w:pPr>
                    <w:spacing w:line="240" w:lineRule="atLeast"/>
                    <w:ind w:left="-105" w:leftChars="-50" w:right="-105" w:rightChars="-50"/>
                    <w:jc w:val="center"/>
                    <w:rPr>
                      <w:rFonts w:hint="eastAsia" w:ascii="宋体" w:hAnsi="宋体"/>
                      <w:szCs w:val="21"/>
                    </w:rPr>
                  </w:pPr>
                </w:p>
              </w:tc>
              <w:tc>
                <w:tcPr>
                  <w:tcW w:w="1538" w:type="dxa"/>
                  <w:vMerge w:val="continue"/>
                  <w:tcBorders>
                    <w:left w:val="single" w:color="auto" w:sz="6" w:space="0"/>
                    <w:right w:val="single" w:color="auto" w:sz="6" w:space="0"/>
                  </w:tcBorders>
                  <w:noWrap w:val="0"/>
                  <w:vAlign w:val="center"/>
                </w:tcPr>
                <w:p>
                  <w:pPr>
                    <w:spacing w:line="240" w:lineRule="atLeast"/>
                    <w:ind w:left="-105" w:leftChars="-50" w:right="-105" w:rightChars="-50"/>
                    <w:rPr>
                      <w:rFonts w:hint="eastAsia" w:ascii="宋体" w:hAnsi="宋体"/>
                      <w:szCs w:val="21"/>
                    </w:rPr>
                  </w:pPr>
                </w:p>
              </w:tc>
              <w:tc>
                <w:tcPr>
                  <w:tcW w:w="2751"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rPr>
                      <w:rFonts w:hint="eastAsia" w:ascii="宋体" w:hAnsi="宋体"/>
                      <w:szCs w:val="21"/>
                    </w:rPr>
                  </w:pPr>
                  <w:r>
                    <w:rPr>
                      <w:rFonts w:hint="eastAsia" w:ascii="宋体" w:hAnsi="宋体"/>
                      <w:szCs w:val="21"/>
                    </w:rPr>
                    <w:t>废气处理产生的废活性炭</w:t>
                  </w:r>
                </w:p>
              </w:tc>
              <w:tc>
                <w:tcPr>
                  <w:tcW w:w="960" w:type="dxa"/>
                  <w:vMerge w:val="continue"/>
                  <w:tcBorders>
                    <w:left w:val="single" w:color="auto" w:sz="6" w:space="0"/>
                    <w:right w:val="single" w:color="auto" w:sz="6" w:space="0"/>
                  </w:tcBorders>
                  <w:noWrap w:val="0"/>
                  <w:vAlign w:val="center"/>
                </w:tcPr>
                <w:p>
                  <w:pPr>
                    <w:spacing w:line="240" w:lineRule="atLeast"/>
                    <w:ind w:left="-105" w:leftChars="-50" w:right="-105" w:rightChars="-50"/>
                    <w:jc w:val="center"/>
                    <w:rPr>
                      <w:rFonts w:hint="eastAsia" w:ascii="宋体" w:hAnsi="宋体"/>
                      <w:szCs w:val="21"/>
                    </w:rPr>
                  </w:pPr>
                </w:p>
              </w:tc>
              <w:tc>
                <w:tcPr>
                  <w:tcW w:w="741" w:type="dxa"/>
                  <w:vMerge w:val="continue"/>
                  <w:tcBorders>
                    <w:left w:val="single" w:color="auto" w:sz="6" w:space="0"/>
                    <w:right w:val="single" w:color="auto" w:sz="6" w:space="0"/>
                  </w:tcBorders>
                  <w:noWrap w:val="0"/>
                  <w:vAlign w:val="center"/>
                </w:tcPr>
                <w:p>
                  <w:pPr>
                    <w:spacing w:line="240" w:lineRule="atLeast"/>
                    <w:ind w:left="-105" w:leftChars="-50" w:right="-105" w:rightChars="-50"/>
                    <w:jc w:val="center"/>
                    <w:rPr>
                      <w:rFonts w:hint="eastAsia" w:ascii="宋体" w:hAnsi="宋体"/>
                      <w:szCs w:val="21"/>
                    </w:rPr>
                  </w:pPr>
                </w:p>
              </w:tc>
              <w:tc>
                <w:tcPr>
                  <w:tcW w:w="3405" w:type="dxa"/>
                  <w:vMerge w:val="continue"/>
                  <w:tcBorders>
                    <w:left w:val="single" w:color="auto" w:sz="6" w:space="0"/>
                    <w:right w:val="single" w:color="auto" w:sz="12" w:space="0"/>
                  </w:tcBorders>
                  <w:noWrap w:val="0"/>
                  <w:vAlign w:val="center"/>
                </w:tcPr>
                <w:p>
                  <w:pPr>
                    <w:spacing w:line="240" w:lineRule="atLeas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81" w:type="dxa"/>
                  <w:vMerge w:val="continue"/>
                  <w:tcBorders>
                    <w:left w:val="single" w:color="auto" w:sz="12" w:space="0"/>
                    <w:right w:val="single" w:color="auto" w:sz="6" w:space="0"/>
                  </w:tcBorders>
                  <w:noWrap w:val="0"/>
                  <w:vAlign w:val="center"/>
                </w:tcPr>
                <w:p>
                  <w:pPr>
                    <w:spacing w:line="240" w:lineRule="atLeast"/>
                    <w:ind w:left="-105" w:leftChars="-50" w:right="-105" w:rightChars="-50"/>
                    <w:jc w:val="center"/>
                    <w:rPr>
                      <w:rFonts w:hint="eastAsia" w:ascii="宋体" w:hAnsi="宋体"/>
                      <w:szCs w:val="21"/>
                    </w:rPr>
                  </w:pPr>
                </w:p>
              </w:tc>
              <w:tc>
                <w:tcPr>
                  <w:tcW w:w="1538" w:type="dxa"/>
                  <w:vMerge w:val="continue"/>
                  <w:tcBorders>
                    <w:left w:val="single" w:color="auto" w:sz="6" w:space="0"/>
                    <w:right w:val="single" w:color="auto" w:sz="6" w:space="0"/>
                  </w:tcBorders>
                  <w:noWrap w:val="0"/>
                  <w:vAlign w:val="center"/>
                </w:tcPr>
                <w:p>
                  <w:pPr>
                    <w:spacing w:line="240" w:lineRule="atLeast"/>
                    <w:ind w:left="-105" w:leftChars="-50" w:right="-105" w:rightChars="-50"/>
                    <w:rPr>
                      <w:rFonts w:hint="eastAsia" w:ascii="宋体" w:hAnsi="宋体"/>
                      <w:szCs w:val="21"/>
                    </w:rPr>
                  </w:pPr>
                </w:p>
              </w:tc>
              <w:tc>
                <w:tcPr>
                  <w:tcW w:w="2751"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rPr>
                      <w:rFonts w:hint="eastAsia" w:ascii="宋体" w:hAnsi="宋体"/>
                      <w:szCs w:val="21"/>
                    </w:rPr>
                  </w:pPr>
                  <w:r>
                    <w:rPr>
                      <w:rFonts w:hint="eastAsia" w:ascii="宋体" w:hAnsi="宋体"/>
                      <w:szCs w:val="21"/>
                    </w:rPr>
                    <w:t>除尘器收集的粉尘</w:t>
                  </w:r>
                </w:p>
              </w:tc>
              <w:tc>
                <w:tcPr>
                  <w:tcW w:w="960" w:type="dxa"/>
                  <w:vMerge w:val="continue"/>
                  <w:tcBorders>
                    <w:left w:val="single" w:color="auto" w:sz="6" w:space="0"/>
                    <w:right w:val="single" w:color="auto" w:sz="6" w:space="0"/>
                  </w:tcBorders>
                  <w:noWrap w:val="0"/>
                  <w:vAlign w:val="center"/>
                </w:tcPr>
                <w:p>
                  <w:pPr>
                    <w:spacing w:line="240" w:lineRule="atLeast"/>
                    <w:ind w:left="-105" w:leftChars="-50" w:right="-105" w:rightChars="-50"/>
                    <w:jc w:val="center"/>
                    <w:rPr>
                      <w:rFonts w:hint="eastAsia" w:ascii="宋体" w:hAnsi="宋体"/>
                      <w:szCs w:val="21"/>
                    </w:rPr>
                  </w:pPr>
                </w:p>
              </w:tc>
              <w:tc>
                <w:tcPr>
                  <w:tcW w:w="741" w:type="dxa"/>
                  <w:vMerge w:val="continue"/>
                  <w:tcBorders>
                    <w:left w:val="single" w:color="auto" w:sz="6" w:space="0"/>
                    <w:right w:val="single" w:color="auto" w:sz="6" w:space="0"/>
                  </w:tcBorders>
                  <w:noWrap w:val="0"/>
                  <w:vAlign w:val="center"/>
                </w:tcPr>
                <w:p>
                  <w:pPr>
                    <w:spacing w:line="240" w:lineRule="atLeast"/>
                    <w:ind w:left="-105" w:leftChars="-50" w:right="-105" w:rightChars="-50"/>
                    <w:jc w:val="center"/>
                    <w:rPr>
                      <w:rFonts w:hint="eastAsia" w:ascii="宋体" w:hAnsi="宋体"/>
                      <w:szCs w:val="21"/>
                    </w:rPr>
                  </w:pPr>
                </w:p>
              </w:tc>
              <w:tc>
                <w:tcPr>
                  <w:tcW w:w="3405" w:type="dxa"/>
                  <w:vMerge w:val="continue"/>
                  <w:tcBorders>
                    <w:left w:val="single" w:color="auto" w:sz="6" w:space="0"/>
                    <w:right w:val="single" w:color="auto" w:sz="12" w:space="0"/>
                  </w:tcBorders>
                  <w:noWrap w:val="0"/>
                  <w:vAlign w:val="center"/>
                </w:tcPr>
                <w:p>
                  <w:pPr>
                    <w:spacing w:line="240" w:lineRule="atLeas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81" w:type="dxa"/>
                  <w:vMerge w:val="continue"/>
                  <w:tcBorders>
                    <w:left w:val="single" w:color="auto" w:sz="12" w:space="0"/>
                    <w:right w:val="single" w:color="auto" w:sz="6" w:space="0"/>
                  </w:tcBorders>
                  <w:noWrap w:val="0"/>
                  <w:vAlign w:val="center"/>
                </w:tcPr>
                <w:p>
                  <w:pPr>
                    <w:spacing w:line="240" w:lineRule="atLeast"/>
                    <w:ind w:left="-105" w:leftChars="-50" w:right="-105" w:rightChars="-50"/>
                    <w:jc w:val="center"/>
                    <w:rPr>
                      <w:rFonts w:hint="eastAsia" w:ascii="宋体" w:hAnsi="宋体"/>
                      <w:szCs w:val="21"/>
                    </w:rPr>
                  </w:pPr>
                </w:p>
              </w:tc>
              <w:tc>
                <w:tcPr>
                  <w:tcW w:w="1538" w:type="dxa"/>
                  <w:vMerge w:val="continue"/>
                  <w:tcBorders>
                    <w:left w:val="single" w:color="auto" w:sz="6" w:space="0"/>
                    <w:right w:val="single" w:color="auto" w:sz="6" w:space="0"/>
                  </w:tcBorders>
                  <w:noWrap w:val="0"/>
                  <w:vAlign w:val="center"/>
                </w:tcPr>
                <w:p>
                  <w:pPr>
                    <w:spacing w:line="240" w:lineRule="atLeast"/>
                    <w:ind w:left="-105" w:leftChars="-50" w:right="-105" w:rightChars="-50"/>
                    <w:rPr>
                      <w:rFonts w:hint="eastAsia" w:ascii="宋体" w:hAnsi="宋体"/>
                      <w:szCs w:val="21"/>
                    </w:rPr>
                  </w:pPr>
                </w:p>
              </w:tc>
              <w:tc>
                <w:tcPr>
                  <w:tcW w:w="2751"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rPr>
                      <w:rFonts w:hint="eastAsia" w:ascii="宋体" w:hAnsi="宋体"/>
                      <w:szCs w:val="21"/>
                    </w:rPr>
                  </w:pPr>
                  <w:r>
                    <w:rPr>
                      <w:rFonts w:hint="eastAsia" w:ascii="宋体" w:hAnsi="宋体"/>
                      <w:szCs w:val="21"/>
                    </w:rPr>
                    <w:t>员工生活垃圾</w:t>
                  </w:r>
                </w:p>
              </w:tc>
              <w:tc>
                <w:tcPr>
                  <w:tcW w:w="960" w:type="dxa"/>
                  <w:vMerge w:val="continue"/>
                  <w:tcBorders>
                    <w:left w:val="single" w:color="auto" w:sz="6" w:space="0"/>
                    <w:right w:val="single" w:color="auto" w:sz="6" w:space="0"/>
                  </w:tcBorders>
                  <w:noWrap w:val="0"/>
                  <w:vAlign w:val="center"/>
                </w:tcPr>
                <w:p>
                  <w:pPr>
                    <w:spacing w:line="240" w:lineRule="atLeast"/>
                    <w:ind w:left="-105" w:leftChars="-50" w:right="-105" w:rightChars="-50"/>
                    <w:jc w:val="center"/>
                    <w:rPr>
                      <w:rFonts w:hint="eastAsia" w:ascii="宋体" w:hAnsi="宋体"/>
                      <w:szCs w:val="21"/>
                    </w:rPr>
                  </w:pPr>
                </w:p>
              </w:tc>
              <w:tc>
                <w:tcPr>
                  <w:tcW w:w="741" w:type="dxa"/>
                  <w:vMerge w:val="continue"/>
                  <w:tcBorders>
                    <w:left w:val="single" w:color="auto" w:sz="6" w:space="0"/>
                    <w:right w:val="single" w:color="auto" w:sz="6" w:space="0"/>
                  </w:tcBorders>
                  <w:noWrap w:val="0"/>
                  <w:vAlign w:val="center"/>
                </w:tcPr>
                <w:p>
                  <w:pPr>
                    <w:spacing w:line="240" w:lineRule="atLeast"/>
                    <w:ind w:left="-105" w:leftChars="-50" w:right="-105" w:rightChars="-50"/>
                    <w:jc w:val="center"/>
                    <w:rPr>
                      <w:rFonts w:hint="eastAsia" w:ascii="宋体" w:hAnsi="宋体"/>
                      <w:szCs w:val="21"/>
                    </w:rPr>
                  </w:pPr>
                </w:p>
              </w:tc>
              <w:tc>
                <w:tcPr>
                  <w:tcW w:w="3405" w:type="dxa"/>
                  <w:vMerge w:val="continue"/>
                  <w:tcBorders>
                    <w:left w:val="single" w:color="auto" w:sz="6" w:space="0"/>
                    <w:right w:val="single" w:color="auto" w:sz="12" w:space="0"/>
                  </w:tcBorders>
                  <w:noWrap w:val="0"/>
                  <w:vAlign w:val="center"/>
                </w:tcPr>
                <w:p>
                  <w:pPr>
                    <w:spacing w:line="240" w:lineRule="atLeas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381" w:type="dxa"/>
                  <w:tcBorders>
                    <w:top w:val="single" w:color="auto" w:sz="6" w:space="0"/>
                    <w:left w:val="single" w:color="auto" w:sz="12"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宋体" w:hAnsi="宋体"/>
                      <w:szCs w:val="21"/>
                    </w:rPr>
                  </w:pPr>
                  <w:r>
                    <w:rPr>
                      <w:rFonts w:hint="eastAsia" w:ascii="宋体" w:hAnsi="宋体"/>
                      <w:szCs w:val="21"/>
                    </w:rPr>
                    <w:t>4</w:t>
                  </w:r>
                </w:p>
              </w:tc>
              <w:tc>
                <w:tcPr>
                  <w:tcW w:w="1538"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ind w:left="-105" w:leftChars="-50" w:right="-105" w:rightChars="-50"/>
                    <w:rPr>
                      <w:rFonts w:hint="eastAsia" w:ascii="宋体" w:hAnsi="宋体"/>
                      <w:szCs w:val="21"/>
                    </w:rPr>
                  </w:pPr>
                  <w:r>
                    <w:rPr>
                      <w:rFonts w:hint="eastAsia" w:ascii="宋体" w:hAnsi="宋体"/>
                      <w:szCs w:val="21"/>
                    </w:rPr>
                    <w:t>废水排放</w:t>
                  </w:r>
                </w:p>
              </w:tc>
              <w:tc>
                <w:tcPr>
                  <w:tcW w:w="2751"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rPr>
                      <w:rFonts w:hint="eastAsia" w:ascii="宋体" w:hAnsi="宋体"/>
                      <w:szCs w:val="21"/>
                    </w:rPr>
                  </w:pPr>
                  <w:r>
                    <w:rPr>
                      <w:rFonts w:hint="eastAsia" w:ascii="宋体" w:hAnsi="宋体"/>
                      <w:szCs w:val="21"/>
                    </w:rPr>
                    <w:t>生活污水</w:t>
                  </w:r>
                </w:p>
              </w:tc>
              <w:tc>
                <w:tcPr>
                  <w:tcW w:w="960"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宋体" w:hAnsi="宋体"/>
                      <w:szCs w:val="21"/>
                    </w:rPr>
                  </w:pPr>
                  <w:r>
                    <w:rPr>
                      <w:rFonts w:hint="eastAsia" w:ascii="宋体" w:hAnsi="宋体"/>
                      <w:szCs w:val="21"/>
                    </w:rPr>
                    <w:t>水体污染</w:t>
                  </w:r>
                </w:p>
              </w:tc>
              <w:tc>
                <w:tcPr>
                  <w:tcW w:w="741"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宋体" w:hAnsi="宋体"/>
                      <w:szCs w:val="21"/>
                    </w:rPr>
                  </w:pPr>
                  <w:r>
                    <w:rPr>
                      <w:rFonts w:hint="eastAsia" w:ascii="宋体" w:hAnsi="宋体"/>
                      <w:szCs w:val="21"/>
                    </w:rPr>
                    <w:t>现在/正常</w:t>
                  </w:r>
                </w:p>
              </w:tc>
              <w:tc>
                <w:tcPr>
                  <w:tcW w:w="3405" w:type="dxa"/>
                  <w:tcBorders>
                    <w:top w:val="single" w:color="auto" w:sz="6" w:space="0"/>
                    <w:left w:val="single" w:color="auto" w:sz="6" w:space="0"/>
                    <w:bottom w:val="single" w:color="auto" w:sz="6" w:space="0"/>
                    <w:right w:val="single" w:color="auto" w:sz="12" w:space="0"/>
                  </w:tcBorders>
                  <w:noWrap w:val="0"/>
                  <w:vAlign w:val="center"/>
                </w:tcPr>
                <w:p>
                  <w:pPr>
                    <w:spacing w:line="240" w:lineRule="atLeast"/>
                    <w:rPr>
                      <w:rFonts w:hint="eastAsia" w:ascii="宋体" w:hAnsi="宋体"/>
                      <w:szCs w:val="21"/>
                    </w:rPr>
                  </w:pPr>
                  <w:r>
                    <w:rPr>
                      <w:rFonts w:hint="eastAsia" w:ascii="宋体" w:hAnsi="宋体"/>
                      <w:szCs w:val="21"/>
                    </w:rPr>
                    <w:t>运行控制：</w:t>
                  </w:r>
                </w:p>
                <w:p>
                  <w:pPr>
                    <w:numPr>
                      <w:ilvl w:val="0"/>
                      <w:numId w:val="3"/>
                    </w:numPr>
                    <w:spacing w:line="240" w:lineRule="atLeast"/>
                    <w:rPr>
                      <w:rFonts w:hint="eastAsia" w:ascii="宋体" w:hAnsi="宋体"/>
                      <w:szCs w:val="21"/>
                    </w:rPr>
                  </w:pPr>
                  <w:r>
                    <w:rPr>
                      <w:rFonts w:hint="eastAsia" w:ascii="宋体" w:hAnsi="宋体"/>
                      <w:szCs w:val="21"/>
                    </w:rPr>
                    <w:t>加强化粪池的清理；</w:t>
                  </w:r>
                </w:p>
                <w:p>
                  <w:pPr>
                    <w:numPr>
                      <w:ilvl w:val="0"/>
                      <w:numId w:val="3"/>
                    </w:numPr>
                    <w:spacing w:line="240" w:lineRule="atLeast"/>
                    <w:rPr>
                      <w:rFonts w:hint="eastAsia" w:ascii="宋体" w:hAnsi="宋体"/>
                      <w:szCs w:val="21"/>
                    </w:rPr>
                  </w:pPr>
                  <w:r>
                    <w:rPr>
                      <w:rFonts w:hint="eastAsia" w:ascii="宋体" w:hAnsi="宋体"/>
                      <w:szCs w:val="21"/>
                    </w:rPr>
                    <w:t>生活废水经化粪池处理后纳污水管网排放。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381" w:type="dxa"/>
                  <w:tcBorders>
                    <w:top w:val="single" w:color="auto" w:sz="6" w:space="0"/>
                    <w:left w:val="single" w:color="auto" w:sz="12"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宋体" w:hAnsi="宋体"/>
                      <w:szCs w:val="21"/>
                    </w:rPr>
                  </w:pPr>
                  <w:r>
                    <w:rPr>
                      <w:rFonts w:hint="eastAsia" w:ascii="宋体" w:hAnsi="宋体"/>
                      <w:szCs w:val="21"/>
                    </w:rPr>
                    <w:t>5</w:t>
                  </w:r>
                </w:p>
              </w:tc>
              <w:tc>
                <w:tcPr>
                  <w:tcW w:w="1538"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ind w:left="-105" w:leftChars="-50" w:right="-105" w:rightChars="-50"/>
                    <w:rPr>
                      <w:rFonts w:hint="eastAsia" w:ascii="宋体" w:hAnsi="宋体"/>
                      <w:szCs w:val="21"/>
                    </w:rPr>
                  </w:pPr>
                  <w:r>
                    <w:rPr>
                      <w:rFonts w:hint="eastAsia" w:ascii="宋体" w:hAnsi="宋体"/>
                      <w:szCs w:val="21"/>
                    </w:rPr>
                    <w:t>废气排放</w:t>
                  </w:r>
                </w:p>
              </w:tc>
              <w:tc>
                <w:tcPr>
                  <w:tcW w:w="2751" w:type="dxa"/>
                  <w:tcBorders>
                    <w:top w:val="single" w:color="auto" w:sz="6" w:space="0"/>
                    <w:left w:val="single" w:color="auto" w:sz="6" w:space="0"/>
                    <w:bottom w:val="single" w:color="auto" w:sz="6" w:space="0"/>
                    <w:right w:val="single" w:color="auto" w:sz="6" w:space="0"/>
                  </w:tcBorders>
                  <w:noWrap w:val="0"/>
                  <w:vAlign w:val="center"/>
                </w:tcPr>
                <w:p>
                  <w:pPr>
                    <w:numPr>
                      <w:ilvl w:val="0"/>
                      <w:numId w:val="4"/>
                    </w:numPr>
                    <w:spacing w:line="240" w:lineRule="atLeast"/>
                    <w:rPr>
                      <w:rFonts w:ascii="宋体" w:hAnsi="宋体"/>
                      <w:szCs w:val="21"/>
                    </w:rPr>
                  </w:pPr>
                  <w:r>
                    <w:rPr>
                      <w:rFonts w:hint="eastAsia" w:ascii="宋体" w:hAnsi="宋体"/>
                      <w:szCs w:val="21"/>
                    </w:rPr>
                    <w:t>打磨粉尘</w:t>
                  </w:r>
                </w:p>
                <w:p>
                  <w:pPr>
                    <w:numPr>
                      <w:ilvl w:val="0"/>
                      <w:numId w:val="4"/>
                    </w:numPr>
                    <w:spacing w:line="240" w:lineRule="atLeast"/>
                    <w:rPr>
                      <w:rFonts w:ascii="宋体" w:hAnsi="宋体"/>
                      <w:szCs w:val="21"/>
                    </w:rPr>
                  </w:pPr>
                  <w:r>
                    <w:rPr>
                      <w:rFonts w:hint="eastAsia" w:ascii="宋体" w:hAnsi="宋体"/>
                      <w:szCs w:val="21"/>
                    </w:rPr>
                    <w:t>水性漆有机废气</w:t>
                  </w:r>
                </w:p>
                <w:p>
                  <w:pPr>
                    <w:numPr>
                      <w:ilvl w:val="0"/>
                      <w:numId w:val="4"/>
                    </w:numPr>
                    <w:spacing w:line="240" w:lineRule="atLeast"/>
                    <w:rPr>
                      <w:rFonts w:hint="eastAsia" w:ascii="宋体" w:hAnsi="宋体"/>
                      <w:szCs w:val="21"/>
                    </w:rPr>
                  </w:pPr>
                  <w:r>
                    <w:rPr>
                      <w:rFonts w:hint="eastAsia" w:ascii="宋体" w:hAnsi="宋体"/>
                      <w:szCs w:val="21"/>
                    </w:rPr>
                    <w:t>油墨有机废气</w:t>
                  </w:r>
                </w:p>
              </w:tc>
              <w:tc>
                <w:tcPr>
                  <w:tcW w:w="960"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宋体" w:hAnsi="宋体"/>
                      <w:szCs w:val="21"/>
                    </w:rPr>
                  </w:pPr>
                  <w:r>
                    <w:rPr>
                      <w:rFonts w:hint="eastAsia" w:ascii="宋体" w:hAnsi="宋体"/>
                      <w:szCs w:val="21"/>
                    </w:rPr>
                    <w:t>大气污染</w:t>
                  </w:r>
                </w:p>
              </w:tc>
              <w:tc>
                <w:tcPr>
                  <w:tcW w:w="741"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宋体" w:hAnsi="宋体"/>
                      <w:szCs w:val="21"/>
                    </w:rPr>
                  </w:pPr>
                  <w:r>
                    <w:rPr>
                      <w:rFonts w:hint="eastAsia" w:ascii="宋体" w:hAnsi="宋体"/>
                      <w:szCs w:val="21"/>
                    </w:rPr>
                    <w:t>现在/正常</w:t>
                  </w:r>
                </w:p>
              </w:tc>
              <w:tc>
                <w:tcPr>
                  <w:tcW w:w="3405" w:type="dxa"/>
                  <w:tcBorders>
                    <w:top w:val="single" w:color="auto" w:sz="6" w:space="0"/>
                    <w:left w:val="single" w:color="auto" w:sz="6" w:space="0"/>
                    <w:bottom w:val="single" w:color="auto" w:sz="6" w:space="0"/>
                    <w:right w:val="single" w:color="auto" w:sz="12" w:space="0"/>
                  </w:tcBorders>
                  <w:noWrap w:val="0"/>
                  <w:vAlign w:val="center"/>
                </w:tcPr>
                <w:p>
                  <w:pPr>
                    <w:spacing w:line="240" w:lineRule="atLeast"/>
                    <w:rPr>
                      <w:rFonts w:hint="eastAsia" w:ascii="宋体" w:hAnsi="宋体"/>
                      <w:szCs w:val="21"/>
                    </w:rPr>
                  </w:pPr>
                  <w:r>
                    <w:rPr>
                      <w:rFonts w:hint="eastAsia" w:ascii="宋体" w:hAnsi="宋体"/>
                      <w:szCs w:val="21"/>
                    </w:rPr>
                    <w:t>运行控制：</w:t>
                  </w:r>
                </w:p>
                <w:p>
                  <w:pPr>
                    <w:numPr>
                      <w:ilvl w:val="0"/>
                      <w:numId w:val="5"/>
                    </w:numPr>
                    <w:spacing w:line="240" w:lineRule="atLeast"/>
                    <w:rPr>
                      <w:rFonts w:ascii="宋体" w:hAnsi="宋体"/>
                      <w:szCs w:val="21"/>
                    </w:rPr>
                  </w:pPr>
                  <w:r>
                    <w:rPr>
                      <w:rFonts w:hint="eastAsia" w:ascii="宋体" w:hAnsi="宋体"/>
                      <w:szCs w:val="21"/>
                    </w:rPr>
                    <w:t>加强脉冲除尘器的维护，保证设备保持在一定的除尘效率范围内</w:t>
                  </w:r>
                </w:p>
                <w:p>
                  <w:pPr>
                    <w:numPr>
                      <w:ilvl w:val="0"/>
                      <w:numId w:val="5"/>
                    </w:numPr>
                    <w:spacing w:line="240" w:lineRule="atLeast"/>
                    <w:rPr>
                      <w:rFonts w:hint="eastAsia" w:ascii="宋体" w:hAnsi="宋体"/>
                      <w:szCs w:val="21"/>
                    </w:rPr>
                  </w:pPr>
                  <w:r>
                    <w:rPr>
                      <w:rFonts w:hint="eastAsia" w:ascii="宋体" w:hAnsi="宋体"/>
                      <w:szCs w:val="21"/>
                    </w:rPr>
                    <w:t>加强吸风装置的维护；</w:t>
                  </w:r>
                </w:p>
                <w:p>
                  <w:pPr>
                    <w:numPr>
                      <w:ilvl w:val="0"/>
                      <w:numId w:val="5"/>
                    </w:numPr>
                    <w:spacing w:line="240" w:lineRule="atLeast"/>
                    <w:rPr>
                      <w:rFonts w:hint="eastAsia" w:ascii="宋体" w:hAnsi="宋体"/>
                      <w:szCs w:val="21"/>
                    </w:rPr>
                  </w:pPr>
                  <w:r>
                    <w:rPr>
                      <w:rFonts w:hint="eastAsia" w:ascii="宋体" w:hAnsi="宋体"/>
                      <w:szCs w:val="21"/>
                    </w:rPr>
                    <w:t>加强活性炭吸附装置维护。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81" w:type="dxa"/>
                  <w:tcBorders>
                    <w:top w:val="single" w:color="auto" w:sz="6" w:space="0"/>
                    <w:left w:val="single" w:color="auto" w:sz="12"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宋体" w:hAnsi="宋体"/>
                      <w:szCs w:val="21"/>
                    </w:rPr>
                  </w:pPr>
                  <w:r>
                    <w:rPr>
                      <w:rFonts w:hint="eastAsia" w:ascii="宋体" w:hAnsi="宋体"/>
                      <w:szCs w:val="21"/>
                    </w:rPr>
                    <w:t>6</w:t>
                  </w:r>
                </w:p>
              </w:tc>
              <w:tc>
                <w:tcPr>
                  <w:tcW w:w="1538"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ind w:left="-105" w:leftChars="-50" w:right="-105" w:rightChars="-50"/>
                    <w:rPr>
                      <w:rFonts w:hint="eastAsia" w:ascii="宋体" w:hAnsi="宋体"/>
                      <w:szCs w:val="21"/>
                    </w:rPr>
                  </w:pPr>
                  <w:r>
                    <w:rPr>
                      <w:rFonts w:hint="eastAsia" w:ascii="宋体" w:hAnsi="宋体"/>
                      <w:color w:val="000000"/>
                      <w:szCs w:val="21"/>
                    </w:rPr>
                    <w:t>潜在火灾、爆炸</w:t>
                  </w:r>
                </w:p>
              </w:tc>
              <w:tc>
                <w:tcPr>
                  <w:tcW w:w="2751"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rPr>
                      <w:rFonts w:hint="eastAsia" w:ascii="宋体" w:hAnsi="宋体"/>
                      <w:szCs w:val="21"/>
                    </w:rPr>
                  </w:pPr>
                  <w:r>
                    <w:rPr>
                      <w:rFonts w:hint="eastAsia" w:ascii="宋体" w:hAnsi="宋体"/>
                      <w:szCs w:val="21"/>
                    </w:rPr>
                    <w:t>违规使用电器</w:t>
                  </w:r>
                </w:p>
              </w:tc>
              <w:tc>
                <w:tcPr>
                  <w:tcW w:w="960"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宋体" w:hAnsi="宋体"/>
                      <w:szCs w:val="21"/>
                    </w:rPr>
                  </w:pPr>
                  <w:r>
                    <w:rPr>
                      <w:rFonts w:hint="eastAsia" w:ascii="宋体" w:hAnsi="宋体"/>
                      <w:szCs w:val="21"/>
                    </w:rPr>
                    <w:t>综合污染</w:t>
                  </w:r>
                </w:p>
              </w:tc>
              <w:tc>
                <w:tcPr>
                  <w:tcW w:w="741"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宋体" w:hAnsi="宋体"/>
                      <w:szCs w:val="21"/>
                    </w:rPr>
                  </w:pPr>
                  <w:r>
                    <w:rPr>
                      <w:rFonts w:hint="eastAsia" w:ascii="宋体" w:hAnsi="宋体"/>
                      <w:szCs w:val="21"/>
                    </w:rPr>
                    <w:t>将来/紧急</w:t>
                  </w:r>
                </w:p>
              </w:tc>
              <w:tc>
                <w:tcPr>
                  <w:tcW w:w="3405" w:type="dxa"/>
                  <w:tcBorders>
                    <w:top w:val="single" w:color="auto" w:sz="6" w:space="0"/>
                    <w:left w:val="single" w:color="auto" w:sz="6" w:space="0"/>
                    <w:bottom w:val="single" w:color="auto" w:sz="6" w:space="0"/>
                    <w:right w:val="single" w:color="auto" w:sz="12" w:space="0"/>
                  </w:tcBorders>
                  <w:noWrap w:val="0"/>
                  <w:vAlign w:val="center"/>
                </w:tcPr>
                <w:p>
                  <w:pPr>
                    <w:spacing w:line="240" w:lineRule="atLeast"/>
                    <w:rPr>
                      <w:rFonts w:hint="eastAsia" w:ascii="宋体" w:hAnsi="宋体"/>
                      <w:szCs w:val="21"/>
                    </w:rPr>
                  </w:pPr>
                  <w:r>
                    <w:rPr>
                      <w:rFonts w:hint="eastAsia" w:ascii="宋体" w:hAnsi="宋体"/>
                      <w:szCs w:val="21"/>
                    </w:rPr>
                    <w:t>运行控制：加强消防器材检查和消防演练。</w:t>
                  </w:r>
                </w:p>
              </w:tc>
            </w:tr>
          </w:tbl>
          <w:p>
            <w:pPr>
              <w:spacing w:line="280" w:lineRule="exact"/>
              <w:ind w:firstLine="420" w:firstLineChars="200"/>
              <w:rPr>
                <w:color w:val="auto"/>
                <w:szCs w:val="21"/>
              </w:rPr>
            </w:pPr>
            <w:r>
              <w:rPr>
                <w:rFonts w:hint="eastAsia"/>
                <w:color w:val="auto"/>
                <w:szCs w:val="21"/>
                <w:lang w:val="en-US" w:eastAsia="zh-CN"/>
              </w:rPr>
              <w:t>组织制定了</w:t>
            </w:r>
            <w:r>
              <w:rPr>
                <w:rFonts w:hint="eastAsia"/>
                <w:color w:val="auto"/>
                <w:szCs w:val="21"/>
              </w:rPr>
              <w:t>《</w:t>
            </w:r>
            <w:r>
              <w:rPr>
                <w:rFonts w:hint="eastAsia"/>
                <w:color w:val="auto"/>
                <w:szCs w:val="21"/>
                <w:lang w:eastAsia="zh-CN"/>
              </w:rPr>
              <w:t>环境因素危险源的识别及评价控制程序</w:t>
            </w:r>
            <w:r>
              <w:rPr>
                <w:rFonts w:hint="eastAsia"/>
                <w:color w:val="auto"/>
                <w:szCs w:val="21"/>
              </w:rPr>
              <w:t>》</w:t>
            </w:r>
            <w:r>
              <w:rPr>
                <w:rFonts w:hint="eastAsia"/>
                <w:color w:val="auto"/>
                <w:szCs w:val="21"/>
                <w:lang w:eastAsia="zh-CN"/>
              </w:rPr>
              <w:t>，</w:t>
            </w:r>
            <w:r>
              <w:rPr>
                <w:rFonts w:hint="eastAsia"/>
                <w:color w:val="auto"/>
                <w:szCs w:val="21"/>
              </w:rPr>
              <w:t>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rFonts w:hint="eastAsia"/>
                <w:color w:val="auto"/>
                <w:szCs w:val="21"/>
                <w:lang w:val="en-US" w:eastAsia="zh-CN"/>
              </w:rPr>
            </w:pPr>
            <w:r>
              <w:rPr>
                <w:rFonts w:hint="eastAsia"/>
                <w:color w:val="auto"/>
                <w:szCs w:val="21"/>
              </w:rPr>
              <w:t>提供了《危险源</w:t>
            </w:r>
            <w:r>
              <w:rPr>
                <w:rFonts w:hint="eastAsia"/>
                <w:color w:val="auto"/>
                <w:szCs w:val="21"/>
                <w:lang w:val="en-US" w:eastAsia="zh-CN"/>
              </w:rPr>
              <w:t>辨识、</w:t>
            </w:r>
            <w:r>
              <w:rPr>
                <w:rFonts w:hint="eastAsia"/>
                <w:color w:val="auto"/>
                <w:szCs w:val="21"/>
              </w:rPr>
              <w:t>评价表》</w:t>
            </w:r>
            <w:r>
              <w:rPr>
                <w:rFonts w:hint="eastAsia"/>
                <w:color w:val="auto"/>
                <w:szCs w:val="21"/>
                <w:lang w:eastAsia="zh-CN"/>
              </w:rPr>
              <w:t>：</w:t>
            </w:r>
            <w:r>
              <w:rPr>
                <w:rFonts w:hint="eastAsia"/>
                <w:color w:val="auto"/>
                <w:szCs w:val="21"/>
                <w:lang w:val="en-US" w:eastAsia="zh-CN"/>
              </w:rPr>
              <w:t>内容包括区域/活动、危险源内容、可能导致的后果、风险等级评价等内容。</w:t>
            </w:r>
          </w:p>
          <w:p>
            <w:pPr>
              <w:spacing w:line="280" w:lineRule="exact"/>
              <w:ind w:firstLine="420" w:firstLineChars="200"/>
              <w:rPr>
                <w:rFonts w:hint="eastAsia"/>
                <w:color w:val="auto"/>
                <w:szCs w:val="21"/>
                <w:lang w:val="en-US" w:eastAsia="zh-CN"/>
              </w:rPr>
            </w:pPr>
            <w:r>
              <w:rPr>
                <w:rFonts w:hint="eastAsia"/>
                <w:color w:val="auto"/>
                <w:szCs w:val="21"/>
              </w:rPr>
              <w:t>提供了《重要</w:t>
            </w:r>
            <w:r>
              <w:rPr>
                <w:rFonts w:hint="eastAsia"/>
                <w:color w:val="auto"/>
                <w:szCs w:val="21"/>
                <w:lang w:val="en-US" w:eastAsia="zh-CN"/>
              </w:rPr>
              <w:t>风险</w:t>
            </w:r>
            <w:r>
              <w:rPr>
                <w:rFonts w:hint="eastAsia"/>
                <w:color w:val="auto"/>
                <w:szCs w:val="21"/>
              </w:rPr>
              <w:t>危险源清单》</w:t>
            </w:r>
            <w:r>
              <w:rPr>
                <w:rFonts w:hint="eastAsia"/>
                <w:color w:val="auto"/>
                <w:szCs w:val="21"/>
                <w:lang w:eastAsia="zh-CN"/>
              </w:rPr>
              <w:t>，</w:t>
            </w:r>
            <w:r>
              <w:rPr>
                <w:rFonts w:hint="eastAsia"/>
                <w:color w:val="auto"/>
                <w:szCs w:val="21"/>
                <w:lang w:val="en-US" w:eastAsia="zh-CN"/>
              </w:rPr>
              <w:t>内容如下：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3075"/>
              <w:gridCol w:w="2953"/>
              <w:gridCol w:w="3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654" w:type="dxa"/>
                  <w:vMerge w:val="restart"/>
                  <w:noWrap w:val="0"/>
                  <w:vAlign w:val="center"/>
                </w:tcPr>
                <w:p>
                  <w:pPr>
                    <w:jc w:val="both"/>
                    <w:rPr>
                      <w:rFonts w:hint="eastAsia"/>
                      <w:color w:val="000000"/>
                    </w:rPr>
                  </w:pPr>
                  <w:r>
                    <w:rPr>
                      <w:rFonts w:hint="eastAsia"/>
                      <w:color w:val="000000"/>
                    </w:rPr>
                    <w:t>序号</w:t>
                  </w:r>
                </w:p>
              </w:tc>
              <w:tc>
                <w:tcPr>
                  <w:tcW w:w="3075" w:type="dxa"/>
                  <w:vMerge w:val="restart"/>
                  <w:noWrap w:val="0"/>
                  <w:vAlign w:val="center"/>
                </w:tcPr>
                <w:p>
                  <w:pPr>
                    <w:jc w:val="both"/>
                    <w:rPr>
                      <w:rFonts w:hint="eastAsia"/>
                      <w:color w:val="000000"/>
                    </w:rPr>
                  </w:pPr>
                  <w:r>
                    <w:rPr>
                      <w:rFonts w:hint="eastAsia"/>
                      <w:color w:val="000000"/>
                    </w:rPr>
                    <w:t>重大风险危险源</w:t>
                  </w:r>
                </w:p>
              </w:tc>
              <w:tc>
                <w:tcPr>
                  <w:tcW w:w="2953" w:type="dxa"/>
                  <w:vMerge w:val="restart"/>
                  <w:noWrap w:val="0"/>
                  <w:vAlign w:val="center"/>
                </w:tcPr>
                <w:p>
                  <w:pPr>
                    <w:jc w:val="both"/>
                    <w:rPr>
                      <w:rFonts w:hint="eastAsia"/>
                      <w:color w:val="000000"/>
                    </w:rPr>
                  </w:pPr>
                  <w:r>
                    <w:rPr>
                      <w:rFonts w:hint="eastAsia"/>
                      <w:color w:val="000000"/>
                    </w:rPr>
                    <w:t>可能导致后果</w:t>
                  </w:r>
                </w:p>
              </w:tc>
              <w:tc>
                <w:tcPr>
                  <w:tcW w:w="3075" w:type="dxa"/>
                  <w:vMerge w:val="restart"/>
                  <w:noWrap w:val="0"/>
                  <w:vAlign w:val="center"/>
                </w:tcPr>
                <w:p>
                  <w:pPr>
                    <w:jc w:val="both"/>
                    <w:rPr>
                      <w:rFonts w:hint="eastAsia"/>
                      <w:color w:val="000000"/>
                    </w:rPr>
                  </w:pPr>
                  <w:r>
                    <w:rPr>
                      <w:rFonts w:hint="eastAsia"/>
                      <w:color w:val="000000"/>
                    </w:rPr>
                    <w:t>采 取 措 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654" w:type="dxa"/>
                  <w:vMerge w:val="continue"/>
                  <w:noWrap w:val="0"/>
                  <w:vAlign w:val="top"/>
                </w:tcPr>
                <w:p>
                  <w:pPr>
                    <w:rPr>
                      <w:rFonts w:hint="eastAsia"/>
                      <w:color w:val="000000"/>
                    </w:rPr>
                  </w:pPr>
                </w:p>
              </w:tc>
              <w:tc>
                <w:tcPr>
                  <w:tcW w:w="3075" w:type="dxa"/>
                  <w:vMerge w:val="continue"/>
                  <w:noWrap w:val="0"/>
                  <w:vAlign w:val="top"/>
                </w:tcPr>
                <w:p>
                  <w:pPr>
                    <w:rPr>
                      <w:rFonts w:hint="eastAsia"/>
                      <w:color w:val="000000"/>
                    </w:rPr>
                  </w:pPr>
                </w:p>
              </w:tc>
              <w:tc>
                <w:tcPr>
                  <w:tcW w:w="2953" w:type="dxa"/>
                  <w:vMerge w:val="continue"/>
                  <w:noWrap w:val="0"/>
                  <w:vAlign w:val="top"/>
                </w:tcPr>
                <w:p>
                  <w:pPr>
                    <w:rPr>
                      <w:rFonts w:hint="eastAsia"/>
                      <w:color w:val="000000"/>
                    </w:rPr>
                  </w:pPr>
                </w:p>
              </w:tc>
              <w:tc>
                <w:tcPr>
                  <w:tcW w:w="3075" w:type="dxa"/>
                  <w:vMerge w:val="continue"/>
                  <w:noWrap w:val="0"/>
                  <w:vAlign w:val="top"/>
                </w:tcPr>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3729" w:type="dxa"/>
                  <w:gridSpan w:val="2"/>
                  <w:noWrap w:val="0"/>
                  <w:vAlign w:val="top"/>
                </w:tcPr>
                <w:p>
                  <w:pPr>
                    <w:rPr>
                      <w:rFonts w:hint="eastAsia"/>
                      <w:color w:val="000000"/>
                    </w:rPr>
                  </w:pPr>
                  <w:r>
                    <w:rPr>
                      <w:rFonts w:hint="eastAsia"/>
                      <w:color w:val="000000"/>
                    </w:rPr>
                    <w:t>办公室、生产场所、仓库、检测中心</w:t>
                  </w:r>
                </w:p>
              </w:tc>
              <w:tc>
                <w:tcPr>
                  <w:tcW w:w="2953" w:type="dxa"/>
                  <w:noWrap w:val="0"/>
                  <w:vAlign w:val="center"/>
                </w:tcPr>
                <w:p>
                  <w:pPr>
                    <w:rPr>
                      <w:rFonts w:hint="eastAsia"/>
                      <w:color w:val="000000"/>
                    </w:rPr>
                  </w:pPr>
                </w:p>
              </w:tc>
              <w:tc>
                <w:tcPr>
                  <w:tcW w:w="3075" w:type="dxa"/>
                  <w:noWrap w:val="0"/>
                  <w:vAlign w:val="center"/>
                </w:tcPr>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654" w:type="dxa"/>
                  <w:noWrap w:val="0"/>
                  <w:vAlign w:val="top"/>
                </w:tcPr>
                <w:p>
                  <w:pPr>
                    <w:rPr>
                      <w:rFonts w:hint="eastAsia"/>
                      <w:color w:val="000000"/>
                    </w:rPr>
                  </w:pPr>
                  <w:r>
                    <w:rPr>
                      <w:rFonts w:hint="eastAsia"/>
                      <w:color w:val="000000"/>
                    </w:rPr>
                    <w:t>1</w:t>
                  </w:r>
                </w:p>
                <w:p>
                  <w:pPr>
                    <w:rPr>
                      <w:rFonts w:hint="eastAsia"/>
                      <w:color w:val="000000"/>
                    </w:rPr>
                  </w:pPr>
                  <w:r>
                    <w:rPr>
                      <w:rFonts w:hint="eastAsia"/>
                      <w:color w:val="000000"/>
                    </w:rPr>
                    <w:t>2</w:t>
                  </w:r>
                </w:p>
                <w:p>
                  <w:pPr>
                    <w:rPr>
                      <w:rFonts w:hint="eastAsia"/>
                      <w:color w:val="000000"/>
                    </w:rPr>
                  </w:pPr>
                  <w:r>
                    <w:rPr>
                      <w:rFonts w:hint="eastAsia"/>
                      <w:color w:val="000000"/>
                    </w:rPr>
                    <w:t>3</w:t>
                  </w:r>
                </w:p>
              </w:tc>
              <w:tc>
                <w:tcPr>
                  <w:tcW w:w="3075" w:type="dxa"/>
                  <w:noWrap w:val="0"/>
                  <w:vAlign w:val="center"/>
                </w:tcPr>
                <w:p>
                  <w:pPr>
                    <w:rPr>
                      <w:rFonts w:hint="eastAsia"/>
                      <w:color w:val="000000"/>
                    </w:rPr>
                  </w:pPr>
                  <w:r>
                    <w:rPr>
                      <w:rFonts w:hint="eastAsia"/>
                      <w:color w:val="000000"/>
                    </w:rPr>
                    <w:t>火灾、爆炸</w:t>
                  </w:r>
                </w:p>
                <w:p>
                  <w:pPr>
                    <w:rPr>
                      <w:rFonts w:hint="eastAsia"/>
                      <w:color w:val="000000"/>
                    </w:rPr>
                  </w:pPr>
                  <w:r>
                    <w:rPr>
                      <w:rFonts w:hint="eastAsia"/>
                      <w:color w:val="000000"/>
                    </w:rPr>
                    <w:t>消防器材不全或失效</w:t>
                  </w:r>
                </w:p>
                <w:p>
                  <w:pPr>
                    <w:rPr>
                      <w:rFonts w:hint="eastAsia"/>
                      <w:color w:val="000000"/>
                    </w:rPr>
                  </w:pPr>
                  <w:r>
                    <w:rPr>
                      <w:rFonts w:hint="eastAsia"/>
                      <w:color w:val="000000"/>
                    </w:rPr>
                    <w:t>明火</w:t>
                  </w:r>
                </w:p>
              </w:tc>
              <w:tc>
                <w:tcPr>
                  <w:tcW w:w="2953" w:type="dxa"/>
                  <w:noWrap w:val="0"/>
                  <w:vAlign w:val="center"/>
                </w:tcPr>
                <w:p>
                  <w:pPr>
                    <w:ind w:firstLine="630" w:firstLineChars="300"/>
                    <w:rPr>
                      <w:rFonts w:hint="eastAsia"/>
                      <w:color w:val="000000"/>
                    </w:rPr>
                  </w:pPr>
                  <w:r>
                    <w:rPr>
                      <w:rFonts w:hint="eastAsia"/>
                      <w:color w:val="000000"/>
                    </w:rPr>
                    <w:t>人员伤亡</w:t>
                  </w:r>
                </w:p>
              </w:tc>
              <w:tc>
                <w:tcPr>
                  <w:tcW w:w="3075" w:type="dxa"/>
                  <w:noWrap w:val="0"/>
                  <w:vAlign w:val="center"/>
                </w:tcPr>
                <w:p>
                  <w:pPr>
                    <w:rPr>
                      <w:rFonts w:hint="eastAsia"/>
                      <w:color w:val="000000"/>
                    </w:rPr>
                  </w:pPr>
                  <w:r>
                    <w:rPr>
                      <w:rFonts w:hint="eastAsia"/>
                      <w:color w:val="000000"/>
                    </w:rPr>
                    <w:t>落实消防安全制度，配置灭火器材,制订应急预案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3729" w:type="dxa"/>
                  <w:gridSpan w:val="2"/>
                  <w:noWrap w:val="0"/>
                  <w:vAlign w:val="top"/>
                </w:tcPr>
                <w:p>
                  <w:pPr>
                    <w:rPr>
                      <w:rFonts w:hint="eastAsia"/>
                      <w:color w:val="000000"/>
                    </w:rPr>
                  </w:pPr>
                  <w:r>
                    <w:rPr>
                      <w:rFonts w:hint="eastAsia"/>
                      <w:color w:val="000000"/>
                    </w:rPr>
                    <w:t>生产部(车间/仓库)</w:t>
                  </w:r>
                </w:p>
              </w:tc>
              <w:tc>
                <w:tcPr>
                  <w:tcW w:w="2953" w:type="dxa"/>
                  <w:noWrap w:val="0"/>
                  <w:vAlign w:val="center"/>
                </w:tcPr>
                <w:p>
                  <w:pPr>
                    <w:rPr>
                      <w:color w:val="333333"/>
                    </w:rPr>
                  </w:pPr>
                </w:p>
              </w:tc>
              <w:tc>
                <w:tcPr>
                  <w:tcW w:w="3075" w:type="dxa"/>
                  <w:noWrap w:val="0"/>
                  <w:vAlign w:val="center"/>
                </w:tcPr>
                <w:p>
                  <w:pPr>
                    <w:rPr>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54" w:type="dxa"/>
                  <w:noWrap w:val="0"/>
                  <w:vAlign w:val="top"/>
                </w:tcPr>
                <w:p>
                  <w:pPr>
                    <w:rPr>
                      <w:rFonts w:hint="eastAsia"/>
                      <w:color w:val="000000"/>
                    </w:rPr>
                  </w:pPr>
                  <w:r>
                    <w:rPr>
                      <w:rFonts w:hint="eastAsia"/>
                      <w:color w:val="000000"/>
                    </w:rPr>
                    <w:t>1</w:t>
                  </w:r>
                </w:p>
              </w:tc>
              <w:tc>
                <w:tcPr>
                  <w:tcW w:w="3075" w:type="dxa"/>
                  <w:noWrap w:val="0"/>
                  <w:vAlign w:val="center"/>
                </w:tcPr>
                <w:p>
                  <w:pPr>
                    <w:spacing w:line="360" w:lineRule="exact"/>
                    <w:rPr>
                      <w:color w:val="000000"/>
                      <w:szCs w:val="21"/>
                    </w:rPr>
                  </w:pPr>
                  <w:r>
                    <w:rPr>
                      <w:rFonts w:hint="eastAsia"/>
                      <w:color w:val="000000"/>
                    </w:rPr>
                    <w:t>作业时未用劳保用品</w:t>
                  </w:r>
                </w:p>
              </w:tc>
              <w:tc>
                <w:tcPr>
                  <w:tcW w:w="2953" w:type="dxa"/>
                  <w:noWrap w:val="0"/>
                  <w:vAlign w:val="center"/>
                </w:tcPr>
                <w:p>
                  <w:pPr>
                    <w:spacing w:line="360" w:lineRule="exact"/>
                    <w:rPr>
                      <w:rFonts w:hint="eastAsia"/>
                      <w:color w:val="000000"/>
                      <w:szCs w:val="21"/>
                    </w:rPr>
                  </w:pPr>
                  <w:r>
                    <w:rPr>
                      <w:rFonts w:hint="eastAsia"/>
                      <w:color w:val="000000"/>
                      <w:szCs w:val="21"/>
                    </w:rPr>
                    <w:t>意外伤害</w:t>
                  </w:r>
                </w:p>
              </w:tc>
              <w:tc>
                <w:tcPr>
                  <w:tcW w:w="3075" w:type="dxa"/>
                  <w:vMerge w:val="restart"/>
                  <w:noWrap w:val="0"/>
                  <w:vAlign w:val="center"/>
                </w:tcPr>
                <w:p>
                  <w:pPr>
                    <w:spacing w:line="360" w:lineRule="exact"/>
                    <w:rPr>
                      <w:rFonts w:hint="eastAsia"/>
                      <w:color w:val="000000"/>
                      <w:szCs w:val="21"/>
                    </w:rPr>
                  </w:pPr>
                  <w:r>
                    <w:rPr>
                      <w:rFonts w:hint="eastAsia"/>
                      <w:color w:val="000000"/>
                      <w:szCs w:val="21"/>
                    </w:rPr>
                    <w:t>制订安全操作规程和安全生产制度并加强安全生产教育, 加强设备保养工作时做好检查监护.</w:t>
                  </w:r>
                </w:p>
                <w:p>
                  <w:pPr>
                    <w:rPr>
                      <w:rFonts w:hint="eastAsia"/>
                      <w:color w:val="000000"/>
                    </w:rPr>
                  </w:pPr>
                  <w:r>
                    <w:rPr>
                      <w:rFonts w:hint="eastAsia"/>
                      <w:color w:val="000000"/>
                    </w:rPr>
                    <w:t>配置灭火器材,制订应急预案,</w:t>
                  </w:r>
                </w:p>
                <w:p>
                  <w:pPr>
                    <w:spacing w:line="360" w:lineRule="exact"/>
                    <w:rPr>
                      <w:rFonts w:hint="eastAsia"/>
                      <w:color w:val="000000"/>
                    </w:rPr>
                  </w:pPr>
                  <w:r>
                    <w:rPr>
                      <w:rFonts w:hint="eastAsia"/>
                      <w:color w:val="000000"/>
                    </w:rPr>
                    <w:t>管理方案</w:t>
                  </w:r>
                </w:p>
                <w:p>
                  <w:pPr>
                    <w:spacing w:line="360" w:lineRule="exact"/>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654" w:type="dxa"/>
                  <w:noWrap w:val="0"/>
                  <w:vAlign w:val="top"/>
                </w:tcPr>
                <w:p>
                  <w:pPr>
                    <w:rPr>
                      <w:rFonts w:hint="eastAsia"/>
                      <w:color w:val="000000"/>
                    </w:rPr>
                  </w:pPr>
                  <w:r>
                    <w:rPr>
                      <w:rFonts w:hint="eastAsia"/>
                      <w:color w:val="000000"/>
                    </w:rPr>
                    <w:t>2</w:t>
                  </w:r>
                </w:p>
              </w:tc>
              <w:tc>
                <w:tcPr>
                  <w:tcW w:w="3075" w:type="dxa"/>
                  <w:noWrap w:val="0"/>
                  <w:vAlign w:val="center"/>
                </w:tcPr>
                <w:p>
                  <w:pPr>
                    <w:rPr>
                      <w:color w:val="000000"/>
                    </w:rPr>
                  </w:pPr>
                  <w:r>
                    <w:rPr>
                      <w:rFonts w:hint="eastAsia"/>
                      <w:color w:val="000000"/>
                      <w:szCs w:val="21"/>
                    </w:rPr>
                    <w:t>维修设备未挂牌警示</w:t>
                  </w:r>
                </w:p>
              </w:tc>
              <w:tc>
                <w:tcPr>
                  <w:tcW w:w="2953" w:type="dxa"/>
                  <w:noWrap w:val="0"/>
                  <w:vAlign w:val="center"/>
                </w:tcPr>
                <w:p>
                  <w:pPr>
                    <w:spacing w:line="360" w:lineRule="exact"/>
                    <w:rPr>
                      <w:rFonts w:hint="eastAsia"/>
                      <w:color w:val="000000"/>
                      <w:szCs w:val="21"/>
                    </w:rPr>
                  </w:pPr>
                  <w:r>
                    <w:rPr>
                      <w:rFonts w:hint="eastAsia"/>
                      <w:color w:val="000000"/>
                      <w:szCs w:val="21"/>
                    </w:rPr>
                    <w:t>意外伤害</w:t>
                  </w:r>
                </w:p>
              </w:tc>
              <w:tc>
                <w:tcPr>
                  <w:tcW w:w="3075" w:type="dxa"/>
                  <w:vMerge w:val="continue"/>
                  <w:noWrap w:val="0"/>
                  <w:vAlign w:val="center"/>
                </w:tcPr>
                <w:p>
                  <w:pPr>
                    <w:spacing w:line="360" w:lineRule="exact"/>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654" w:type="dxa"/>
                  <w:noWrap w:val="0"/>
                  <w:vAlign w:val="top"/>
                </w:tcPr>
                <w:p>
                  <w:pPr>
                    <w:rPr>
                      <w:rFonts w:hint="eastAsia"/>
                      <w:color w:val="000000"/>
                    </w:rPr>
                  </w:pPr>
                  <w:r>
                    <w:rPr>
                      <w:rFonts w:hint="eastAsia"/>
                      <w:color w:val="000000"/>
                    </w:rPr>
                    <w:t>3</w:t>
                  </w:r>
                </w:p>
              </w:tc>
              <w:tc>
                <w:tcPr>
                  <w:tcW w:w="3075" w:type="dxa"/>
                  <w:noWrap w:val="0"/>
                  <w:vAlign w:val="center"/>
                </w:tcPr>
                <w:p>
                  <w:pPr>
                    <w:rPr>
                      <w:rFonts w:hint="eastAsia"/>
                      <w:color w:val="000000"/>
                      <w:szCs w:val="21"/>
                    </w:rPr>
                  </w:pPr>
                  <w:r>
                    <w:rPr>
                      <w:rFonts w:hint="eastAsia"/>
                      <w:color w:val="000000"/>
                      <w:szCs w:val="21"/>
                    </w:rPr>
                    <w:t>电气修理时未挂警示牌</w:t>
                  </w:r>
                </w:p>
              </w:tc>
              <w:tc>
                <w:tcPr>
                  <w:tcW w:w="2953" w:type="dxa"/>
                  <w:noWrap w:val="0"/>
                  <w:vAlign w:val="center"/>
                </w:tcPr>
                <w:p>
                  <w:pPr>
                    <w:spacing w:line="360" w:lineRule="exact"/>
                    <w:rPr>
                      <w:rFonts w:hint="eastAsia"/>
                      <w:color w:val="000000"/>
                      <w:szCs w:val="21"/>
                    </w:rPr>
                  </w:pPr>
                  <w:r>
                    <w:rPr>
                      <w:rFonts w:hint="eastAsia"/>
                      <w:color w:val="000000"/>
                      <w:szCs w:val="21"/>
                    </w:rPr>
                    <w:t>触电伤亡</w:t>
                  </w:r>
                </w:p>
              </w:tc>
              <w:tc>
                <w:tcPr>
                  <w:tcW w:w="3075" w:type="dxa"/>
                  <w:vMerge w:val="continue"/>
                  <w:noWrap w:val="0"/>
                  <w:vAlign w:val="center"/>
                </w:tcPr>
                <w:p>
                  <w:pPr>
                    <w:spacing w:line="360" w:lineRule="exact"/>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654" w:type="dxa"/>
                  <w:noWrap w:val="0"/>
                  <w:vAlign w:val="top"/>
                </w:tcPr>
                <w:p>
                  <w:pPr>
                    <w:rPr>
                      <w:rFonts w:hint="eastAsia"/>
                      <w:color w:val="000000"/>
                    </w:rPr>
                  </w:pPr>
                  <w:r>
                    <w:rPr>
                      <w:rFonts w:hint="eastAsia"/>
                      <w:color w:val="000000"/>
                    </w:rPr>
                    <w:t>4</w:t>
                  </w:r>
                </w:p>
              </w:tc>
              <w:tc>
                <w:tcPr>
                  <w:tcW w:w="3075" w:type="dxa"/>
                  <w:noWrap w:val="0"/>
                  <w:vAlign w:val="center"/>
                </w:tcPr>
                <w:p>
                  <w:pPr>
                    <w:rPr>
                      <w:rFonts w:hint="eastAsia"/>
                      <w:color w:val="000000"/>
                    </w:rPr>
                  </w:pPr>
                  <w:r>
                    <w:rPr>
                      <w:rFonts w:hint="eastAsia"/>
                      <w:szCs w:val="21"/>
                    </w:rPr>
                    <w:t>废气处理风机、打磨机、丝网印刷机设备运行噪声</w:t>
                  </w:r>
                </w:p>
              </w:tc>
              <w:tc>
                <w:tcPr>
                  <w:tcW w:w="2953" w:type="dxa"/>
                  <w:noWrap w:val="0"/>
                  <w:vAlign w:val="center"/>
                </w:tcPr>
                <w:p>
                  <w:pPr>
                    <w:spacing w:line="360" w:lineRule="exact"/>
                    <w:rPr>
                      <w:rFonts w:hint="eastAsia"/>
                      <w:color w:val="000000"/>
                      <w:szCs w:val="21"/>
                    </w:rPr>
                  </w:pPr>
                  <w:r>
                    <w:rPr>
                      <w:rFonts w:hint="eastAsia"/>
                      <w:color w:val="000000"/>
                      <w:szCs w:val="21"/>
                    </w:rPr>
                    <w:t>听力伤害</w:t>
                  </w:r>
                </w:p>
              </w:tc>
              <w:tc>
                <w:tcPr>
                  <w:tcW w:w="3075" w:type="dxa"/>
                  <w:vMerge w:val="continue"/>
                  <w:noWrap w:val="0"/>
                  <w:vAlign w:val="center"/>
                </w:tcPr>
                <w:p>
                  <w:pPr>
                    <w:spacing w:line="360" w:lineRule="exact"/>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54" w:type="dxa"/>
                  <w:noWrap w:val="0"/>
                  <w:vAlign w:val="top"/>
                </w:tcPr>
                <w:p>
                  <w:pPr>
                    <w:rPr>
                      <w:rFonts w:hint="eastAsia"/>
                      <w:color w:val="000000"/>
                    </w:rPr>
                  </w:pPr>
                  <w:r>
                    <w:rPr>
                      <w:rFonts w:hint="eastAsia"/>
                      <w:color w:val="000000"/>
                    </w:rPr>
                    <w:t>5</w:t>
                  </w:r>
                </w:p>
              </w:tc>
              <w:tc>
                <w:tcPr>
                  <w:tcW w:w="3075" w:type="dxa"/>
                  <w:noWrap w:val="0"/>
                  <w:vAlign w:val="center"/>
                </w:tcPr>
                <w:p>
                  <w:pPr>
                    <w:rPr>
                      <w:rFonts w:hint="eastAsia"/>
                      <w:color w:val="000000"/>
                    </w:rPr>
                  </w:pPr>
                  <w:r>
                    <w:rPr>
                      <w:rStyle w:val="17"/>
                      <w:rFonts w:hint="eastAsia" w:ascii="宋体" w:hAnsi="宋体" w:cs="Arial"/>
                      <w:sz w:val="22"/>
                      <w:szCs w:val="22"/>
                    </w:rPr>
                    <w:t>打磨粉尘、水性漆有机废气、油墨有机废气</w:t>
                  </w:r>
                </w:p>
              </w:tc>
              <w:tc>
                <w:tcPr>
                  <w:tcW w:w="2953" w:type="dxa"/>
                  <w:noWrap w:val="0"/>
                  <w:vAlign w:val="center"/>
                </w:tcPr>
                <w:p>
                  <w:pPr>
                    <w:spacing w:line="360" w:lineRule="exact"/>
                    <w:rPr>
                      <w:rFonts w:hint="eastAsia"/>
                      <w:color w:val="000000"/>
                      <w:szCs w:val="21"/>
                    </w:rPr>
                  </w:pPr>
                  <w:r>
                    <w:rPr>
                      <w:rFonts w:hint="eastAsia"/>
                      <w:color w:val="000000"/>
                      <w:szCs w:val="21"/>
                    </w:rPr>
                    <w:t>尘肺、伤害呼吸系统</w:t>
                  </w:r>
                </w:p>
              </w:tc>
              <w:tc>
                <w:tcPr>
                  <w:tcW w:w="3075" w:type="dxa"/>
                  <w:vMerge w:val="continue"/>
                  <w:noWrap w:val="0"/>
                  <w:vAlign w:val="center"/>
                </w:tcPr>
                <w:p>
                  <w:pPr>
                    <w:spacing w:line="360" w:lineRule="exact"/>
                    <w:rPr>
                      <w:rFonts w:hint="eastAsia"/>
                      <w:color w:val="000000"/>
                      <w:szCs w:val="21"/>
                    </w:rPr>
                  </w:pPr>
                </w:p>
              </w:tc>
            </w:tr>
          </w:tbl>
          <w:p>
            <w:pPr>
              <w:spacing w:line="280" w:lineRule="exact"/>
              <w:ind w:firstLine="420" w:firstLineChars="200"/>
              <w:rPr>
                <w:b/>
                <w:szCs w:val="21"/>
              </w:rPr>
            </w:pPr>
            <w:r>
              <w:rPr>
                <w:rFonts w:hint="eastAsia"/>
                <w:color w:val="auto"/>
                <w:szCs w:val="21"/>
                <w:lang w:val="en-US" w:eastAsia="zh-CN"/>
              </w:rPr>
              <w:t>综上，组织的环境因素、危险源辨识、评价和控制基本满足标准要求。</w:t>
            </w:r>
          </w:p>
        </w:tc>
        <w:tc>
          <w:tcPr>
            <w:tcW w:w="1585" w:type="dxa"/>
          </w:tcPr>
          <w:p>
            <w:pPr>
              <w:pStyle w:val="3"/>
              <w:ind w:left="0" w:leftChars="0" w:firstLine="0" w:firstLineChars="0"/>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2122" w:type="dxa"/>
            <w:vAlign w:val="top"/>
          </w:tcPr>
          <w:p>
            <w:pPr>
              <w:spacing w:line="280" w:lineRule="exact"/>
              <w:rPr>
                <w:rFonts w:hint="eastAsia" w:ascii="华文细黑" w:hAnsi="华文细黑" w:eastAsia="华文细黑" w:cs="华文细黑"/>
                <w:kern w:val="2"/>
                <w:sz w:val="21"/>
                <w:szCs w:val="21"/>
                <w:lang w:val="en-US" w:eastAsia="zh-CN" w:bidi="ar-SA"/>
              </w:rPr>
            </w:pPr>
            <w:r>
              <w:rPr>
                <w:rFonts w:hint="eastAsia" w:ascii="华文细黑" w:hAnsi="华文细黑" w:eastAsia="华文细黑" w:cs="华文细黑"/>
                <w:szCs w:val="21"/>
              </w:rPr>
              <w:t>合规义务</w:t>
            </w:r>
            <w:r>
              <w:rPr>
                <w:rFonts w:hint="eastAsia" w:ascii="华文细黑" w:hAnsi="华文细黑" w:cs="华文细黑"/>
                <w:szCs w:val="21"/>
                <w:lang w:val="en-US" w:eastAsia="zh-CN"/>
              </w:rPr>
              <w:t>及其</w:t>
            </w:r>
            <w:r>
              <w:rPr>
                <w:rFonts w:hint="eastAsia" w:ascii="华文细黑" w:hAnsi="华文细黑" w:eastAsia="华文细黑" w:cs="华文细黑"/>
                <w:szCs w:val="21"/>
              </w:rPr>
              <w:t>合规性评价</w:t>
            </w:r>
          </w:p>
        </w:tc>
        <w:tc>
          <w:tcPr>
            <w:tcW w:w="998" w:type="dxa"/>
            <w:vAlign w:val="top"/>
          </w:tcPr>
          <w:p>
            <w:pPr>
              <w:spacing w:line="280" w:lineRule="exact"/>
              <w:rPr>
                <w:rFonts w:hint="eastAsia" w:ascii="华文细黑" w:hAnsi="华文细黑" w:eastAsia="华文细黑" w:cs="华文细黑"/>
                <w:szCs w:val="21"/>
              </w:rPr>
            </w:pPr>
            <w:r>
              <w:rPr>
                <w:rFonts w:hint="eastAsia" w:ascii="华文细黑" w:hAnsi="华文细黑" w:cs="华文细黑"/>
                <w:szCs w:val="21"/>
                <w:lang w:eastAsia="zh-CN"/>
              </w:rPr>
              <w:t>EO</w:t>
            </w:r>
            <w:r>
              <w:rPr>
                <w:rFonts w:hint="eastAsia" w:ascii="华文细黑" w:hAnsi="华文细黑" w:eastAsia="华文细黑" w:cs="华文细黑"/>
                <w:szCs w:val="21"/>
              </w:rPr>
              <w:t>6.1.3</w:t>
            </w:r>
          </w:p>
          <w:p>
            <w:pPr>
              <w:spacing w:line="280" w:lineRule="exact"/>
              <w:rPr>
                <w:rFonts w:hint="eastAsia" w:ascii="华文细黑" w:hAnsi="华文细黑" w:eastAsia="华文细黑" w:cs="华文细黑"/>
                <w:kern w:val="2"/>
                <w:sz w:val="21"/>
                <w:szCs w:val="21"/>
                <w:lang w:val="en-US" w:eastAsia="zh-CN" w:bidi="ar-SA"/>
              </w:rPr>
            </w:pPr>
            <w:r>
              <w:rPr>
                <w:rFonts w:hint="eastAsia" w:ascii="华文细黑" w:hAnsi="华文细黑" w:eastAsia="华文细黑" w:cs="华文细黑"/>
                <w:szCs w:val="21"/>
                <w:lang w:val="en-US" w:eastAsia="zh-CN"/>
              </w:rPr>
              <w:t>/</w:t>
            </w:r>
            <w:r>
              <w:rPr>
                <w:rFonts w:hint="eastAsia" w:ascii="华文细黑" w:hAnsi="华文细黑" w:eastAsia="华文细黑" w:cs="华文细黑"/>
                <w:szCs w:val="21"/>
              </w:rPr>
              <w:t>9.1.2</w:t>
            </w: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lang w:val="en-US" w:eastAsia="zh-CN"/>
              </w:rPr>
              <w:t>组织</w:t>
            </w:r>
            <w:r>
              <w:rPr>
                <w:rFonts w:hint="eastAsia" w:ascii="宋体" w:hAnsi="宋体" w:cs="宋体"/>
                <w:szCs w:val="21"/>
              </w:rPr>
              <w:t>编制了《法律法规及其它要求管理程序》对合规义务</w:t>
            </w:r>
            <w:r>
              <w:rPr>
                <w:rFonts w:hint="eastAsia" w:ascii="宋体" w:hAnsi="宋体" w:cs="宋体"/>
                <w:szCs w:val="21"/>
                <w:lang w:val="en-US" w:eastAsia="zh-CN"/>
              </w:rPr>
              <w:t>及其</w:t>
            </w:r>
            <w:r>
              <w:rPr>
                <w:rFonts w:hint="eastAsia" w:ascii="宋体" w:hAnsi="宋体" w:cs="宋体"/>
                <w:szCs w:val="21"/>
              </w:rPr>
              <w:t>合规性评价进行了管理</w:t>
            </w:r>
            <w:r>
              <w:rPr>
                <w:rFonts w:hint="eastAsia" w:ascii="宋体" w:hAnsi="宋体" w:cs="宋体"/>
                <w:szCs w:val="21"/>
                <w:lang w:eastAsia="zh-CN"/>
              </w:rPr>
              <w:t>，</w:t>
            </w:r>
            <w:r>
              <w:rPr>
                <w:rFonts w:hint="eastAsia" w:ascii="宋体" w:hAnsi="宋体" w:cs="宋体"/>
                <w:szCs w:val="21"/>
              </w:rPr>
              <w:t>识别与</w:t>
            </w:r>
            <w:r>
              <w:rPr>
                <w:rFonts w:hint="eastAsia" w:ascii="宋体" w:hAnsi="宋体" w:cs="宋体"/>
                <w:szCs w:val="21"/>
                <w:lang w:val="en-US" w:eastAsia="zh-CN"/>
              </w:rPr>
              <w:t>相关</w:t>
            </w:r>
            <w:r>
              <w:rPr>
                <w:rFonts w:hint="eastAsia" w:ascii="宋体" w:hAnsi="宋体" w:cs="宋体"/>
                <w:szCs w:val="21"/>
              </w:rPr>
              <w:t>活动、产品和服务有关的法律、法规和其它要求，并建立获取这些要求的渠道</w:t>
            </w:r>
            <w:r>
              <w:rPr>
                <w:rFonts w:hint="eastAsia" w:ascii="宋体" w:hAnsi="宋体" w:cs="宋体"/>
                <w:szCs w:val="21"/>
                <w:lang w:eastAsia="zh-CN"/>
              </w:rPr>
              <w:t>，</w:t>
            </w:r>
            <w:r>
              <w:rPr>
                <w:rFonts w:hint="eastAsia" w:ascii="宋体" w:hAnsi="宋体" w:cs="宋体"/>
                <w:szCs w:val="21"/>
              </w:rPr>
              <w:t>确定适用的法律、法规和其它要求</w:t>
            </w:r>
            <w:r>
              <w:rPr>
                <w:rFonts w:hint="eastAsia" w:ascii="宋体" w:hAnsi="宋体" w:cs="宋体"/>
                <w:szCs w:val="21"/>
                <w:lang w:val="en-US" w:eastAsia="zh-CN"/>
              </w:rPr>
              <w:t>融合</w:t>
            </w:r>
            <w:r>
              <w:rPr>
                <w:rFonts w:hint="eastAsia" w:ascii="宋体" w:hAnsi="宋体" w:cs="宋体"/>
                <w:szCs w:val="21"/>
              </w:rPr>
              <w:t>到</w:t>
            </w:r>
            <w:r>
              <w:rPr>
                <w:rFonts w:hint="eastAsia" w:ascii="宋体" w:hAnsi="宋体" w:cs="宋体"/>
                <w:szCs w:val="21"/>
                <w:lang w:val="en-US" w:eastAsia="zh-CN"/>
              </w:rPr>
              <w:t>组织</w:t>
            </w:r>
            <w:r>
              <w:rPr>
                <w:rFonts w:hint="eastAsia" w:ascii="宋体" w:hAnsi="宋体" w:cs="宋体"/>
                <w:szCs w:val="21"/>
              </w:rPr>
              <w:t>的活动、产品和服务以及相关的环境因素和</w:t>
            </w:r>
            <w:r>
              <w:rPr>
                <w:rFonts w:hint="eastAsia" w:ascii="宋体" w:hAnsi="宋体" w:cs="宋体"/>
                <w:szCs w:val="21"/>
                <w:lang w:val="en-US" w:eastAsia="zh-CN"/>
              </w:rPr>
              <w:t>危险源</w:t>
            </w:r>
            <w:r>
              <w:rPr>
                <w:rFonts w:hint="eastAsia" w:ascii="宋体" w:hAnsi="宋体" w:cs="宋体"/>
                <w:szCs w:val="21"/>
              </w:rPr>
              <w:t>。</w:t>
            </w:r>
          </w:p>
          <w:p>
            <w:pPr>
              <w:spacing w:line="280" w:lineRule="exact"/>
              <w:ind w:firstLine="420" w:firstLineChars="200"/>
              <w:rPr>
                <w:rFonts w:hint="eastAsia" w:ascii="宋体" w:hAnsi="宋体" w:cs="宋体"/>
                <w:szCs w:val="21"/>
              </w:rPr>
            </w:pPr>
            <w:r>
              <w:rPr>
                <w:rFonts w:hint="eastAsia" w:ascii="宋体" w:hAnsi="宋体" w:cs="宋体"/>
                <w:szCs w:val="21"/>
              </w:rPr>
              <w:t>查所提供的环境和职业健康安全所涉及的《适用法律法规清单及适用性评价表》，基本涵盖所涉及的各相关</w:t>
            </w:r>
            <w:r>
              <w:rPr>
                <w:rFonts w:hint="eastAsia" w:ascii="宋体" w:hAnsi="宋体" w:cs="宋体"/>
                <w:szCs w:val="21"/>
                <w:lang w:val="en-US" w:eastAsia="zh-CN"/>
              </w:rPr>
              <w:t>产品和活动</w:t>
            </w:r>
            <w:r>
              <w:rPr>
                <w:rFonts w:hint="eastAsia" w:ascii="宋体" w:hAnsi="宋体" w:cs="宋体"/>
                <w:szCs w:val="21"/>
              </w:rPr>
              <w:t>。</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rPr>
              <w:t>查</w:t>
            </w:r>
            <w:r>
              <w:rPr>
                <w:rFonts w:hint="eastAsia" w:ascii="华文细黑" w:hAnsi="华文细黑" w:eastAsia="华文细黑" w:cs="华文细黑"/>
                <w:szCs w:val="21"/>
                <w:lang w:val="en-US" w:eastAsia="zh-CN"/>
              </w:rPr>
              <w:t>2022.6.25</w:t>
            </w:r>
            <w:r>
              <w:rPr>
                <w:rFonts w:hint="eastAsia" w:ascii="华文细黑" w:hAnsi="华文细黑" w:eastAsia="华文细黑" w:cs="华文细黑"/>
                <w:szCs w:val="21"/>
                <w:lang w:eastAsia="zh-CN"/>
              </w:rPr>
              <w:t>《环境合规性评价》</w:t>
            </w:r>
            <w:r>
              <w:rPr>
                <w:rFonts w:hint="eastAsia" w:ascii="华文细黑" w:hAnsi="华文细黑" w:eastAsia="华文细黑" w:cs="华文细黑"/>
                <w:szCs w:val="21"/>
                <w:lang w:val="en-US" w:eastAsia="zh-CN"/>
              </w:rPr>
              <w:t>和2022.6.25</w:t>
            </w:r>
            <w:r>
              <w:rPr>
                <w:rFonts w:hint="eastAsia" w:ascii="宋体" w:hAnsi="宋体" w:cs="宋体"/>
                <w:szCs w:val="21"/>
                <w:lang w:val="en-US" w:eastAsia="zh-CN"/>
              </w:rPr>
              <w:t>《安全合规性评价》记录，内容包括法律法规内容、对应活动和符合性现状描述。</w:t>
            </w:r>
          </w:p>
          <w:p>
            <w:pPr>
              <w:spacing w:line="280" w:lineRule="exact"/>
              <w:ind w:firstLine="420" w:firstLineChars="200"/>
              <w:rPr>
                <w:rFonts w:hint="default" w:ascii="宋体" w:hAnsi="宋体" w:eastAsia="华文细黑" w:cs="宋体"/>
                <w:kern w:val="2"/>
                <w:sz w:val="21"/>
                <w:szCs w:val="21"/>
                <w:lang w:val="en-US" w:eastAsia="zh-CN" w:bidi="ar-SA"/>
              </w:rPr>
            </w:pPr>
            <w:r>
              <w:rPr>
                <w:rFonts w:hint="eastAsia" w:ascii="宋体" w:hAnsi="宋体" w:cs="宋体"/>
                <w:szCs w:val="21"/>
                <w:lang w:val="en-US" w:eastAsia="zh-CN"/>
              </w:rPr>
              <w:t>综上，组织在合规义务的识别、确定和评价方面基本满足标准要求。</w:t>
            </w:r>
          </w:p>
        </w:tc>
        <w:tc>
          <w:tcPr>
            <w:tcW w:w="1585" w:type="dxa"/>
            <w:vAlign w:val="top"/>
          </w:tcPr>
          <w:p>
            <w:pPr>
              <w:rPr>
                <w:rFonts w:hint="eastAsia" w:ascii="Times New Roman" w:hAnsi="Times New Roman" w:eastAsia="华文细黑"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vAlign w:val="top"/>
          </w:tcPr>
          <w:p>
            <w:pPr>
              <w:bidi w:val="0"/>
              <w:rPr>
                <w:rFonts w:hint="default"/>
                <w:lang w:val="en-US" w:eastAsia="zh-CN"/>
              </w:rPr>
            </w:pPr>
            <w:r>
              <w:rPr>
                <w:rFonts w:hint="eastAsia"/>
                <w:lang w:val="en-US" w:eastAsia="zh-CN"/>
              </w:rPr>
              <w:t>目标分解落实</w:t>
            </w:r>
          </w:p>
        </w:tc>
        <w:tc>
          <w:tcPr>
            <w:tcW w:w="998" w:type="dxa"/>
            <w:vAlign w:val="top"/>
          </w:tcPr>
          <w:p>
            <w:pPr>
              <w:bidi w:val="0"/>
              <w:rPr>
                <w:rFonts w:hint="default"/>
                <w:lang w:val="en-US" w:eastAsia="zh-CN"/>
              </w:rPr>
            </w:pPr>
            <w:r>
              <w:rPr>
                <w:rFonts w:hint="eastAsia"/>
                <w:lang w:val="en-US" w:eastAsia="zh-CN"/>
              </w:rPr>
              <w:t>EO6.2</w:t>
            </w:r>
          </w:p>
        </w:tc>
        <w:tc>
          <w:tcPr>
            <w:tcW w:w="10004" w:type="dxa"/>
            <w:vAlign w:val="center"/>
          </w:tcPr>
          <w:p>
            <w:pPr>
              <w:snapToGrid w:val="0"/>
              <w:ind w:firstLine="420" w:firstLineChars="200"/>
              <w:rPr>
                <w:rFonts w:hint="eastAsia"/>
                <w:color w:val="auto"/>
                <w:szCs w:val="21"/>
              </w:rPr>
            </w:pPr>
            <w:r>
              <w:rPr>
                <w:rFonts w:hint="eastAsia"/>
                <w:color w:val="auto"/>
                <w:szCs w:val="21"/>
              </w:rPr>
              <w:t>涉及</w:t>
            </w:r>
            <w:r>
              <w:rPr>
                <w:rFonts w:hint="eastAsia"/>
                <w:color w:val="auto"/>
                <w:szCs w:val="21"/>
                <w:lang w:val="en-US" w:eastAsia="zh-CN"/>
              </w:rPr>
              <w:t>办公室</w:t>
            </w:r>
            <w:r>
              <w:rPr>
                <w:rFonts w:hint="eastAsia"/>
                <w:color w:val="auto"/>
                <w:szCs w:val="21"/>
              </w:rPr>
              <w:t>的环境和职业健康安全管理目标及完成情况</w:t>
            </w:r>
            <w:r>
              <w:rPr>
                <w:rFonts w:hint="eastAsia"/>
                <w:color w:val="auto"/>
                <w:szCs w:val="21"/>
                <w:lang w:val="en-US" w:eastAsia="zh-CN"/>
              </w:rPr>
              <w:t>如下</w:t>
            </w:r>
            <w:r>
              <w:rPr>
                <w:rFonts w:hint="eastAsia"/>
                <w:color w:val="auto"/>
                <w:szCs w:val="21"/>
              </w:rPr>
              <w:t>：</w:t>
            </w:r>
          </w:p>
          <w:p>
            <w:pPr>
              <w:snapToGrid w:val="0"/>
              <w:ind w:firstLine="420" w:firstLineChars="200"/>
              <w:rPr>
                <w:rFonts w:hint="eastAsia"/>
                <w:color w:val="auto"/>
                <w:szCs w:val="21"/>
              </w:rPr>
            </w:pPr>
            <w:r>
              <w:drawing>
                <wp:inline distT="0" distB="0" distL="114300" distR="114300">
                  <wp:extent cx="5899150" cy="965200"/>
                  <wp:effectExtent l="0" t="0" r="635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5899150" cy="965200"/>
                          </a:xfrm>
                          <a:prstGeom prst="rect">
                            <a:avLst/>
                          </a:prstGeom>
                          <a:noFill/>
                          <a:ln>
                            <a:noFill/>
                          </a:ln>
                        </pic:spPr>
                      </pic:pic>
                    </a:graphicData>
                  </a:graphic>
                </wp:inline>
              </w:drawing>
            </w:r>
          </w:p>
          <w:p>
            <w:pPr>
              <w:spacing w:line="280" w:lineRule="exact"/>
              <w:ind w:firstLine="420" w:firstLineChars="200"/>
              <w:rPr>
                <w:rFonts w:hint="eastAsia" w:ascii="宋体" w:hAnsi="宋体" w:cs="宋体"/>
                <w:szCs w:val="21"/>
                <w:lang w:val="en-US" w:eastAsia="zh-CN"/>
              </w:rPr>
            </w:pPr>
            <w:r>
              <w:rPr>
                <w:rFonts w:hint="eastAsia"/>
                <w:color w:val="auto"/>
                <w:szCs w:val="21"/>
              </w:rPr>
              <w:t>目标可测量，与方针一致。</w:t>
            </w:r>
            <w:r>
              <w:rPr>
                <w:rFonts w:hint="eastAsia"/>
                <w:color w:val="auto"/>
                <w:szCs w:val="21"/>
                <w:lang w:val="en-US" w:eastAsia="zh-CN"/>
              </w:rPr>
              <w:t>抽查截止审核期间</w:t>
            </w:r>
            <w:r>
              <w:rPr>
                <w:rFonts w:hint="eastAsia"/>
                <w:color w:val="auto"/>
                <w:szCs w:val="21"/>
              </w:rPr>
              <w:t>提供的数据显示，以上管理目标已全部</w:t>
            </w:r>
            <w:r>
              <w:rPr>
                <w:rFonts w:hint="eastAsia"/>
                <w:color w:val="auto"/>
                <w:szCs w:val="21"/>
                <w:lang w:val="en-US" w:eastAsia="zh-CN"/>
              </w:rPr>
              <w:t>阶段性</w:t>
            </w:r>
            <w:r>
              <w:rPr>
                <w:rFonts w:hint="eastAsia"/>
                <w:color w:val="auto"/>
                <w:szCs w:val="21"/>
              </w:rPr>
              <w:t>完成。</w:t>
            </w:r>
          </w:p>
        </w:tc>
        <w:tc>
          <w:tcPr>
            <w:tcW w:w="1585" w:type="dxa"/>
            <w:vAlign w:val="top"/>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22" w:type="dxa"/>
            <w:vAlign w:val="top"/>
          </w:tcPr>
          <w:p>
            <w:pPr>
              <w:bidi w:val="0"/>
              <w:rPr>
                <w:rFonts w:hint="default"/>
                <w:lang w:val="en-US" w:eastAsia="zh-CN"/>
              </w:rPr>
            </w:pPr>
            <w:r>
              <w:rPr>
                <w:rFonts w:hint="eastAsia"/>
                <w:lang w:val="en-US" w:eastAsia="zh-CN"/>
              </w:rPr>
              <w:t>人力资源管理</w:t>
            </w:r>
          </w:p>
        </w:tc>
        <w:tc>
          <w:tcPr>
            <w:tcW w:w="998" w:type="dxa"/>
            <w:vAlign w:val="top"/>
          </w:tcPr>
          <w:p>
            <w:pPr>
              <w:bidi w:val="0"/>
              <w:rPr>
                <w:rFonts w:hint="default"/>
                <w:lang w:val="en-US" w:eastAsia="zh-CN"/>
              </w:rPr>
            </w:pPr>
            <w:r>
              <w:rPr>
                <w:rFonts w:hint="eastAsia"/>
                <w:lang w:val="en-US" w:eastAsia="zh-CN"/>
              </w:rPr>
              <w:t>EO7.2/7.3</w:t>
            </w:r>
          </w:p>
        </w:tc>
        <w:tc>
          <w:tcPr>
            <w:tcW w:w="10004" w:type="dxa"/>
            <w:vAlign w:val="center"/>
          </w:tcPr>
          <w:p>
            <w:pPr>
              <w:bidi w:val="0"/>
              <w:ind w:firstLine="420" w:firstLineChars="200"/>
              <w:rPr>
                <w:rFonts w:hint="eastAsia"/>
                <w:lang w:val="en-US" w:eastAsia="zh-CN"/>
              </w:rPr>
            </w:pPr>
            <w:r>
              <w:rPr>
                <w:rFonts w:hint="eastAsia"/>
                <w:lang w:val="en-US" w:eastAsia="zh-CN"/>
              </w:rPr>
              <w:t>组织员工共110人，其中管理人员13人，人员配置基本能够满足需求。</w:t>
            </w:r>
          </w:p>
          <w:p>
            <w:pPr>
              <w:spacing w:line="280" w:lineRule="exact"/>
              <w:ind w:firstLine="420" w:firstLineChars="200"/>
              <w:rPr>
                <w:rFonts w:hint="eastAsia"/>
                <w:lang w:val="en-US" w:eastAsia="zh-CN"/>
              </w:rPr>
            </w:pPr>
            <w:r>
              <w:rPr>
                <w:rFonts w:hint="eastAsia"/>
                <w:lang w:val="en-US" w:eastAsia="zh-CN"/>
              </w:rPr>
              <w:t>组织对各岗位能力规定的要求包括了学历、技能、工作经验、培训经历等，基本符合能力确定的控制要求。</w:t>
            </w:r>
          </w:p>
          <w:p>
            <w:pPr>
              <w:spacing w:line="280" w:lineRule="exact"/>
              <w:ind w:firstLine="420" w:firstLineChars="200"/>
              <w:rPr>
                <w:rFonts w:hint="eastAsia"/>
                <w:lang w:val="en-US" w:eastAsia="zh-CN"/>
              </w:rPr>
            </w:pPr>
            <w:r>
              <w:rPr>
                <w:rFonts w:hint="eastAsia"/>
                <w:lang w:val="en-US" w:eastAsia="zh-CN"/>
              </w:rPr>
              <w:t>抽查2021-2022年度培训计划和培训实施记录如下：</w:t>
            </w:r>
          </w:p>
          <w:tbl>
            <w:tblPr>
              <w:tblStyle w:val="8"/>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2293"/>
              <w:gridCol w:w="1706"/>
              <w:gridCol w:w="1739"/>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Pr>
                <w:p>
                  <w:pPr>
                    <w:spacing w:line="280" w:lineRule="exact"/>
                    <w:rPr>
                      <w:rFonts w:hint="eastAsia"/>
                      <w:color w:val="auto"/>
                      <w:lang w:val="en-US" w:eastAsia="zh-CN"/>
                    </w:rPr>
                  </w:pPr>
                  <w:r>
                    <w:rPr>
                      <w:rFonts w:hint="eastAsia"/>
                      <w:color w:val="auto"/>
                      <w:lang w:val="en-US" w:eastAsia="zh-CN"/>
                    </w:rPr>
                    <w:t>计划培训日期</w:t>
                  </w:r>
                </w:p>
                <w:p>
                  <w:pPr>
                    <w:spacing w:line="280" w:lineRule="exact"/>
                    <w:rPr>
                      <w:rFonts w:hint="eastAsia"/>
                      <w:color w:val="auto"/>
                      <w:lang w:val="en-US" w:eastAsia="zh-CN"/>
                    </w:rPr>
                  </w:pPr>
                  <w:r>
                    <w:rPr>
                      <w:rFonts w:hint="eastAsia"/>
                      <w:color w:val="auto"/>
                      <w:lang w:val="en-US" w:eastAsia="zh-CN"/>
                    </w:rPr>
                    <w:t>/培训实施日期</w:t>
                  </w:r>
                </w:p>
              </w:tc>
              <w:tc>
                <w:tcPr>
                  <w:tcW w:w="2293" w:type="dxa"/>
                </w:tcPr>
                <w:p>
                  <w:pPr>
                    <w:spacing w:line="280" w:lineRule="exact"/>
                    <w:rPr>
                      <w:rFonts w:hint="eastAsia"/>
                      <w:color w:val="auto"/>
                      <w:lang w:val="en-US" w:eastAsia="zh-CN"/>
                    </w:rPr>
                  </w:pPr>
                  <w:r>
                    <w:rPr>
                      <w:rFonts w:hint="eastAsia"/>
                      <w:color w:val="auto"/>
                      <w:lang w:val="en-US" w:eastAsia="zh-CN"/>
                    </w:rPr>
                    <w:t>培训记录内容</w:t>
                  </w:r>
                </w:p>
              </w:tc>
              <w:tc>
                <w:tcPr>
                  <w:tcW w:w="1706" w:type="dxa"/>
                </w:tcPr>
                <w:p>
                  <w:pPr>
                    <w:spacing w:line="280" w:lineRule="exact"/>
                    <w:rPr>
                      <w:rFonts w:hint="eastAsia"/>
                      <w:color w:val="auto"/>
                      <w:lang w:val="en-US" w:eastAsia="zh-CN"/>
                    </w:rPr>
                  </w:pPr>
                  <w:r>
                    <w:rPr>
                      <w:rFonts w:hint="eastAsia"/>
                      <w:color w:val="auto"/>
                      <w:lang w:val="en-US" w:eastAsia="zh-CN"/>
                    </w:rPr>
                    <w:t>参加人员情况</w:t>
                  </w:r>
                </w:p>
              </w:tc>
              <w:tc>
                <w:tcPr>
                  <w:tcW w:w="1739" w:type="dxa"/>
                </w:tcPr>
                <w:p>
                  <w:pPr>
                    <w:spacing w:line="280" w:lineRule="exact"/>
                    <w:rPr>
                      <w:rFonts w:hint="eastAsia"/>
                      <w:color w:val="auto"/>
                      <w:lang w:val="en-US" w:eastAsia="zh-CN"/>
                    </w:rPr>
                  </w:pPr>
                  <w:r>
                    <w:rPr>
                      <w:rFonts w:hint="eastAsia"/>
                      <w:color w:val="auto"/>
                      <w:lang w:val="en-US" w:eastAsia="zh-CN"/>
                    </w:rPr>
                    <w:t>评价方式</w:t>
                  </w:r>
                </w:p>
              </w:tc>
              <w:tc>
                <w:tcPr>
                  <w:tcW w:w="1834" w:type="dxa"/>
                  <w:vAlign w:val="top"/>
                </w:tcPr>
                <w:p>
                  <w:pPr>
                    <w:spacing w:line="280" w:lineRule="exact"/>
                    <w:rPr>
                      <w:rFonts w:hint="eastAsia"/>
                      <w:color w:val="auto"/>
                      <w:lang w:val="en-US" w:eastAsia="zh-CN"/>
                    </w:rPr>
                  </w:pPr>
                  <w:r>
                    <w:rPr>
                      <w:rFonts w:hint="eastAsia"/>
                      <w:color w:val="auto"/>
                      <w:lang w:val="en-US" w:eastAsia="zh-CN"/>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vAlign w:val="center"/>
                </w:tcPr>
                <w:p>
                  <w:pPr>
                    <w:bidi w:val="0"/>
                    <w:rPr>
                      <w:rFonts w:hint="eastAsia"/>
                      <w:lang w:val="en-US" w:eastAsia="zh-CN"/>
                    </w:rPr>
                  </w:pPr>
                  <w:r>
                    <w:rPr>
                      <w:rFonts w:hint="eastAsia"/>
                      <w:lang w:val="en-US" w:eastAsia="zh-CN"/>
                    </w:rPr>
                    <w:t>2022年3月/2022年3月15日</w:t>
                  </w:r>
                </w:p>
              </w:tc>
              <w:tc>
                <w:tcPr>
                  <w:tcW w:w="2293" w:type="dxa"/>
                  <w:vAlign w:val="center"/>
                </w:tcPr>
                <w:p>
                  <w:pPr>
                    <w:bidi w:val="0"/>
                    <w:rPr>
                      <w:rFonts w:hint="default"/>
                      <w:lang w:val="en-US" w:eastAsia="zh-CN"/>
                    </w:rPr>
                  </w:pPr>
                  <w:r>
                    <w:rPr>
                      <w:rFonts w:hint="eastAsia"/>
                      <w:lang w:val="en-US" w:eastAsia="zh-CN"/>
                    </w:rPr>
                    <w:t>质量、环境、安全基础知识培训</w:t>
                  </w:r>
                </w:p>
              </w:tc>
              <w:tc>
                <w:tcPr>
                  <w:tcW w:w="1706" w:type="dxa"/>
                  <w:vAlign w:val="center"/>
                </w:tcPr>
                <w:p>
                  <w:pPr>
                    <w:bidi w:val="0"/>
                    <w:rPr>
                      <w:rFonts w:hint="eastAsia"/>
                      <w:lang w:val="en-US" w:eastAsia="zh-CN"/>
                    </w:rPr>
                  </w:pPr>
                  <w:r>
                    <w:rPr>
                      <w:rFonts w:hint="eastAsia"/>
                      <w:lang w:val="en-US" w:eastAsia="zh-CN"/>
                    </w:rPr>
                    <w:t>各部门主管人员</w:t>
                  </w:r>
                </w:p>
              </w:tc>
              <w:tc>
                <w:tcPr>
                  <w:tcW w:w="1739" w:type="dxa"/>
                  <w:vAlign w:val="center"/>
                </w:tcPr>
                <w:p>
                  <w:pPr>
                    <w:bidi w:val="0"/>
                    <w:rPr>
                      <w:rFonts w:hint="eastAsia"/>
                      <w:lang w:val="en-US" w:eastAsia="zh-CN"/>
                    </w:rPr>
                  </w:pPr>
                  <w:r>
                    <w:rPr>
                      <w:rFonts w:hint="eastAsia"/>
                      <w:lang w:val="en-US" w:eastAsia="zh-CN"/>
                    </w:rPr>
                    <w:sym w:font="Wingdings" w:char="00A8"/>
                  </w:r>
                  <w:r>
                    <w:rPr>
                      <w:rFonts w:hint="eastAsia"/>
                      <w:lang w:val="en-US" w:eastAsia="zh-CN"/>
                    </w:rPr>
                    <w:t xml:space="preserve">笔试 </w:t>
                  </w:r>
                  <w:r>
                    <w:rPr>
                      <w:rFonts w:hint="eastAsia"/>
                      <w:lang w:val="en-US" w:eastAsia="zh-CN"/>
                    </w:rPr>
                    <w:sym w:font="Wingdings" w:char="00FE"/>
                  </w:r>
                  <w:r>
                    <w:rPr>
                      <w:rFonts w:hint="eastAsia"/>
                      <w:lang w:val="en-US" w:eastAsia="zh-CN"/>
                    </w:rPr>
                    <w:t>口试</w:t>
                  </w:r>
                </w:p>
              </w:tc>
              <w:tc>
                <w:tcPr>
                  <w:tcW w:w="1834" w:type="dxa"/>
                  <w:vAlign w:val="center"/>
                </w:tcPr>
                <w:p>
                  <w:pPr>
                    <w:bidi w:val="0"/>
                    <w:rPr>
                      <w:rFonts w:hint="eastAsia"/>
                      <w:lang w:val="en-US" w:eastAsia="zh-CN"/>
                    </w:rPr>
                  </w:pPr>
                  <w:r>
                    <w:rPr>
                      <w:rFonts w:hint="eastAsia"/>
                      <w:lang w:val="en-US" w:eastAsia="zh-CN"/>
                    </w:rPr>
                    <w:sym w:font="Wingdings 2" w:char="0052"/>
                  </w:r>
                  <w:r>
                    <w:rPr>
                      <w:rFonts w:hint="eastAsia"/>
                      <w:lang w:val="en-US" w:eastAsia="zh-CN"/>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vAlign w:val="center"/>
                </w:tcPr>
                <w:p>
                  <w:pPr>
                    <w:bidi w:val="0"/>
                    <w:rPr>
                      <w:rFonts w:hint="eastAsia"/>
                      <w:lang w:val="en-US" w:eastAsia="zh-CN"/>
                    </w:rPr>
                  </w:pPr>
                  <w:r>
                    <w:rPr>
                      <w:rFonts w:hint="eastAsia"/>
                      <w:lang w:val="en-US" w:eastAsia="zh-CN"/>
                    </w:rPr>
                    <w:t>2022年4月/2022年4月25日</w:t>
                  </w:r>
                </w:p>
              </w:tc>
              <w:tc>
                <w:tcPr>
                  <w:tcW w:w="2293" w:type="dxa"/>
                  <w:vAlign w:val="center"/>
                </w:tcPr>
                <w:p>
                  <w:pPr>
                    <w:bidi w:val="0"/>
                    <w:rPr>
                      <w:rFonts w:hint="default"/>
                      <w:lang w:val="en-US" w:eastAsia="zh-CN"/>
                    </w:rPr>
                  </w:pPr>
                  <w:r>
                    <w:rPr>
                      <w:rFonts w:hint="eastAsia"/>
                    </w:rPr>
                    <w:t>环境因素识别、危险源辨别再培训</w:t>
                  </w:r>
                </w:p>
              </w:tc>
              <w:tc>
                <w:tcPr>
                  <w:tcW w:w="1706" w:type="dxa"/>
                  <w:vAlign w:val="center"/>
                </w:tcPr>
                <w:p>
                  <w:pPr>
                    <w:bidi w:val="0"/>
                    <w:rPr>
                      <w:rFonts w:hint="eastAsia"/>
                      <w:lang w:val="en-US" w:eastAsia="zh-CN"/>
                    </w:rPr>
                  </w:pPr>
                  <w:r>
                    <w:rPr>
                      <w:rFonts w:hint="eastAsia"/>
                      <w:lang w:val="en-US" w:eastAsia="zh-CN"/>
                    </w:rPr>
                    <w:t>各部门主管人员</w:t>
                  </w:r>
                </w:p>
              </w:tc>
              <w:tc>
                <w:tcPr>
                  <w:tcW w:w="1739" w:type="dxa"/>
                  <w:vAlign w:val="center"/>
                </w:tcPr>
                <w:p>
                  <w:pPr>
                    <w:bidi w:val="0"/>
                    <w:rPr>
                      <w:rFonts w:hint="eastAsia"/>
                      <w:lang w:val="en-US" w:eastAsia="zh-CN"/>
                    </w:rPr>
                  </w:pPr>
                  <w:r>
                    <w:rPr>
                      <w:rFonts w:hint="eastAsia"/>
                      <w:lang w:val="en-US" w:eastAsia="zh-CN"/>
                    </w:rPr>
                    <w:sym w:font="Wingdings" w:char="00A8"/>
                  </w:r>
                  <w:r>
                    <w:rPr>
                      <w:rFonts w:hint="eastAsia"/>
                      <w:lang w:val="en-US" w:eastAsia="zh-CN"/>
                    </w:rPr>
                    <w:t xml:space="preserve">笔试 </w:t>
                  </w:r>
                  <w:r>
                    <w:rPr>
                      <w:rFonts w:hint="eastAsia"/>
                      <w:lang w:val="en-US" w:eastAsia="zh-CN"/>
                    </w:rPr>
                    <w:sym w:font="Wingdings" w:char="00FE"/>
                  </w:r>
                  <w:r>
                    <w:rPr>
                      <w:rFonts w:hint="eastAsia"/>
                      <w:lang w:val="en-US" w:eastAsia="zh-CN"/>
                    </w:rPr>
                    <w:t>口试</w:t>
                  </w:r>
                </w:p>
              </w:tc>
              <w:tc>
                <w:tcPr>
                  <w:tcW w:w="1834" w:type="dxa"/>
                  <w:vAlign w:val="center"/>
                </w:tcPr>
                <w:p>
                  <w:pPr>
                    <w:bidi w:val="0"/>
                    <w:rPr>
                      <w:rFonts w:hint="eastAsia"/>
                      <w:lang w:val="en-US" w:eastAsia="zh-CN"/>
                    </w:rPr>
                  </w:pPr>
                  <w:r>
                    <w:rPr>
                      <w:rFonts w:hint="eastAsia"/>
                      <w:lang w:val="en-US" w:eastAsia="zh-CN"/>
                    </w:rPr>
                    <w:sym w:font="Wingdings 2" w:char="0052"/>
                  </w:r>
                  <w:r>
                    <w:rPr>
                      <w:rFonts w:hint="eastAsia"/>
                      <w:lang w:val="en-US" w:eastAsia="zh-CN"/>
                    </w:rPr>
                    <w:t xml:space="preserve">有效  </w:t>
                  </w:r>
                  <w:r>
                    <w:rPr>
                      <w:rFonts w:hint="eastAsia"/>
                      <w:lang w:val="en-US" w:eastAsia="zh-CN"/>
                    </w:rPr>
                    <w:sym w:font="Wingdings 2" w:char="00A3"/>
                  </w:r>
                  <w:r>
                    <w:rPr>
                      <w:rFonts w:hint="eastAsia"/>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46" w:type="dxa"/>
                  <w:vAlign w:val="center"/>
                </w:tcPr>
                <w:p>
                  <w:pPr>
                    <w:spacing w:line="280" w:lineRule="exact"/>
                    <w:jc w:val="left"/>
                    <w:rPr>
                      <w:rFonts w:hint="eastAsia"/>
                      <w:color w:val="FF0000"/>
                      <w:lang w:val="en-US" w:eastAsia="zh-CN"/>
                    </w:rPr>
                  </w:pPr>
                  <w:r>
                    <w:rPr>
                      <w:rFonts w:hint="eastAsia"/>
                      <w:lang w:val="en-US" w:eastAsia="zh-CN"/>
                    </w:rPr>
                    <w:t>2022年5月/2022年5月29日</w:t>
                  </w:r>
                </w:p>
              </w:tc>
              <w:tc>
                <w:tcPr>
                  <w:tcW w:w="2293" w:type="dxa"/>
                  <w:vAlign w:val="center"/>
                </w:tcPr>
                <w:p>
                  <w:pPr>
                    <w:bidi w:val="0"/>
                    <w:rPr>
                      <w:rFonts w:hint="eastAsia" w:ascii="Times New Roman" w:hAnsi="Times New Roman" w:cs="Times New Roman"/>
                    </w:rPr>
                  </w:pPr>
                  <w:r>
                    <w:rPr>
                      <w:rFonts w:hint="eastAsia" w:ascii="Times New Roman" w:hAnsi="Times New Roman" w:cs="Times New Roman"/>
                    </w:rPr>
                    <w:t>管理方针、目标及管理方案</w:t>
                  </w:r>
                </w:p>
              </w:tc>
              <w:tc>
                <w:tcPr>
                  <w:tcW w:w="1706" w:type="dxa"/>
                  <w:vAlign w:val="center"/>
                </w:tcPr>
                <w:p>
                  <w:pPr>
                    <w:bidi w:val="0"/>
                    <w:rPr>
                      <w:rFonts w:hint="eastAsia" w:ascii="Times New Roman" w:hAnsi="Times New Roman" w:eastAsia="华文细黑" w:cs="Times New Roman"/>
                      <w:kern w:val="2"/>
                      <w:sz w:val="21"/>
                      <w:lang w:val="en-US" w:eastAsia="zh-CN" w:bidi="ar-SA"/>
                    </w:rPr>
                  </w:pPr>
                  <w:r>
                    <w:rPr>
                      <w:rFonts w:hint="eastAsia"/>
                      <w:lang w:val="en-US" w:eastAsia="zh-CN"/>
                    </w:rPr>
                    <w:t>各部门主管人员</w:t>
                  </w:r>
                </w:p>
              </w:tc>
              <w:tc>
                <w:tcPr>
                  <w:tcW w:w="1739" w:type="dxa"/>
                  <w:vAlign w:val="center"/>
                </w:tcPr>
                <w:p>
                  <w:pPr>
                    <w:bidi w:val="0"/>
                    <w:rPr>
                      <w:rFonts w:hint="eastAsia" w:ascii="Times New Roman" w:hAnsi="Times New Roman" w:eastAsia="华文细黑" w:cs="Times New Roman"/>
                      <w:kern w:val="2"/>
                      <w:sz w:val="21"/>
                      <w:lang w:val="en-US" w:eastAsia="zh-CN" w:bidi="ar-SA"/>
                    </w:rPr>
                  </w:pPr>
                  <w:r>
                    <w:rPr>
                      <w:rFonts w:hint="eastAsia"/>
                      <w:lang w:val="en-US" w:eastAsia="zh-CN"/>
                    </w:rPr>
                    <w:sym w:font="Wingdings" w:char="00A8"/>
                  </w:r>
                  <w:r>
                    <w:rPr>
                      <w:rFonts w:hint="eastAsia"/>
                      <w:lang w:val="en-US" w:eastAsia="zh-CN"/>
                    </w:rPr>
                    <w:t xml:space="preserve">笔试 </w:t>
                  </w:r>
                  <w:r>
                    <w:rPr>
                      <w:rFonts w:hint="eastAsia"/>
                      <w:lang w:val="en-US" w:eastAsia="zh-CN"/>
                    </w:rPr>
                    <w:sym w:font="Wingdings" w:char="00FE"/>
                  </w:r>
                  <w:r>
                    <w:rPr>
                      <w:rFonts w:hint="eastAsia"/>
                      <w:lang w:val="en-US" w:eastAsia="zh-CN"/>
                    </w:rPr>
                    <w:t>口试</w:t>
                  </w:r>
                </w:p>
              </w:tc>
              <w:tc>
                <w:tcPr>
                  <w:tcW w:w="1834" w:type="dxa"/>
                  <w:vAlign w:val="center"/>
                </w:tcPr>
                <w:p>
                  <w:pPr>
                    <w:bidi w:val="0"/>
                    <w:rPr>
                      <w:rFonts w:hint="eastAsia" w:ascii="Times New Roman" w:hAnsi="Times New Roman" w:eastAsia="华文细黑" w:cs="Times New Roman"/>
                      <w:kern w:val="2"/>
                      <w:sz w:val="21"/>
                      <w:lang w:val="en-US" w:eastAsia="zh-CN" w:bidi="ar-SA"/>
                    </w:rPr>
                  </w:pPr>
                  <w:r>
                    <w:rPr>
                      <w:rFonts w:hint="eastAsia"/>
                      <w:lang w:val="en-US" w:eastAsia="zh-CN"/>
                    </w:rPr>
                    <w:sym w:font="Wingdings 2" w:char="0052"/>
                  </w:r>
                  <w:r>
                    <w:rPr>
                      <w:rFonts w:hint="eastAsia"/>
                      <w:lang w:val="en-US" w:eastAsia="zh-CN"/>
                    </w:rPr>
                    <w:t xml:space="preserve">有效  </w:t>
                  </w:r>
                  <w:r>
                    <w:rPr>
                      <w:rFonts w:hint="eastAsia"/>
                      <w:lang w:val="en-US" w:eastAsia="zh-CN"/>
                    </w:rPr>
                    <w:sym w:font="Wingdings 2" w:char="00A3"/>
                  </w:r>
                  <w:r>
                    <w:rPr>
                      <w:rFonts w:hint="eastAsia"/>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46" w:type="dxa"/>
                  <w:vAlign w:val="center"/>
                </w:tcPr>
                <w:p>
                  <w:pPr>
                    <w:spacing w:line="280" w:lineRule="exact"/>
                    <w:jc w:val="left"/>
                    <w:rPr>
                      <w:rFonts w:hint="eastAsia"/>
                      <w:color w:val="auto"/>
                      <w:lang w:val="en-US" w:eastAsia="zh-CN"/>
                    </w:rPr>
                  </w:pPr>
                  <w:r>
                    <w:rPr>
                      <w:rFonts w:hint="eastAsia"/>
                      <w:color w:val="auto"/>
                      <w:lang w:val="en-US" w:eastAsia="zh-CN"/>
                    </w:rPr>
                    <w:t>内审前/2022年9月3日</w:t>
                  </w:r>
                </w:p>
              </w:tc>
              <w:tc>
                <w:tcPr>
                  <w:tcW w:w="2293" w:type="dxa"/>
                  <w:vAlign w:val="center"/>
                </w:tcPr>
                <w:p>
                  <w:pPr>
                    <w:spacing w:line="280" w:lineRule="exact"/>
                    <w:rPr>
                      <w:rFonts w:hint="default"/>
                      <w:color w:val="auto"/>
                      <w:lang w:val="en-US" w:eastAsia="zh-CN"/>
                    </w:rPr>
                  </w:pPr>
                  <w:r>
                    <w:rPr>
                      <w:rFonts w:hint="eastAsia"/>
                      <w:color w:val="auto"/>
                      <w:lang w:val="en-US" w:eastAsia="zh-CN"/>
                    </w:rPr>
                    <w:t>内审员培训</w:t>
                  </w:r>
                </w:p>
              </w:tc>
              <w:tc>
                <w:tcPr>
                  <w:tcW w:w="1706" w:type="dxa"/>
                  <w:vAlign w:val="center"/>
                </w:tcPr>
                <w:p>
                  <w:pPr>
                    <w:spacing w:line="280" w:lineRule="exact"/>
                    <w:rPr>
                      <w:rFonts w:hint="default"/>
                      <w:color w:val="auto"/>
                      <w:lang w:val="en-US" w:eastAsia="zh-CN"/>
                    </w:rPr>
                  </w:pPr>
                  <w:r>
                    <w:rPr>
                      <w:rFonts w:hint="eastAsia"/>
                      <w:color w:val="auto"/>
                      <w:lang w:val="en-US" w:eastAsia="zh-CN"/>
                    </w:rPr>
                    <w:t>内审员</w:t>
                  </w:r>
                </w:p>
              </w:tc>
              <w:tc>
                <w:tcPr>
                  <w:tcW w:w="1739" w:type="dxa"/>
                  <w:vAlign w:val="center"/>
                </w:tcPr>
                <w:p>
                  <w:pPr>
                    <w:spacing w:line="280" w:lineRule="exact"/>
                    <w:rPr>
                      <w:rFonts w:hint="eastAsia"/>
                      <w:color w:val="auto"/>
                      <w:lang w:val="en-US" w:eastAsia="zh-CN"/>
                    </w:rPr>
                  </w:pPr>
                  <w:r>
                    <w:rPr>
                      <w:rFonts w:hint="eastAsia"/>
                      <w:color w:val="auto"/>
                      <w:lang w:val="en-US" w:eastAsia="zh-CN"/>
                    </w:rPr>
                    <w:sym w:font="Wingdings" w:char="00A8"/>
                  </w:r>
                  <w:r>
                    <w:rPr>
                      <w:rFonts w:hint="eastAsia"/>
                      <w:color w:val="auto"/>
                      <w:lang w:val="en-US" w:eastAsia="zh-CN"/>
                    </w:rPr>
                    <w:t xml:space="preserve">笔试 </w:t>
                  </w:r>
                  <w:r>
                    <w:rPr>
                      <w:rFonts w:hint="eastAsia"/>
                      <w:color w:val="auto"/>
                      <w:lang w:val="en-US" w:eastAsia="zh-CN"/>
                    </w:rPr>
                    <w:sym w:font="Wingdings" w:char="00FE"/>
                  </w:r>
                  <w:r>
                    <w:rPr>
                      <w:rFonts w:hint="eastAsia"/>
                      <w:color w:val="auto"/>
                      <w:lang w:val="en-US" w:eastAsia="zh-CN"/>
                    </w:rPr>
                    <w:t>口试</w:t>
                  </w:r>
                </w:p>
              </w:tc>
              <w:tc>
                <w:tcPr>
                  <w:tcW w:w="1834" w:type="dxa"/>
                  <w:vAlign w:val="center"/>
                </w:tcPr>
                <w:p>
                  <w:pPr>
                    <w:spacing w:line="280" w:lineRule="exact"/>
                    <w:rPr>
                      <w:rFonts w:hint="eastAsia"/>
                      <w:color w:val="auto"/>
                      <w:lang w:val="en-US" w:eastAsia="zh-CN"/>
                    </w:rPr>
                  </w:pPr>
                  <w:r>
                    <w:rPr>
                      <w:rFonts w:hint="eastAsia"/>
                      <w:color w:val="auto"/>
                      <w:lang w:val="en-US" w:eastAsia="zh-CN"/>
                    </w:rPr>
                    <w:sym w:font="Wingdings 2" w:char="0052"/>
                  </w:r>
                  <w:r>
                    <w:rPr>
                      <w:rFonts w:hint="eastAsia"/>
                      <w:color w:val="auto"/>
                      <w:lang w:val="en-US" w:eastAsia="zh-CN"/>
                    </w:rPr>
                    <w:t>有效  □不足</w:t>
                  </w:r>
                </w:p>
              </w:tc>
            </w:tr>
          </w:tbl>
          <w:p>
            <w:pPr>
              <w:spacing w:line="280" w:lineRule="exact"/>
              <w:ind w:firstLine="420" w:firstLineChars="200"/>
              <w:rPr>
                <w:rFonts w:hint="eastAsia"/>
                <w:color w:val="auto"/>
                <w:lang w:val="en-US" w:eastAsia="zh-CN"/>
              </w:rPr>
            </w:pPr>
            <w:r>
              <w:rPr>
                <w:rFonts w:hint="eastAsia"/>
                <w:color w:val="auto"/>
                <w:lang w:val="en-US" w:eastAsia="zh-CN"/>
              </w:rPr>
              <w:t>培训实施记录与培训计划基本一致，符合要求。</w:t>
            </w:r>
          </w:p>
          <w:p>
            <w:pPr>
              <w:spacing w:line="280" w:lineRule="exact"/>
              <w:ind w:firstLine="420" w:firstLineChars="200"/>
              <w:rPr>
                <w:rFonts w:hint="eastAsia"/>
                <w:color w:val="auto"/>
                <w:lang w:val="en-US" w:eastAsia="zh-CN"/>
              </w:rPr>
            </w:pPr>
            <w:r>
              <w:rPr>
                <w:rFonts w:hint="eastAsia"/>
                <w:color w:val="auto"/>
                <w:lang w:val="en-US" w:eastAsia="zh-CN"/>
              </w:rPr>
              <w:t>抽查三级安全教育记录如下：</w:t>
            </w:r>
          </w:p>
          <w:p>
            <w:pPr>
              <w:spacing w:line="280" w:lineRule="exact"/>
              <w:ind w:firstLine="420" w:firstLineChars="200"/>
              <w:rPr>
                <w:rFonts w:hint="default"/>
                <w:color w:val="auto"/>
                <w:lang w:val="en-US" w:eastAsia="zh-CN"/>
              </w:rPr>
            </w:pPr>
            <w:r>
              <w:rPr>
                <w:rFonts w:hint="eastAsia"/>
                <w:color w:val="auto"/>
                <w:lang w:val="en-US" w:eastAsia="zh-CN"/>
              </w:rPr>
              <w:t>①姓名：黄永根；岗位：组装；②：朱晓英；岗位：账目员；记录内容包括公司级、车间级班组级安全教育，有培训者和受训者签名和日期，有相应的考试合格试卷，均可追溯（见附件E相关证据）。</w:t>
            </w:r>
          </w:p>
          <w:p>
            <w:pPr>
              <w:spacing w:line="280" w:lineRule="exact"/>
              <w:ind w:firstLine="420" w:firstLineChars="200"/>
              <w:rPr>
                <w:rFonts w:hint="eastAsia"/>
                <w:lang w:val="en-US" w:eastAsia="zh-CN"/>
              </w:rPr>
            </w:pPr>
            <w:r>
              <w:rPr>
                <w:rFonts w:hint="eastAsia"/>
                <w:lang w:val="en-US" w:eastAsia="zh-CN"/>
              </w:rPr>
              <w:t>抽查执业资格证书如下：</w:t>
            </w:r>
          </w:p>
          <w:tbl>
            <w:tblPr>
              <w:tblStyle w:val="8"/>
              <w:tblpPr w:leftFromText="180" w:rightFromText="180" w:vertAnchor="text" w:horzAnchor="page" w:tblpXSpec="center" w:tblpY="153"/>
              <w:tblOverlap w:val="never"/>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4"/>
              <w:gridCol w:w="985"/>
              <w:gridCol w:w="2471"/>
              <w:gridCol w:w="2069"/>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294" w:type="dxa"/>
                  <w:shd w:val="clear" w:color="auto" w:fill="auto"/>
                </w:tcPr>
                <w:p>
                  <w:pPr>
                    <w:spacing w:line="280" w:lineRule="exact"/>
                    <w:rPr>
                      <w:rFonts w:hint="eastAsia"/>
                      <w:color w:val="auto"/>
                      <w:lang w:val="en-US" w:eastAsia="zh-CN"/>
                    </w:rPr>
                  </w:pPr>
                  <w:r>
                    <w:rPr>
                      <w:rFonts w:hint="eastAsia"/>
                      <w:color w:val="auto"/>
                      <w:lang w:val="en-US" w:eastAsia="zh-CN"/>
                    </w:rPr>
                    <w:t>特种设备操作/特种作业人员</w:t>
                  </w:r>
                </w:p>
              </w:tc>
              <w:tc>
                <w:tcPr>
                  <w:tcW w:w="985" w:type="dxa"/>
                  <w:shd w:val="clear" w:color="auto" w:fill="auto"/>
                </w:tcPr>
                <w:p>
                  <w:pPr>
                    <w:spacing w:line="280" w:lineRule="exact"/>
                    <w:rPr>
                      <w:rFonts w:hint="eastAsia"/>
                      <w:color w:val="auto"/>
                      <w:lang w:val="en-US" w:eastAsia="zh-CN"/>
                    </w:rPr>
                  </w:pPr>
                  <w:r>
                    <w:rPr>
                      <w:rFonts w:hint="eastAsia"/>
                      <w:color w:val="auto"/>
                      <w:lang w:val="en-US" w:eastAsia="zh-CN"/>
                    </w:rPr>
                    <w:t>姓名</w:t>
                  </w:r>
                </w:p>
              </w:tc>
              <w:tc>
                <w:tcPr>
                  <w:tcW w:w="2471" w:type="dxa"/>
                  <w:shd w:val="clear" w:color="auto" w:fill="auto"/>
                </w:tcPr>
                <w:p>
                  <w:pPr>
                    <w:spacing w:line="280" w:lineRule="exact"/>
                    <w:rPr>
                      <w:rFonts w:hint="eastAsia"/>
                      <w:color w:val="auto"/>
                      <w:lang w:val="en-US" w:eastAsia="zh-CN"/>
                    </w:rPr>
                  </w:pPr>
                  <w:r>
                    <w:rPr>
                      <w:rFonts w:hint="eastAsia"/>
                      <w:color w:val="auto"/>
                      <w:lang w:val="en-US" w:eastAsia="zh-CN"/>
                    </w:rPr>
                    <w:t>资格证书编号</w:t>
                  </w:r>
                </w:p>
              </w:tc>
              <w:tc>
                <w:tcPr>
                  <w:tcW w:w="2069" w:type="dxa"/>
                  <w:shd w:val="clear" w:color="auto" w:fill="auto"/>
                </w:tcPr>
                <w:p>
                  <w:pPr>
                    <w:spacing w:line="280" w:lineRule="exact"/>
                    <w:rPr>
                      <w:rFonts w:hint="eastAsia"/>
                      <w:color w:val="auto"/>
                      <w:lang w:val="en-US" w:eastAsia="zh-CN"/>
                    </w:rPr>
                  </w:pPr>
                  <w:r>
                    <w:rPr>
                      <w:rFonts w:hint="eastAsia"/>
                      <w:color w:val="auto"/>
                      <w:lang w:val="en-US" w:eastAsia="zh-CN"/>
                    </w:rPr>
                    <w:t>有效期期限</w:t>
                  </w:r>
                </w:p>
              </w:tc>
              <w:tc>
                <w:tcPr>
                  <w:tcW w:w="1848" w:type="dxa"/>
                  <w:shd w:val="clear" w:color="auto" w:fill="auto"/>
                </w:tcPr>
                <w:p>
                  <w:pPr>
                    <w:spacing w:line="280" w:lineRule="exact"/>
                    <w:rPr>
                      <w:rFonts w:hint="eastAsia"/>
                      <w:color w:val="auto"/>
                      <w:lang w:val="en-US" w:eastAsia="zh-CN"/>
                    </w:rPr>
                  </w:pPr>
                  <w:r>
                    <w:rPr>
                      <w:rFonts w:hint="eastAsia"/>
                      <w:color w:val="auto"/>
                      <w:lang w:val="en-US"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294" w:type="dxa"/>
                  <w:vAlign w:val="top"/>
                </w:tcPr>
                <w:p>
                  <w:pPr>
                    <w:spacing w:line="280" w:lineRule="exact"/>
                    <w:rPr>
                      <w:rFonts w:hint="eastAsia"/>
                      <w:color w:val="auto"/>
                      <w:lang w:val="en-US" w:eastAsia="zh-CN"/>
                    </w:rPr>
                  </w:pPr>
                  <w:r>
                    <w:rPr>
                      <w:rFonts w:hint="eastAsia"/>
                      <w:color w:val="auto"/>
                      <w:lang w:val="en-US" w:eastAsia="zh-CN"/>
                    </w:rPr>
                    <w:t>叉车司机</w:t>
                  </w:r>
                </w:p>
              </w:tc>
              <w:tc>
                <w:tcPr>
                  <w:tcW w:w="985" w:type="dxa"/>
                  <w:vAlign w:val="center"/>
                </w:tcPr>
                <w:p>
                  <w:pPr>
                    <w:spacing w:line="280" w:lineRule="exact"/>
                    <w:rPr>
                      <w:rFonts w:hint="default"/>
                      <w:color w:val="auto"/>
                      <w:lang w:val="en-US" w:eastAsia="zh-CN"/>
                    </w:rPr>
                  </w:pPr>
                  <w:r>
                    <w:rPr>
                      <w:rFonts w:hint="eastAsia"/>
                      <w:color w:val="auto"/>
                      <w:lang w:val="en-US" w:eastAsia="zh-CN"/>
                    </w:rPr>
                    <w:t>黄永根</w:t>
                  </w:r>
                </w:p>
              </w:tc>
              <w:tc>
                <w:tcPr>
                  <w:tcW w:w="2471" w:type="dxa"/>
                  <w:vAlign w:val="center"/>
                </w:tcPr>
                <w:p>
                  <w:pPr>
                    <w:spacing w:line="280" w:lineRule="exact"/>
                    <w:rPr>
                      <w:rFonts w:hint="default"/>
                      <w:color w:val="auto"/>
                      <w:lang w:val="en-US" w:eastAsia="zh-CN"/>
                    </w:rPr>
                  </w:pPr>
                  <w:r>
                    <w:rPr>
                      <w:rFonts w:hint="eastAsia"/>
                      <w:color w:val="auto"/>
                      <w:lang w:val="en-US" w:eastAsia="zh-CN"/>
                    </w:rPr>
                    <w:t>612425199006120317</w:t>
                  </w:r>
                </w:p>
              </w:tc>
              <w:tc>
                <w:tcPr>
                  <w:tcW w:w="2069" w:type="dxa"/>
                  <w:vAlign w:val="top"/>
                </w:tcPr>
                <w:p>
                  <w:pPr>
                    <w:spacing w:line="280" w:lineRule="exact"/>
                    <w:rPr>
                      <w:rFonts w:hint="eastAsia"/>
                      <w:color w:val="auto"/>
                      <w:lang w:val="en-US" w:eastAsia="zh-CN"/>
                    </w:rPr>
                  </w:pPr>
                  <w:r>
                    <w:rPr>
                      <w:rFonts w:hint="eastAsia"/>
                      <w:color w:val="auto"/>
                      <w:lang w:val="en-US" w:eastAsia="zh-CN"/>
                    </w:rPr>
                    <w:t>2026年6月</w:t>
                  </w:r>
                </w:p>
              </w:tc>
              <w:tc>
                <w:tcPr>
                  <w:tcW w:w="1848" w:type="dxa"/>
                  <w:vAlign w:val="top"/>
                </w:tcPr>
                <w:p>
                  <w:pPr>
                    <w:spacing w:line="280" w:lineRule="exact"/>
                    <w:rPr>
                      <w:rFonts w:hint="eastAsia"/>
                      <w:color w:val="auto"/>
                      <w:lang w:val="en-US" w:eastAsia="zh-CN"/>
                    </w:rPr>
                  </w:pPr>
                  <w:r>
                    <w:rPr>
                      <w:rFonts w:hint="eastAsia"/>
                      <w:color w:val="auto"/>
                      <w:lang w:val="en-US" w:eastAsia="zh-CN"/>
                    </w:rPr>
                    <w:sym w:font="Wingdings 2" w:char="0052"/>
                  </w:r>
                  <w:r>
                    <w:rPr>
                      <w:rFonts w:hint="eastAsia"/>
                      <w:color w:val="auto"/>
                      <w:lang w:val="en-US" w:eastAsia="zh-C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294" w:type="dxa"/>
                  <w:vAlign w:val="top"/>
                </w:tcPr>
                <w:p>
                  <w:pPr>
                    <w:spacing w:line="280" w:lineRule="exact"/>
                    <w:rPr>
                      <w:rFonts w:hint="default"/>
                      <w:color w:val="auto"/>
                      <w:lang w:val="en-US" w:eastAsia="zh-CN"/>
                    </w:rPr>
                  </w:pPr>
                  <w:r>
                    <w:rPr>
                      <w:rFonts w:hint="eastAsia"/>
                      <w:color w:val="auto"/>
                      <w:lang w:val="en-US" w:eastAsia="zh-CN"/>
                    </w:rPr>
                    <w:t>安全生产负责人</w:t>
                  </w:r>
                </w:p>
              </w:tc>
              <w:tc>
                <w:tcPr>
                  <w:tcW w:w="985" w:type="dxa"/>
                  <w:vAlign w:val="center"/>
                </w:tcPr>
                <w:p>
                  <w:pPr>
                    <w:spacing w:line="280" w:lineRule="exact"/>
                    <w:rPr>
                      <w:rFonts w:hint="default"/>
                      <w:color w:val="auto"/>
                      <w:lang w:val="en-US" w:eastAsia="zh-CN"/>
                    </w:rPr>
                  </w:pPr>
                  <w:r>
                    <w:rPr>
                      <w:rFonts w:hint="eastAsia"/>
                      <w:color w:val="auto"/>
                      <w:lang w:val="en-US" w:eastAsia="zh-CN"/>
                    </w:rPr>
                    <w:t>朱建平</w:t>
                  </w:r>
                </w:p>
              </w:tc>
              <w:tc>
                <w:tcPr>
                  <w:tcW w:w="2471" w:type="dxa"/>
                  <w:vAlign w:val="center"/>
                </w:tcPr>
                <w:p>
                  <w:pPr>
                    <w:spacing w:line="280" w:lineRule="exact"/>
                    <w:rPr>
                      <w:rFonts w:hint="default"/>
                      <w:color w:val="auto"/>
                      <w:lang w:val="en-US" w:eastAsia="zh-CN"/>
                    </w:rPr>
                  </w:pPr>
                  <w:r>
                    <w:rPr>
                      <w:rFonts w:hint="eastAsia"/>
                      <w:color w:val="auto"/>
                      <w:lang w:val="en-US" w:eastAsia="zh-CN"/>
                    </w:rPr>
                    <w:t>412727197912125016</w:t>
                  </w:r>
                </w:p>
              </w:tc>
              <w:tc>
                <w:tcPr>
                  <w:tcW w:w="2069" w:type="dxa"/>
                  <w:vAlign w:val="top"/>
                </w:tcPr>
                <w:p>
                  <w:pPr>
                    <w:spacing w:line="280" w:lineRule="exact"/>
                    <w:rPr>
                      <w:rFonts w:hint="default"/>
                      <w:color w:val="auto"/>
                      <w:lang w:val="en-US" w:eastAsia="zh-CN"/>
                    </w:rPr>
                  </w:pPr>
                  <w:r>
                    <w:rPr>
                      <w:rFonts w:hint="eastAsia"/>
                      <w:color w:val="auto"/>
                      <w:lang w:val="en-US" w:eastAsia="zh-CN"/>
                    </w:rPr>
                    <w:t>2024年11月8日</w:t>
                  </w:r>
                </w:p>
              </w:tc>
              <w:tc>
                <w:tcPr>
                  <w:tcW w:w="1848" w:type="dxa"/>
                  <w:vAlign w:val="top"/>
                </w:tcPr>
                <w:p>
                  <w:pPr>
                    <w:spacing w:line="280" w:lineRule="exact"/>
                    <w:rPr>
                      <w:rFonts w:hint="eastAsia"/>
                      <w:color w:val="auto"/>
                      <w:lang w:val="en-US" w:eastAsia="zh-CN"/>
                    </w:rPr>
                  </w:pPr>
                  <w:r>
                    <w:rPr>
                      <w:rFonts w:hint="eastAsia"/>
                      <w:color w:val="auto"/>
                      <w:lang w:val="en-US" w:eastAsia="zh-CN"/>
                    </w:rPr>
                    <w:sym w:font="Wingdings 2" w:char="0052"/>
                  </w:r>
                  <w:r>
                    <w:rPr>
                      <w:rFonts w:hint="eastAsia"/>
                      <w:color w:val="auto"/>
                      <w:lang w:val="en-US" w:eastAsia="zh-C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294" w:type="dxa"/>
                  <w:vAlign w:val="top"/>
                </w:tcPr>
                <w:p>
                  <w:pPr>
                    <w:spacing w:line="280" w:lineRule="exact"/>
                    <w:rPr>
                      <w:rFonts w:hint="default"/>
                      <w:color w:val="auto"/>
                      <w:lang w:val="en-US" w:eastAsia="zh-CN"/>
                    </w:rPr>
                  </w:pPr>
                  <w:r>
                    <w:rPr>
                      <w:rFonts w:hint="eastAsia"/>
                      <w:color w:val="auto"/>
                      <w:lang w:val="en-US" w:eastAsia="zh-CN"/>
                    </w:rPr>
                    <w:t>安全生产管理员</w:t>
                  </w:r>
                </w:p>
              </w:tc>
              <w:tc>
                <w:tcPr>
                  <w:tcW w:w="985" w:type="dxa"/>
                  <w:vAlign w:val="center"/>
                </w:tcPr>
                <w:p>
                  <w:pPr>
                    <w:spacing w:line="280" w:lineRule="exact"/>
                    <w:rPr>
                      <w:rFonts w:hint="eastAsia"/>
                      <w:color w:val="auto"/>
                      <w:lang w:val="en-US" w:eastAsia="zh-CN"/>
                    </w:rPr>
                  </w:pPr>
                  <w:r>
                    <w:rPr>
                      <w:rFonts w:hint="eastAsia"/>
                      <w:color w:val="auto"/>
                      <w:lang w:val="en-US" w:eastAsia="zh-CN"/>
                    </w:rPr>
                    <w:t>桑磊</w:t>
                  </w:r>
                </w:p>
              </w:tc>
              <w:tc>
                <w:tcPr>
                  <w:tcW w:w="2471" w:type="dxa"/>
                  <w:vAlign w:val="center"/>
                </w:tcPr>
                <w:p>
                  <w:pPr>
                    <w:spacing w:line="280" w:lineRule="exact"/>
                    <w:rPr>
                      <w:rFonts w:hint="default"/>
                      <w:color w:val="auto"/>
                      <w:lang w:val="en-US" w:eastAsia="zh-CN"/>
                    </w:rPr>
                  </w:pPr>
                  <w:r>
                    <w:rPr>
                      <w:rFonts w:hint="eastAsia"/>
                      <w:color w:val="auto"/>
                      <w:lang w:val="en-US" w:eastAsia="zh-CN"/>
                    </w:rPr>
                    <w:t>342401198308286733</w:t>
                  </w:r>
                </w:p>
              </w:tc>
              <w:tc>
                <w:tcPr>
                  <w:tcW w:w="2069" w:type="dxa"/>
                  <w:vAlign w:val="top"/>
                </w:tcPr>
                <w:p>
                  <w:pPr>
                    <w:spacing w:line="280" w:lineRule="exact"/>
                    <w:rPr>
                      <w:rFonts w:hint="eastAsia"/>
                      <w:color w:val="auto"/>
                      <w:lang w:val="en-US" w:eastAsia="zh-CN"/>
                    </w:rPr>
                  </w:pPr>
                  <w:r>
                    <w:rPr>
                      <w:rFonts w:hint="eastAsia"/>
                      <w:color w:val="auto"/>
                      <w:lang w:val="en-US" w:eastAsia="zh-CN"/>
                    </w:rPr>
                    <w:t>2024年11月22日</w:t>
                  </w:r>
                </w:p>
              </w:tc>
              <w:tc>
                <w:tcPr>
                  <w:tcW w:w="1848" w:type="dxa"/>
                  <w:vAlign w:val="top"/>
                </w:tcPr>
                <w:p>
                  <w:pPr>
                    <w:spacing w:line="280" w:lineRule="exact"/>
                    <w:rPr>
                      <w:rFonts w:hint="eastAsia"/>
                      <w:color w:val="auto"/>
                      <w:lang w:val="en-US" w:eastAsia="zh-CN"/>
                    </w:rPr>
                  </w:pPr>
                  <w:r>
                    <w:rPr>
                      <w:rFonts w:hint="eastAsia"/>
                      <w:color w:val="auto"/>
                      <w:lang w:val="en-US" w:eastAsia="zh-CN"/>
                    </w:rPr>
                    <w:sym w:font="Wingdings 2" w:char="0052"/>
                  </w:r>
                  <w:r>
                    <w:rPr>
                      <w:rFonts w:hint="eastAsia"/>
                      <w:color w:val="auto"/>
                      <w:lang w:val="en-US" w:eastAsia="zh-C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294" w:type="dxa"/>
                  <w:vAlign w:val="top"/>
                </w:tcPr>
                <w:p>
                  <w:pPr>
                    <w:spacing w:line="280" w:lineRule="exact"/>
                    <w:rPr>
                      <w:rFonts w:hint="default"/>
                      <w:color w:val="auto"/>
                      <w:lang w:val="en-US" w:eastAsia="zh-CN"/>
                    </w:rPr>
                  </w:pPr>
                  <w:r>
                    <w:rPr>
                      <w:rFonts w:hint="eastAsia"/>
                      <w:color w:val="auto"/>
                      <w:lang w:val="en-US" w:eastAsia="zh-CN"/>
                    </w:rPr>
                    <w:t>低压电工</w:t>
                  </w:r>
                </w:p>
              </w:tc>
              <w:tc>
                <w:tcPr>
                  <w:tcW w:w="985" w:type="dxa"/>
                  <w:vAlign w:val="center"/>
                </w:tcPr>
                <w:p>
                  <w:pPr>
                    <w:spacing w:line="280" w:lineRule="exact"/>
                    <w:rPr>
                      <w:rFonts w:hint="default"/>
                      <w:color w:val="auto"/>
                      <w:lang w:val="en-US" w:eastAsia="zh-CN"/>
                    </w:rPr>
                  </w:pPr>
                  <w:r>
                    <w:rPr>
                      <w:rFonts w:hint="eastAsia"/>
                      <w:color w:val="auto"/>
                      <w:lang w:val="en-US" w:eastAsia="zh-CN"/>
                    </w:rPr>
                    <w:t>孙成成</w:t>
                  </w:r>
                </w:p>
              </w:tc>
              <w:tc>
                <w:tcPr>
                  <w:tcW w:w="2471" w:type="dxa"/>
                  <w:vAlign w:val="center"/>
                </w:tcPr>
                <w:p>
                  <w:pPr>
                    <w:spacing w:line="280" w:lineRule="exact"/>
                    <w:rPr>
                      <w:rFonts w:hint="default"/>
                      <w:color w:val="auto"/>
                      <w:lang w:val="en-US" w:eastAsia="zh-CN"/>
                    </w:rPr>
                  </w:pPr>
                  <w:r>
                    <w:rPr>
                      <w:rFonts w:hint="eastAsia"/>
                      <w:color w:val="auto"/>
                      <w:lang w:val="en-US" w:eastAsia="zh-CN"/>
                    </w:rPr>
                    <w:t>T330183199512085612</w:t>
                  </w:r>
                </w:p>
              </w:tc>
              <w:tc>
                <w:tcPr>
                  <w:tcW w:w="2069" w:type="dxa"/>
                  <w:vAlign w:val="top"/>
                </w:tcPr>
                <w:p>
                  <w:pPr>
                    <w:spacing w:line="280" w:lineRule="exact"/>
                    <w:rPr>
                      <w:rFonts w:hint="eastAsia"/>
                      <w:color w:val="auto"/>
                      <w:lang w:val="en-US" w:eastAsia="zh-CN"/>
                    </w:rPr>
                  </w:pPr>
                  <w:r>
                    <w:rPr>
                      <w:rFonts w:hint="eastAsia"/>
                      <w:color w:val="auto"/>
                      <w:lang w:val="en-US" w:eastAsia="zh-CN"/>
                    </w:rPr>
                    <w:t>2028年7月26日</w:t>
                  </w:r>
                </w:p>
              </w:tc>
              <w:tc>
                <w:tcPr>
                  <w:tcW w:w="1848" w:type="dxa"/>
                  <w:vAlign w:val="top"/>
                </w:tcPr>
                <w:p>
                  <w:pPr>
                    <w:spacing w:line="280" w:lineRule="exact"/>
                    <w:rPr>
                      <w:rFonts w:hint="eastAsia"/>
                      <w:color w:val="auto"/>
                      <w:lang w:val="en-US" w:eastAsia="zh-CN"/>
                    </w:rPr>
                  </w:pPr>
                  <w:r>
                    <w:rPr>
                      <w:rFonts w:hint="eastAsia"/>
                      <w:color w:val="auto"/>
                      <w:lang w:val="en-US" w:eastAsia="zh-CN"/>
                    </w:rPr>
                    <w:sym w:font="Wingdings 2" w:char="0052"/>
                  </w:r>
                  <w:r>
                    <w:rPr>
                      <w:rFonts w:hint="eastAsia"/>
                      <w:color w:val="auto"/>
                      <w:lang w:val="en-US" w:eastAsia="zh-CN"/>
                    </w:rPr>
                    <w:t>有效  □过期</w:t>
                  </w:r>
                </w:p>
              </w:tc>
            </w:tr>
          </w:tbl>
          <w:p>
            <w:pPr>
              <w:ind w:firstLine="420" w:firstLineChars="200"/>
              <w:rPr>
                <w:rFonts w:hint="eastAsia"/>
                <w:lang w:val="en-US" w:eastAsia="zh-CN"/>
              </w:rPr>
            </w:pPr>
            <w:r>
              <w:rPr>
                <w:rFonts w:hint="eastAsia"/>
                <w:lang w:val="en-US" w:eastAsia="zh-CN"/>
              </w:rPr>
              <w:t>办公室阳叶琴介绍：组织通过培训学习、宣传等方法使在组织控制范围内的相关工作人员了解到：环境和职业健康安全方针的意义；熟悉相关的环境和职业健康安全目标；员工对环境和职业健康安全管理体系有效性的贡献包括改进相应绩效的益处；不符合环境和职业健康安全管理体系要求的后果。</w:t>
            </w:r>
          </w:p>
          <w:p>
            <w:pPr>
              <w:spacing w:line="280" w:lineRule="exact"/>
              <w:ind w:firstLine="420" w:firstLineChars="200"/>
              <w:rPr>
                <w:rFonts w:hint="eastAsia" w:ascii="宋体" w:hAnsi="宋体" w:cs="宋体"/>
                <w:szCs w:val="21"/>
              </w:rPr>
            </w:pPr>
            <w:r>
              <w:rPr>
                <w:rFonts w:hint="eastAsia" w:ascii="华文细黑" w:hAnsi="华文细黑" w:eastAsia="华文细黑" w:cs="华文细黑"/>
                <w:sz w:val="21"/>
                <w:szCs w:val="21"/>
                <w:lang w:val="en-US" w:eastAsia="zh-CN"/>
              </w:rPr>
              <w:t>组织</w:t>
            </w:r>
            <w:r>
              <w:rPr>
                <w:rFonts w:hint="eastAsia" w:ascii="华文细黑" w:hAnsi="华文细黑" w:cs="华文细黑"/>
                <w:sz w:val="21"/>
                <w:szCs w:val="21"/>
                <w:lang w:val="en-US" w:eastAsia="zh-CN"/>
              </w:rPr>
              <w:t>员工对</w:t>
            </w:r>
            <w:r>
              <w:rPr>
                <w:rFonts w:hint="eastAsia" w:ascii="华文细黑" w:hAnsi="华文细黑" w:eastAsia="华文细黑" w:cs="华文细黑"/>
                <w:sz w:val="21"/>
                <w:szCs w:val="21"/>
                <w:lang w:val="en-US" w:eastAsia="zh-CN"/>
              </w:rPr>
              <w:t>方针和所在工作岗位的目标基本熟悉，也了解自己的工作效益会影响组织环境</w:t>
            </w:r>
            <w:r>
              <w:rPr>
                <w:rFonts w:hint="eastAsia" w:ascii="华文细黑" w:hAnsi="华文细黑" w:cs="华文细黑"/>
                <w:sz w:val="21"/>
                <w:szCs w:val="21"/>
                <w:lang w:val="en-US" w:eastAsia="zh-CN"/>
              </w:rPr>
              <w:t>和职业健康安全</w:t>
            </w:r>
            <w:r>
              <w:rPr>
                <w:rFonts w:hint="eastAsia" w:ascii="华文细黑" w:hAnsi="华文细黑" w:eastAsia="华文细黑" w:cs="华文细黑"/>
                <w:sz w:val="21"/>
                <w:szCs w:val="21"/>
                <w:lang w:val="en-US" w:eastAsia="zh-CN"/>
              </w:rPr>
              <w:t>管理体系的有效运行。</w:t>
            </w:r>
            <w:r>
              <w:rPr>
                <w:rFonts w:hint="eastAsia" w:ascii="华文细黑" w:hAnsi="华文细黑" w:cs="华文细黑"/>
                <w:sz w:val="21"/>
                <w:szCs w:val="21"/>
                <w:lang w:val="en-US" w:eastAsia="zh-CN"/>
              </w:rPr>
              <w:t>基本符合要求。</w:t>
            </w:r>
          </w:p>
        </w:tc>
        <w:tc>
          <w:tcPr>
            <w:tcW w:w="1585" w:type="dxa"/>
            <w:vAlign w:val="top"/>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vAlign w:val="top"/>
          </w:tcPr>
          <w:p>
            <w:pPr>
              <w:bidi w:val="0"/>
              <w:rPr>
                <w:rFonts w:hint="default"/>
                <w:lang w:val="en-US" w:eastAsia="zh-CN"/>
              </w:rPr>
            </w:pPr>
            <w:r>
              <w:rPr>
                <w:rFonts w:hint="eastAsia"/>
                <w:lang w:val="en-US" w:eastAsia="zh-CN"/>
              </w:rPr>
              <w:t>沟通管理</w:t>
            </w:r>
          </w:p>
        </w:tc>
        <w:tc>
          <w:tcPr>
            <w:tcW w:w="998" w:type="dxa"/>
            <w:vAlign w:val="top"/>
          </w:tcPr>
          <w:p>
            <w:pPr>
              <w:bidi w:val="0"/>
              <w:rPr>
                <w:rFonts w:hint="default"/>
                <w:lang w:val="en-US" w:eastAsia="zh-CN"/>
              </w:rPr>
            </w:pPr>
            <w:r>
              <w:rPr>
                <w:rFonts w:hint="eastAsia"/>
                <w:lang w:val="en-US" w:eastAsia="zh-CN"/>
              </w:rPr>
              <w:t>EO7.4</w:t>
            </w:r>
          </w:p>
        </w:tc>
        <w:tc>
          <w:tcPr>
            <w:tcW w:w="10004" w:type="dxa"/>
            <w:vAlign w:val="center"/>
          </w:tcPr>
          <w:p>
            <w:pPr>
              <w:ind w:firstLine="420" w:firstLineChars="200"/>
              <w:jc w:val="left"/>
              <w:rPr>
                <w:rFonts w:hint="eastAsia" w:ascii="华文细黑" w:hAnsi="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组织按照《</w:t>
            </w:r>
            <w:r>
              <w:rPr>
                <w:rFonts w:hint="eastAsia" w:ascii="华文细黑" w:hAnsi="华文细黑" w:cs="华文细黑"/>
                <w:bCs w:val="0"/>
                <w:spacing w:val="0"/>
                <w:kern w:val="2"/>
                <w:sz w:val="21"/>
                <w:szCs w:val="21"/>
                <w:lang w:val="en-US" w:eastAsia="zh-CN" w:bidi="ar-SA"/>
              </w:rPr>
              <w:t>信息交流管理</w:t>
            </w:r>
            <w:r>
              <w:rPr>
                <w:rFonts w:hint="eastAsia" w:ascii="华文细黑" w:hAnsi="华文细黑" w:eastAsia="华文细黑" w:cs="华文细黑"/>
                <w:bCs w:val="0"/>
                <w:spacing w:val="0"/>
                <w:kern w:val="2"/>
                <w:sz w:val="21"/>
                <w:szCs w:val="21"/>
                <w:lang w:val="en-US" w:eastAsia="zh-CN" w:bidi="ar-SA"/>
              </w:rPr>
              <w:t>程序》对沟通过程进行控制</w:t>
            </w:r>
            <w:r>
              <w:rPr>
                <w:rFonts w:hint="eastAsia" w:ascii="华文细黑" w:hAnsi="华文细黑" w:cs="华文细黑"/>
                <w:bCs w:val="0"/>
                <w:spacing w:val="0"/>
                <w:kern w:val="2"/>
                <w:sz w:val="21"/>
                <w:szCs w:val="21"/>
                <w:lang w:val="en-US" w:eastAsia="zh-CN" w:bidi="ar-SA"/>
              </w:rPr>
              <w:t>。</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cs="华文细黑"/>
                <w:bCs w:val="0"/>
                <w:spacing w:val="0"/>
                <w:kern w:val="2"/>
                <w:sz w:val="21"/>
                <w:szCs w:val="21"/>
                <w:lang w:val="en-US" w:eastAsia="zh-CN" w:bidi="ar-SA"/>
              </w:rPr>
              <w:t>从办公室了解到：1.组织</w:t>
            </w:r>
            <w:r>
              <w:rPr>
                <w:rFonts w:hint="eastAsia" w:ascii="华文细黑" w:hAnsi="华文细黑" w:eastAsia="华文细黑" w:cs="华文细黑"/>
                <w:bCs w:val="0"/>
                <w:spacing w:val="0"/>
                <w:kern w:val="2"/>
                <w:sz w:val="21"/>
                <w:szCs w:val="21"/>
                <w:lang w:val="en-US" w:eastAsia="zh-CN" w:bidi="ar-SA"/>
              </w:rPr>
              <w:t>内部沟通的内容</w:t>
            </w:r>
            <w:r>
              <w:rPr>
                <w:rFonts w:hint="eastAsia" w:ascii="华文细黑" w:hAnsi="华文细黑" w:cs="华文细黑"/>
                <w:bCs w:val="0"/>
                <w:spacing w:val="0"/>
                <w:kern w:val="2"/>
                <w:sz w:val="21"/>
                <w:szCs w:val="21"/>
                <w:lang w:val="en-US" w:eastAsia="zh-CN" w:bidi="ar-SA"/>
              </w:rPr>
              <w:t>主要包括：</w:t>
            </w:r>
            <w:r>
              <w:rPr>
                <w:rFonts w:hint="eastAsia" w:ascii="华文细黑" w:hAnsi="华文细黑" w:eastAsia="华文细黑" w:cs="华文细黑"/>
                <w:bCs w:val="0"/>
                <w:spacing w:val="0"/>
                <w:kern w:val="2"/>
                <w:sz w:val="21"/>
                <w:szCs w:val="21"/>
                <w:lang w:val="en-US" w:eastAsia="zh-CN" w:bidi="ar-SA"/>
              </w:rPr>
              <w:t>管理方针、目标、职责的沟通和传达；</w:t>
            </w:r>
            <w:r>
              <w:rPr>
                <w:rFonts w:hint="eastAsia" w:ascii="华文细黑" w:hAnsi="华文细黑" w:cs="华文细黑"/>
                <w:bCs w:val="0"/>
                <w:spacing w:val="0"/>
                <w:kern w:val="2"/>
                <w:sz w:val="21"/>
                <w:szCs w:val="21"/>
                <w:lang w:val="en-US" w:eastAsia="zh-CN" w:bidi="ar-SA"/>
              </w:rPr>
              <w:t>内外部</w:t>
            </w:r>
            <w:r>
              <w:rPr>
                <w:rFonts w:hint="eastAsia" w:ascii="华文细黑" w:hAnsi="华文细黑" w:eastAsia="华文细黑" w:cs="华文细黑"/>
                <w:bCs w:val="0"/>
                <w:spacing w:val="0"/>
                <w:kern w:val="2"/>
                <w:sz w:val="21"/>
                <w:szCs w:val="21"/>
                <w:lang w:val="en-US" w:eastAsia="zh-CN" w:bidi="ar-SA"/>
              </w:rPr>
              <w:t>环境和相关方分析信息</w:t>
            </w:r>
            <w:r>
              <w:rPr>
                <w:rFonts w:hint="eastAsia" w:ascii="华文细黑" w:hAnsi="华文细黑" w:cs="华文细黑"/>
                <w:bCs w:val="0"/>
                <w:spacing w:val="0"/>
                <w:kern w:val="2"/>
                <w:sz w:val="21"/>
                <w:szCs w:val="21"/>
                <w:lang w:val="en-US" w:eastAsia="zh-CN" w:bidi="ar-SA"/>
              </w:rPr>
              <w:t>；生产活动中的质量信息</w:t>
            </w:r>
            <w:r>
              <w:rPr>
                <w:rFonts w:hint="eastAsia" w:ascii="华文细黑" w:hAnsi="华文细黑" w:eastAsia="华文细黑" w:cs="华文细黑"/>
                <w:bCs w:val="0"/>
                <w:spacing w:val="0"/>
                <w:kern w:val="2"/>
                <w:sz w:val="21"/>
                <w:szCs w:val="21"/>
                <w:lang w:val="en-US" w:eastAsia="zh-CN" w:bidi="ar-SA"/>
              </w:rPr>
              <w:t>；相关法律法规和其他要求的传达；顾客、员工及其他相关方要求的传递；其他信息传递</w:t>
            </w:r>
            <w:r>
              <w:rPr>
                <w:rFonts w:hint="eastAsia" w:ascii="华文细黑" w:hAnsi="华文细黑" w:cs="华文细黑"/>
                <w:bCs w:val="0"/>
                <w:spacing w:val="0"/>
                <w:kern w:val="2"/>
                <w:sz w:val="21"/>
                <w:szCs w:val="21"/>
                <w:lang w:val="en-US" w:eastAsia="zh-CN" w:bidi="ar-SA"/>
              </w:rPr>
              <w:t>；2.</w:t>
            </w:r>
            <w:r>
              <w:rPr>
                <w:rFonts w:hint="eastAsia" w:ascii="华文细黑" w:hAnsi="华文细黑" w:eastAsia="华文细黑" w:cs="华文细黑"/>
                <w:bCs w:val="0"/>
                <w:spacing w:val="0"/>
                <w:kern w:val="2"/>
                <w:sz w:val="21"/>
                <w:szCs w:val="21"/>
                <w:lang w:val="en-US" w:eastAsia="zh-CN" w:bidi="ar-SA"/>
              </w:rPr>
              <w:t>其外部沟通的内容主要包括：向顾客、供方等相关方宣传组织的管理方针和管理要求；传递相关方要求的变更信息；接收、处理和答复相关方关注的</w:t>
            </w:r>
            <w:r>
              <w:rPr>
                <w:rFonts w:hint="eastAsia" w:ascii="华文细黑" w:hAnsi="华文细黑" w:cs="华文细黑"/>
                <w:bCs w:val="0"/>
                <w:spacing w:val="0"/>
                <w:kern w:val="2"/>
                <w:sz w:val="21"/>
                <w:szCs w:val="21"/>
                <w:lang w:val="en-US" w:eastAsia="zh-CN" w:bidi="ar-SA"/>
              </w:rPr>
              <w:t>质量</w:t>
            </w:r>
            <w:r>
              <w:rPr>
                <w:rFonts w:hint="eastAsia" w:ascii="华文细黑" w:hAnsi="华文细黑" w:eastAsia="华文细黑" w:cs="华文细黑"/>
                <w:bCs w:val="0"/>
                <w:spacing w:val="0"/>
                <w:kern w:val="2"/>
                <w:sz w:val="21"/>
                <w:szCs w:val="21"/>
                <w:lang w:val="en-US" w:eastAsia="zh-CN" w:bidi="ar-SA"/>
              </w:rPr>
              <w:t>问题；与供方、顾客业务处理过程中</w:t>
            </w:r>
            <w:r>
              <w:rPr>
                <w:rFonts w:hint="eastAsia" w:ascii="华文细黑" w:hAnsi="华文细黑" w:cs="华文细黑"/>
                <w:bCs w:val="0"/>
                <w:spacing w:val="0"/>
                <w:kern w:val="2"/>
                <w:sz w:val="21"/>
                <w:szCs w:val="21"/>
                <w:lang w:val="en-US" w:eastAsia="zh-CN" w:bidi="ar-SA"/>
              </w:rPr>
              <w:t>的</w:t>
            </w:r>
            <w:r>
              <w:rPr>
                <w:rFonts w:hint="eastAsia" w:ascii="华文细黑" w:hAnsi="华文细黑" w:eastAsia="华文细黑" w:cs="华文细黑"/>
                <w:bCs w:val="0"/>
                <w:spacing w:val="0"/>
                <w:kern w:val="2"/>
                <w:sz w:val="21"/>
                <w:szCs w:val="21"/>
                <w:lang w:val="en-US" w:eastAsia="zh-CN" w:bidi="ar-SA"/>
              </w:rPr>
              <w:t>信息沟通；与主管部门在监督检查中的沟通等。</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沟通方式包括：1.内部：参与方针、目标和相关文件的制定、体系文件的宣贯、内部审核和管理评审及宣传栏、口头（电话）、</w:t>
            </w:r>
            <w:r>
              <w:rPr>
                <w:rFonts w:hint="eastAsia" w:ascii="华文细黑" w:hAnsi="华文细黑" w:cs="华文细黑"/>
                <w:bCs w:val="0"/>
                <w:spacing w:val="0"/>
                <w:kern w:val="2"/>
                <w:sz w:val="21"/>
                <w:szCs w:val="21"/>
                <w:lang w:val="en-US" w:eastAsia="zh-CN" w:bidi="ar-SA"/>
              </w:rPr>
              <w:t>质检单（纸质）等</w:t>
            </w:r>
            <w:r>
              <w:rPr>
                <w:rFonts w:hint="eastAsia" w:ascii="华文细黑" w:hAnsi="华文细黑" w:eastAsia="华文细黑" w:cs="华文细黑"/>
                <w:bCs w:val="0"/>
                <w:spacing w:val="0"/>
                <w:kern w:val="2"/>
                <w:sz w:val="21"/>
                <w:szCs w:val="21"/>
                <w:lang w:val="en-US" w:eastAsia="zh-CN" w:bidi="ar-SA"/>
              </w:rPr>
              <w:t>；2.外部：招投标活动、签订合同、参与产品交付验收、</w:t>
            </w:r>
            <w:r>
              <w:rPr>
                <w:rFonts w:hint="eastAsia" w:ascii="华文细黑" w:hAnsi="华文细黑" w:cs="华文细黑"/>
                <w:bCs w:val="0"/>
                <w:spacing w:val="0"/>
                <w:kern w:val="2"/>
                <w:sz w:val="21"/>
                <w:szCs w:val="21"/>
                <w:lang w:val="en-US" w:eastAsia="zh-CN" w:bidi="ar-SA"/>
              </w:rPr>
              <w:t>售后</w:t>
            </w:r>
            <w:r>
              <w:rPr>
                <w:rFonts w:hint="eastAsia" w:ascii="华文细黑" w:hAnsi="华文细黑" w:eastAsia="华文细黑" w:cs="华文细黑"/>
                <w:bCs w:val="0"/>
                <w:spacing w:val="0"/>
                <w:kern w:val="2"/>
                <w:sz w:val="21"/>
                <w:szCs w:val="21"/>
                <w:lang w:val="en-US" w:eastAsia="zh-CN" w:bidi="ar-SA"/>
              </w:rPr>
              <w:t>要求及回访、投诉等。</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抽查内部沟通案例：</w:t>
            </w:r>
            <w:r>
              <w:rPr>
                <w:rFonts w:hint="eastAsia" w:ascii="华文细黑" w:hAnsi="华文细黑" w:cs="华文细黑"/>
                <w:bCs w:val="0"/>
                <w:spacing w:val="0"/>
                <w:kern w:val="2"/>
                <w:sz w:val="21"/>
                <w:szCs w:val="21"/>
                <w:lang w:val="en-US" w:eastAsia="zh-CN" w:bidi="ar-SA"/>
              </w:rPr>
              <w:t>管理者代表任命书</w:t>
            </w:r>
            <w:r>
              <w:rPr>
                <w:rFonts w:hint="eastAsia" w:ascii="华文细黑" w:hAnsi="华文细黑" w:eastAsia="华文细黑" w:cs="华文细黑"/>
                <w:bCs w:val="0"/>
                <w:spacing w:val="0"/>
                <w:kern w:val="2"/>
                <w:sz w:val="21"/>
                <w:szCs w:val="21"/>
                <w:lang w:val="en-US" w:eastAsia="zh-CN" w:bidi="ar-SA"/>
              </w:rPr>
              <w:t>，主要内容为选举</w:t>
            </w:r>
            <w:r>
              <w:rPr>
                <w:rFonts w:hint="eastAsia" w:ascii="华文细黑" w:hAnsi="华文细黑" w:cs="华文细黑"/>
                <w:bCs w:val="0"/>
                <w:spacing w:val="0"/>
                <w:kern w:val="2"/>
                <w:sz w:val="21"/>
                <w:szCs w:val="21"/>
                <w:lang w:val="en-US" w:eastAsia="zh-CN" w:bidi="ar-SA"/>
              </w:rPr>
              <w:t>沈国锦</w:t>
            </w:r>
            <w:r>
              <w:rPr>
                <w:rFonts w:hint="eastAsia" w:ascii="华文细黑" w:hAnsi="华文细黑" w:eastAsia="华文细黑" w:cs="华文细黑"/>
                <w:bCs w:val="0"/>
                <w:spacing w:val="0"/>
                <w:kern w:val="2"/>
                <w:sz w:val="21"/>
                <w:szCs w:val="21"/>
                <w:lang w:val="en-US" w:eastAsia="zh-CN" w:bidi="ar-SA"/>
              </w:rPr>
              <w:t>为</w:t>
            </w:r>
            <w:r>
              <w:rPr>
                <w:rFonts w:hint="eastAsia" w:ascii="华文细黑" w:hAnsi="华文细黑" w:cs="华文细黑"/>
                <w:bCs w:val="0"/>
                <w:spacing w:val="0"/>
                <w:kern w:val="2"/>
                <w:sz w:val="21"/>
                <w:szCs w:val="21"/>
                <w:lang w:val="en-US" w:eastAsia="zh-CN" w:bidi="ar-SA"/>
              </w:rPr>
              <w:t>管理者</w:t>
            </w:r>
            <w:r>
              <w:rPr>
                <w:rFonts w:hint="eastAsia" w:ascii="华文细黑" w:hAnsi="华文细黑" w:eastAsia="华文细黑" w:cs="华文细黑"/>
                <w:bCs w:val="0"/>
                <w:spacing w:val="0"/>
                <w:kern w:val="2"/>
                <w:sz w:val="21"/>
                <w:szCs w:val="21"/>
                <w:lang w:val="en-US" w:eastAsia="zh-CN" w:bidi="ar-SA"/>
              </w:rPr>
              <w:t>代表，授予其相关责权内容；授权</w:t>
            </w:r>
            <w:r>
              <w:rPr>
                <w:rFonts w:hint="eastAsia" w:ascii="华文细黑" w:hAnsi="华文细黑" w:cs="华文细黑"/>
                <w:bCs w:val="0"/>
                <w:spacing w:val="0"/>
                <w:kern w:val="2"/>
                <w:sz w:val="21"/>
                <w:szCs w:val="21"/>
                <w:lang w:val="en-US" w:eastAsia="zh-CN" w:bidi="ar-SA"/>
              </w:rPr>
              <w:t>人</w:t>
            </w:r>
            <w:r>
              <w:rPr>
                <w:rFonts w:hint="eastAsia" w:ascii="华文细黑" w:hAnsi="华文细黑" w:eastAsia="华文细黑" w:cs="华文细黑"/>
                <w:bCs w:val="0"/>
                <w:spacing w:val="0"/>
                <w:kern w:val="2"/>
                <w:sz w:val="21"/>
                <w:szCs w:val="21"/>
                <w:lang w:val="en-US" w:eastAsia="zh-CN" w:bidi="ar-SA"/>
              </w:rPr>
              <w:t>：</w:t>
            </w:r>
            <w:r>
              <w:rPr>
                <w:rFonts w:hint="eastAsia" w:ascii="华文细黑" w:hAnsi="华文细黑" w:cs="华文细黑"/>
                <w:bCs w:val="0"/>
                <w:spacing w:val="0"/>
                <w:kern w:val="2"/>
                <w:sz w:val="21"/>
                <w:szCs w:val="21"/>
                <w:lang w:val="en-US" w:eastAsia="zh-CN" w:bidi="ar-SA"/>
              </w:rPr>
              <w:t>贺行华</w:t>
            </w:r>
            <w:r>
              <w:rPr>
                <w:rFonts w:hint="eastAsia" w:ascii="华文细黑" w:hAnsi="华文细黑" w:eastAsia="华文细黑" w:cs="华文细黑"/>
                <w:bCs w:val="0"/>
                <w:spacing w:val="0"/>
                <w:kern w:val="2"/>
                <w:sz w:val="21"/>
                <w:szCs w:val="21"/>
                <w:lang w:val="en-US" w:eastAsia="zh-CN" w:bidi="ar-SA"/>
              </w:rPr>
              <w:t>；日期：20</w:t>
            </w:r>
            <w:r>
              <w:rPr>
                <w:rFonts w:hint="eastAsia" w:ascii="华文细黑" w:hAnsi="华文细黑" w:cs="华文细黑"/>
                <w:bCs w:val="0"/>
                <w:spacing w:val="0"/>
                <w:kern w:val="2"/>
                <w:sz w:val="21"/>
                <w:szCs w:val="21"/>
                <w:lang w:val="en-US" w:eastAsia="zh-CN" w:bidi="ar-SA"/>
              </w:rPr>
              <w:t>22</w:t>
            </w:r>
            <w:r>
              <w:rPr>
                <w:rFonts w:hint="eastAsia" w:ascii="华文细黑" w:hAnsi="华文细黑" w:eastAsia="华文细黑" w:cs="华文细黑"/>
                <w:bCs w:val="0"/>
                <w:spacing w:val="0"/>
                <w:kern w:val="2"/>
                <w:sz w:val="21"/>
                <w:szCs w:val="21"/>
                <w:lang w:val="en-US" w:eastAsia="zh-CN" w:bidi="ar-SA"/>
              </w:rPr>
              <w:t>年</w:t>
            </w:r>
            <w:r>
              <w:rPr>
                <w:rFonts w:hint="eastAsia" w:ascii="华文细黑" w:hAnsi="华文细黑" w:cs="华文细黑"/>
                <w:bCs w:val="0"/>
                <w:spacing w:val="0"/>
                <w:kern w:val="2"/>
                <w:sz w:val="21"/>
                <w:szCs w:val="21"/>
                <w:lang w:val="en-US" w:eastAsia="zh-CN" w:bidi="ar-SA"/>
              </w:rPr>
              <w:t>3</w:t>
            </w:r>
            <w:r>
              <w:rPr>
                <w:rFonts w:hint="eastAsia" w:ascii="华文细黑" w:hAnsi="华文细黑" w:eastAsia="华文细黑" w:cs="华文细黑"/>
                <w:bCs w:val="0"/>
                <w:spacing w:val="0"/>
                <w:kern w:val="2"/>
                <w:sz w:val="21"/>
                <w:szCs w:val="21"/>
                <w:lang w:val="en-US" w:eastAsia="zh-CN" w:bidi="ar-SA"/>
              </w:rPr>
              <w:t>月</w:t>
            </w:r>
            <w:r>
              <w:rPr>
                <w:rFonts w:hint="eastAsia" w:ascii="华文细黑" w:hAnsi="华文细黑" w:cs="华文细黑"/>
                <w:bCs w:val="0"/>
                <w:spacing w:val="0"/>
                <w:kern w:val="2"/>
                <w:sz w:val="21"/>
                <w:szCs w:val="21"/>
                <w:lang w:val="en-US" w:eastAsia="zh-CN" w:bidi="ar-SA"/>
              </w:rPr>
              <w:t>10</w:t>
            </w:r>
            <w:r>
              <w:rPr>
                <w:rFonts w:hint="eastAsia" w:ascii="华文细黑" w:hAnsi="华文细黑" w:eastAsia="华文细黑" w:cs="华文细黑"/>
                <w:bCs w:val="0"/>
                <w:spacing w:val="0"/>
                <w:kern w:val="2"/>
                <w:sz w:val="21"/>
                <w:szCs w:val="21"/>
                <w:lang w:val="en-US" w:eastAsia="zh-CN" w:bidi="ar-SA"/>
              </w:rPr>
              <w:t>日。</w:t>
            </w:r>
          </w:p>
          <w:p>
            <w:pPr>
              <w:ind w:firstLine="420" w:firstLineChars="200"/>
              <w:jc w:val="left"/>
              <w:rPr>
                <w:rFonts w:hint="eastAsia" w:ascii="华文细黑" w:hAnsi="华文细黑" w:cs="华文细黑"/>
                <w:bCs w:val="0"/>
                <w:color w:val="auto"/>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外部沟通案例</w:t>
            </w:r>
            <w:r>
              <w:rPr>
                <w:rFonts w:hint="eastAsia" w:ascii="华文细黑" w:hAnsi="华文细黑" w:cs="华文细黑"/>
                <w:bCs w:val="0"/>
                <w:color w:val="auto"/>
                <w:spacing w:val="0"/>
                <w:kern w:val="2"/>
                <w:sz w:val="21"/>
                <w:szCs w:val="21"/>
                <w:lang w:val="en-US" w:eastAsia="zh-CN" w:bidi="ar-SA"/>
              </w:rPr>
              <w:t>见各部门各活动过程记录。</w:t>
            </w:r>
          </w:p>
          <w:p>
            <w:pPr>
              <w:ind w:firstLine="420" w:firstLineChars="200"/>
              <w:jc w:val="left"/>
              <w:rPr>
                <w:rFonts w:hint="eastAsia" w:ascii="宋体" w:hAnsi="宋体" w:cs="宋体"/>
                <w:szCs w:val="21"/>
              </w:rPr>
            </w:pPr>
            <w:r>
              <w:rPr>
                <w:rFonts w:hint="eastAsia" w:ascii="华文细黑" w:hAnsi="华文细黑" w:eastAsia="华文细黑" w:cs="华文细黑"/>
                <w:bCs w:val="0"/>
                <w:spacing w:val="0"/>
                <w:kern w:val="2"/>
                <w:sz w:val="21"/>
                <w:szCs w:val="21"/>
                <w:lang w:val="en-US" w:eastAsia="zh-CN" w:bidi="ar-SA"/>
              </w:rPr>
              <w:t>内容基本完整</w:t>
            </w:r>
            <w:r>
              <w:rPr>
                <w:rFonts w:hint="eastAsia" w:ascii="华文细黑" w:hAnsi="华文细黑" w:cs="华文细黑"/>
                <w:bCs w:val="0"/>
                <w:spacing w:val="0"/>
                <w:kern w:val="2"/>
                <w:sz w:val="21"/>
                <w:szCs w:val="21"/>
                <w:lang w:val="en-US" w:eastAsia="zh-CN" w:bidi="ar-SA"/>
              </w:rPr>
              <w:t>，</w:t>
            </w:r>
            <w:r>
              <w:rPr>
                <w:rFonts w:hint="eastAsia" w:ascii="华文细黑" w:hAnsi="华文细黑" w:eastAsia="华文细黑" w:cs="华文细黑"/>
                <w:bCs w:val="0"/>
                <w:spacing w:val="0"/>
                <w:kern w:val="2"/>
                <w:sz w:val="21"/>
                <w:szCs w:val="21"/>
                <w:lang w:val="en-US" w:eastAsia="zh-CN" w:bidi="ar-SA"/>
              </w:rPr>
              <w:t>基本能够保证传达。</w:t>
            </w:r>
          </w:p>
        </w:tc>
        <w:tc>
          <w:tcPr>
            <w:tcW w:w="1585" w:type="dxa"/>
            <w:vAlign w:val="top"/>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vAlign w:val="top"/>
          </w:tcPr>
          <w:p>
            <w:pPr>
              <w:bidi w:val="0"/>
              <w:rPr>
                <w:rFonts w:hint="default"/>
                <w:lang w:val="en-US" w:eastAsia="zh-CN"/>
              </w:rPr>
            </w:pPr>
            <w:r>
              <w:rPr>
                <w:rFonts w:hint="eastAsia"/>
                <w:lang w:val="en-US" w:eastAsia="zh-CN"/>
              </w:rPr>
              <w:t>文件管理</w:t>
            </w:r>
          </w:p>
        </w:tc>
        <w:tc>
          <w:tcPr>
            <w:tcW w:w="998" w:type="dxa"/>
            <w:vAlign w:val="top"/>
          </w:tcPr>
          <w:p>
            <w:pPr>
              <w:bidi w:val="0"/>
              <w:rPr>
                <w:rFonts w:hint="default"/>
                <w:lang w:val="en-US" w:eastAsia="zh-CN"/>
              </w:rPr>
            </w:pPr>
            <w:r>
              <w:rPr>
                <w:rFonts w:hint="eastAsia"/>
                <w:lang w:val="en-US" w:eastAsia="zh-CN"/>
              </w:rPr>
              <w:t>EO7.5</w:t>
            </w:r>
          </w:p>
        </w:tc>
        <w:tc>
          <w:tcPr>
            <w:tcW w:w="10004" w:type="dxa"/>
            <w:vAlign w:val="center"/>
          </w:tcPr>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组织形成了文件化的管理手册、程序文件、三级管理制度文件以及所要求的相关记录。编制的程序文件基本符合标准的所有过程控制要求，过程相互关系在手册中作了简图描述，记录表单能够满足目前的体系运行需求。具体如下：</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一级文件：《</w:t>
            </w:r>
            <w:r>
              <w:rPr>
                <w:rFonts w:hint="eastAsia" w:ascii="华文细黑" w:hAnsi="华文细黑" w:cs="华文细黑"/>
                <w:bCs w:val="0"/>
                <w:spacing w:val="0"/>
                <w:kern w:val="2"/>
                <w:sz w:val="21"/>
                <w:szCs w:val="21"/>
                <w:lang w:val="en-US" w:eastAsia="zh-CN" w:bidi="ar-SA"/>
              </w:rPr>
              <w:t>管理</w:t>
            </w:r>
            <w:r>
              <w:rPr>
                <w:rFonts w:hint="eastAsia" w:ascii="华文细黑" w:hAnsi="华文细黑" w:eastAsia="华文细黑" w:cs="华文细黑"/>
                <w:bCs w:val="0"/>
                <w:spacing w:val="0"/>
                <w:kern w:val="2"/>
                <w:sz w:val="21"/>
                <w:szCs w:val="21"/>
                <w:lang w:val="en-US" w:eastAsia="zh-CN" w:bidi="ar-SA"/>
              </w:rPr>
              <w:t>手册》</w:t>
            </w:r>
            <w:r>
              <w:rPr>
                <w:rFonts w:hint="eastAsia" w:ascii="华文细黑" w:hAnsi="华文细黑" w:cs="华文细黑"/>
                <w:bCs w:val="0"/>
                <w:spacing w:val="0"/>
                <w:kern w:val="2"/>
                <w:sz w:val="21"/>
                <w:szCs w:val="21"/>
                <w:lang w:val="en-US" w:eastAsia="zh-CN" w:bidi="ar-SA"/>
              </w:rPr>
              <w:t>（EO）</w:t>
            </w:r>
            <w:r>
              <w:rPr>
                <w:rFonts w:hint="eastAsia" w:ascii="华文细黑" w:hAnsi="华文细黑" w:eastAsia="华文细黑" w:cs="华文细黑"/>
                <w:bCs w:val="0"/>
                <w:spacing w:val="0"/>
                <w:kern w:val="2"/>
                <w:sz w:val="21"/>
                <w:szCs w:val="21"/>
                <w:lang w:val="en-US" w:eastAsia="zh-CN" w:bidi="ar-SA"/>
              </w:rPr>
              <w:t>；版本号：A/</w:t>
            </w:r>
            <w:r>
              <w:rPr>
                <w:rFonts w:hint="eastAsia" w:ascii="华文细黑" w:hAnsi="华文细黑" w:cs="华文细黑"/>
                <w:bCs w:val="0"/>
                <w:spacing w:val="0"/>
                <w:kern w:val="2"/>
                <w:sz w:val="21"/>
                <w:szCs w:val="21"/>
                <w:lang w:val="en-US" w:eastAsia="zh-CN" w:bidi="ar-SA"/>
              </w:rPr>
              <w:t>0</w:t>
            </w:r>
            <w:r>
              <w:rPr>
                <w:rFonts w:hint="eastAsia" w:ascii="华文细黑" w:hAnsi="华文细黑" w:eastAsia="华文细黑" w:cs="华文细黑"/>
                <w:bCs w:val="0"/>
                <w:spacing w:val="0"/>
                <w:kern w:val="2"/>
                <w:sz w:val="21"/>
                <w:szCs w:val="21"/>
                <w:lang w:val="en-US" w:eastAsia="zh-CN" w:bidi="ar-SA"/>
              </w:rPr>
              <w:t>；编制：</w:t>
            </w:r>
            <w:r>
              <w:rPr>
                <w:rFonts w:hint="eastAsia" w:ascii="华文细黑" w:hAnsi="华文细黑" w:cs="华文细黑"/>
                <w:bCs w:val="0"/>
                <w:spacing w:val="0"/>
                <w:kern w:val="2"/>
                <w:sz w:val="21"/>
                <w:szCs w:val="21"/>
                <w:lang w:val="en-US" w:eastAsia="zh-CN" w:bidi="ar-SA"/>
              </w:rPr>
              <w:t>阳叶琴</w:t>
            </w:r>
            <w:r>
              <w:rPr>
                <w:rFonts w:hint="eastAsia" w:ascii="华文细黑" w:hAnsi="华文细黑" w:eastAsia="华文细黑" w:cs="华文细黑"/>
                <w:bCs w:val="0"/>
                <w:spacing w:val="0"/>
                <w:kern w:val="2"/>
                <w:sz w:val="21"/>
                <w:szCs w:val="21"/>
                <w:lang w:val="en-US" w:eastAsia="zh-CN" w:bidi="ar-SA"/>
              </w:rPr>
              <w:t>；</w:t>
            </w:r>
            <w:r>
              <w:rPr>
                <w:rFonts w:hint="eastAsia" w:ascii="华文细黑" w:hAnsi="华文细黑" w:cs="华文细黑"/>
                <w:bCs w:val="0"/>
                <w:spacing w:val="0"/>
                <w:kern w:val="2"/>
                <w:sz w:val="21"/>
                <w:szCs w:val="21"/>
                <w:lang w:val="en-US" w:eastAsia="zh-CN" w:bidi="ar-SA"/>
              </w:rPr>
              <w:t>审核：沈国锦；批准</w:t>
            </w:r>
            <w:r>
              <w:rPr>
                <w:rFonts w:hint="eastAsia" w:ascii="华文细黑" w:hAnsi="华文细黑" w:eastAsia="华文细黑" w:cs="华文细黑"/>
                <w:bCs w:val="0"/>
                <w:spacing w:val="0"/>
                <w:kern w:val="2"/>
                <w:sz w:val="21"/>
                <w:szCs w:val="21"/>
                <w:lang w:val="en-US" w:eastAsia="zh-CN" w:bidi="ar-SA"/>
              </w:rPr>
              <w:t>：</w:t>
            </w:r>
            <w:r>
              <w:rPr>
                <w:rFonts w:hint="eastAsia" w:ascii="华文细黑" w:hAnsi="华文细黑" w:cs="华文细黑"/>
                <w:bCs w:val="0"/>
                <w:spacing w:val="0"/>
                <w:kern w:val="2"/>
                <w:sz w:val="21"/>
                <w:szCs w:val="21"/>
                <w:lang w:val="en-US" w:eastAsia="zh-CN" w:bidi="ar-SA"/>
              </w:rPr>
              <w:t>贺行华</w:t>
            </w:r>
            <w:r>
              <w:rPr>
                <w:rFonts w:hint="eastAsia" w:ascii="华文细黑" w:hAnsi="华文细黑" w:eastAsia="华文细黑" w:cs="华文细黑"/>
                <w:bCs w:val="0"/>
                <w:spacing w:val="0"/>
                <w:kern w:val="2"/>
                <w:sz w:val="21"/>
                <w:szCs w:val="21"/>
                <w:lang w:val="en-US" w:eastAsia="zh-CN" w:bidi="ar-SA"/>
              </w:rPr>
              <w:t>。</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二级文件：包括《</w:t>
            </w:r>
            <w:bookmarkStart w:id="0" w:name="OLE_LINK4"/>
            <w:r>
              <w:rPr>
                <w:rFonts w:hint="eastAsia" w:ascii="华文细黑" w:hAnsi="华文细黑" w:eastAsia="华文细黑" w:cs="华文细黑"/>
                <w:bCs w:val="0"/>
                <w:spacing w:val="0"/>
                <w:kern w:val="2"/>
                <w:sz w:val="21"/>
                <w:szCs w:val="21"/>
                <w:lang w:val="en-US" w:eastAsia="zh-CN" w:bidi="ar-SA"/>
              </w:rPr>
              <w:t>文件控制/法律法规及其它要求控制程序</w:t>
            </w:r>
            <w:bookmarkEnd w:id="0"/>
            <w:r>
              <w:rPr>
                <w:rFonts w:hint="eastAsia" w:ascii="华文细黑" w:hAnsi="华文细黑" w:eastAsia="华文细黑" w:cs="华文细黑"/>
                <w:bCs w:val="0"/>
                <w:spacing w:val="0"/>
                <w:kern w:val="2"/>
                <w:sz w:val="21"/>
                <w:szCs w:val="21"/>
                <w:lang w:val="en-US" w:eastAsia="zh-CN" w:bidi="ar-SA"/>
              </w:rPr>
              <w:t>》等共</w:t>
            </w:r>
            <w:r>
              <w:rPr>
                <w:rFonts w:hint="eastAsia" w:ascii="华文细黑" w:hAnsi="华文细黑" w:cs="华文细黑"/>
                <w:bCs w:val="0"/>
                <w:spacing w:val="0"/>
                <w:kern w:val="2"/>
                <w:sz w:val="21"/>
                <w:szCs w:val="21"/>
                <w:lang w:val="en-US" w:eastAsia="zh-CN" w:bidi="ar-SA"/>
              </w:rPr>
              <w:t>11</w:t>
            </w:r>
            <w:r>
              <w:rPr>
                <w:rFonts w:hint="eastAsia" w:ascii="华文细黑" w:hAnsi="华文细黑" w:eastAsia="华文细黑" w:cs="华文细黑"/>
                <w:bCs w:val="0"/>
                <w:spacing w:val="0"/>
                <w:kern w:val="2"/>
                <w:sz w:val="21"/>
                <w:szCs w:val="21"/>
                <w:lang w:val="en-US" w:eastAsia="zh-CN" w:bidi="ar-SA"/>
              </w:rPr>
              <w:t>个，覆盖了</w:t>
            </w:r>
            <w:r>
              <w:rPr>
                <w:rFonts w:hint="eastAsia" w:ascii="华文细黑" w:hAnsi="华文细黑" w:cs="华文细黑"/>
                <w:bCs w:val="0"/>
                <w:spacing w:val="0"/>
                <w:kern w:val="2"/>
                <w:sz w:val="21"/>
                <w:szCs w:val="21"/>
                <w:lang w:val="en-US" w:eastAsia="zh-CN" w:bidi="ar-SA"/>
              </w:rPr>
              <w:t>环境、和职业健康安全</w:t>
            </w:r>
            <w:r>
              <w:rPr>
                <w:rFonts w:hint="eastAsia" w:ascii="华文细黑" w:hAnsi="华文细黑" w:eastAsia="华文细黑" w:cs="华文细黑"/>
                <w:bCs w:val="0"/>
                <w:spacing w:val="0"/>
                <w:kern w:val="2"/>
                <w:sz w:val="21"/>
                <w:szCs w:val="21"/>
                <w:lang w:val="en-US" w:eastAsia="zh-CN" w:bidi="ar-SA"/>
              </w:rPr>
              <w:t>标准要求的所有文件化过程，其《</w:t>
            </w:r>
            <w:r>
              <w:rPr>
                <w:rFonts w:hint="eastAsia" w:ascii="华文细黑" w:hAnsi="华文细黑" w:cs="华文细黑"/>
                <w:bCs w:val="0"/>
                <w:spacing w:val="0"/>
                <w:kern w:val="2"/>
                <w:sz w:val="21"/>
                <w:szCs w:val="21"/>
                <w:lang w:val="en-US" w:eastAsia="zh-CN" w:bidi="ar-SA"/>
              </w:rPr>
              <w:t>记录</w:t>
            </w:r>
            <w:r>
              <w:rPr>
                <w:rFonts w:hint="eastAsia" w:ascii="华文细黑" w:hAnsi="华文细黑" w:eastAsia="华文细黑" w:cs="华文细黑"/>
                <w:bCs w:val="0"/>
                <w:spacing w:val="0"/>
                <w:kern w:val="2"/>
                <w:sz w:val="21"/>
                <w:szCs w:val="21"/>
                <w:lang w:val="en-US" w:eastAsia="zh-CN" w:bidi="ar-SA"/>
              </w:rPr>
              <w:t>控制程序</w:t>
            </w:r>
            <w:r>
              <w:rPr>
                <w:rFonts w:hint="eastAsia" w:ascii="华文细黑" w:hAnsi="华文细黑" w:cs="华文细黑"/>
                <w:bCs w:val="0"/>
                <w:spacing w:val="0"/>
                <w:kern w:val="2"/>
                <w:sz w:val="21"/>
                <w:szCs w:val="21"/>
                <w:lang w:val="en-US" w:eastAsia="zh-CN" w:bidi="ar-SA"/>
              </w:rPr>
              <w:t>》</w:t>
            </w:r>
            <w:r>
              <w:rPr>
                <w:rFonts w:hint="eastAsia" w:ascii="华文细黑" w:hAnsi="华文细黑" w:eastAsia="华文细黑" w:cs="华文细黑"/>
                <w:bCs w:val="0"/>
                <w:spacing w:val="0"/>
                <w:kern w:val="2"/>
                <w:sz w:val="21"/>
                <w:szCs w:val="21"/>
                <w:lang w:val="en-US" w:eastAsia="zh-CN" w:bidi="ar-SA"/>
              </w:rPr>
              <w:t>对管理体系记录的标识、贮存、保护、检索、保存期限和处置等作了明确规定，符合要求。</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三层次文件：管理制度、</w:t>
            </w:r>
            <w:r>
              <w:rPr>
                <w:rFonts w:hint="eastAsia" w:ascii="华文细黑" w:hAnsi="华文细黑" w:cs="华文细黑"/>
                <w:bCs w:val="0"/>
                <w:spacing w:val="0"/>
                <w:kern w:val="2"/>
                <w:sz w:val="21"/>
                <w:szCs w:val="21"/>
                <w:lang w:val="en-US" w:eastAsia="zh-CN" w:bidi="ar-SA"/>
              </w:rPr>
              <w:t>操作规程等</w:t>
            </w:r>
            <w:r>
              <w:rPr>
                <w:rFonts w:hint="eastAsia" w:ascii="华文细黑" w:hAnsi="华文细黑" w:eastAsia="华文细黑" w:cs="华文细黑"/>
                <w:bCs w:val="0"/>
                <w:spacing w:val="0"/>
                <w:kern w:val="2"/>
                <w:sz w:val="21"/>
                <w:szCs w:val="21"/>
                <w:lang w:val="en-US" w:eastAsia="zh-CN" w:bidi="ar-SA"/>
              </w:rPr>
              <w:t>。</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四级文件包括：内审记录、管理评审</w:t>
            </w:r>
            <w:r>
              <w:rPr>
                <w:rFonts w:hint="eastAsia" w:ascii="华文细黑" w:hAnsi="华文细黑" w:cs="华文细黑"/>
                <w:bCs w:val="0"/>
                <w:spacing w:val="0"/>
                <w:kern w:val="2"/>
                <w:sz w:val="21"/>
                <w:szCs w:val="21"/>
                <w:lang w:val="en-US" w:eastAsia="zh-CN" w:bidi="ar-SA"/>
              </w:rPr>
              <w:t>记录</w:t>
            </w:r>
            <w:r>
              <w:rPr>
                <w:rFonts w:hint="eastAsia" w:ascii="华文细黑" w:hAnsi="华文细黑" w:eastAsia="华文细黑" w:cs="华文细黑"/>
                <w:bCs w:val="0"/>
                <w:spacing w:val="0"/>
                <w:kern w:val="2"/>
                <w:sz w:val="21"/>
                <w:szCs w:val="21"/>
                <w:lang w:val="en-US" w:eastAsia="zh-CN" w:bidi="ar-SA"/>
              </w:rPr>
              <w:t>等。明确了记录名称、编号、使用保存部门、保存期限等，并经审核后使用。组织各记录由各使用部门保存。</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cs="华文细黑"/>
                <w:bCs w:val="0"/>
                <w:spacing w:val="0"/>
                <w:kern w:val="2"/>
                <w:sz w:val="21"/>
                <w:szCs w:val="21"/>
                <w:lang w:val="en-US" w:eastAsia="zh-CN" w:bidi="ar-SA"/>
              </w:rPr>
              <w:t>从办公室了解到</w:t>
            </w:r>
            <w:r>
              <w:rPr>
                <w:rFonts w:hint="eastAsia" w:ascii="华文细黑" w:hAnsi="华文细黑" w:eastAsia="华文细黑" w:cs="华文细黑"/>
                <w:bCs w:val="0"/>
                <w:spacing w:val="0"/>
                <w:kern w:val="2"/>
                <w:sz w:val="21"/>
                <w:szCs w:val="21"/>
                <w:lang w:val="en-US" w:eastAsia="zh-CN" w:bidi="ar-SA"/>
              </w:rPr>
              <w:t>，</w:t>
            </w:r>
            <w:r>
              <w:rPr>
                <w:rFonts w:hint="eastAsia" w:ascii="华文细黑" w:hAnsi="华文细黑" w:cs="华文细黑"/>
                <w:bCs w:val="0"/>
                <w:spacing w:val="0"/>
                <w:kern w:val="2"/>
                <w:sz w:val="21"/>
                <w:szCs w:val="21"/>
                <w:lang w:val="en-US" w:eastAsia="zh-CN" w:bidi="ar-SA"/>
              </w:rPr>
              <w:t>办公室</w:t>
            </w:r>
            <w:r>
              <w:rPr>
                <w:rFonts w:hint="eastAsia" w:ascii="华文细黑" w:hAnsi="华文细黑" w:eastAsia="华文细黑" w:cs="华文细黑"/>
                <w:bCs w:val="0"/>
                <w:spacing w:val="0"/>
                <w:kern w:val="2"/>
                <w:sz w:val="21"/>
                <w:szCs w:val="21"/>
                <w:lang w:val="en-US" w:eastAsia="zh-CN" w:bidi="ar-SA"/>
              </w:rPr>
              <w:t>已将文件进行了分类，按文件的名称、编号及时间进行归档，检索方便</w:t>
            </w:r>
            <w:r>
              <w:rPr>
                <w:rFonts w:hint="eastAsia" w:ascii="华文细黑" w:hAnsi="华文细黑" w:cs="华文细黑"/>
                <w:bCs w:val="0"/>
                <w:spacing w:val="0"/>
                <w:kern w:val="2"/>
                <w:sz w:val="21"/>
                <w:szCs w:val="21"/>
                <w:lang w:val="en-US" w:eastAsia="zh-CN" w:bidi="ar-SA"/>
              </w:rPr>
              <w:t>。</w:t>
            </w:r>
            <w:r>
              <w:rPr>
                <w:rFonts w:hint="eastAsia" w:ascii="华文细黑" w:hAnsi="华文细黑" w:eastAsia="华文细黑" w:cs="华文细黑"/>
                <w:bCs w:val="0"/>
                <w:spacing w:val="0"/>
                <w:kern w:val="2"/>
                <w:sz w:val="21"/>
                <w:szCs w:val="21"/>
                <w:lang w:val="en-US" w:eastAsia="zh-CN" w:bidi="ar-SA"/>
              </w:rPr>
              <w:t>抽查</w:t>
            </w:r>
            <w:r>
              <w:rPr>
                <w:rFonts w:hint="eastAsia" w:ascii="华文细黑" w:hAnsi="华文细黑" w:cs="华文细黑"/>
                <w:bCs w:val="0"/>
                <w:spacing w:val="0"/>
                <w:kern w:val="2"/>
                <w:sz w:val="21"/>
                <w:szCs w:val="21"/>
                <w:lang w:val="en-US" w:eastAsia="zh-CN" w:bidi="ar-SA"/>
              </w:rPr>
              <w:t>办公室</w:t>
            </w:r>
            <w:r>
              <w:rPr>
                <w:rFonts w:hint="eastAsia" w:ascii="华文细黑" w:hAnsi="华文细黑" w:eastAsia="华文细黑" w:cs="华文细黑"/>
                <w:bCs w:val="0"/>
                <w:spacing w:val="0"/>
                <w:kern w:val="2"/>
                <w:sz w:val="21"/>
                <w:szCs w:val="21"/>
                <w:lang w:val="en-US" w:eastAsia="zh-CN" w:bidi="ar-SA"/>
              </w:rPr>
              <w:t>保存的记录包括内部审核资料、管理评审资料等，均已装订成册，归档文件、记录存放于通风、干燥、防蛀的文件柜内，环境干燥、通风，符合文件归档及防护的要求。</w:t>
            </w:r>
          </w:p>
          <w:p>
            <w:pPr>
              <w:ind w:firstLine="420" w:firstLineChars="200"/>
              <w:jc w:val="left"/>
              <w:rPr>
                <w:rFonts w:hint="default"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抽查文件发放记录：</w:t>
            </w:r>
            <w:r>
              <w:rPr>
                <w:rFonts w:hint="eastAsia" w:ascii="华文细黑" w:hAnsi="华文细黑" w:cs="华文细黑"/>
                <w:bCs w:val="0"/>
                <w:spacing w:val="0"/>
                <w:kern w:val="2"/>
                <w:sz w:val="21"/>
                <w:szCs w:val="21"/>
                <w:lang w:val="en-US" w:eastAsia="zh-CN" w:bidi="ar-SA"/>
              </w:rPr>
              <w:t>2022</w:t>
            </w:r>
            <w:r>
              <w:rPr>
                <w:rFonts w:hint="eastAsia" w:ascii="华文细黑" w:hAnsi="华文细黑" w:eastAsia="华文细黑" w:cs="华文细黑"/>
                <w:bCs w:val="0"/>
                <w:spacing w:val="0"/>
                <w:kern w:val="2"/>
                <w:sz w:val="21"/>
                <w:szCs w:val="21"/>
                <w:lang w:val="en-US" w:eastAsia="zh-CN" w:bidi="ar-SA"/>
              </w:rPr>
              <w:t>年</w:t>
            </w:r>
            <w:r>
              <w:rPr>
                <w:rFonts w:hint="eastAsia" w:ascii="华文细黑" w:hAnsi="华文细黑" w:cs="华文细黑"/>
                <w:bCs w:val="0"/>
                <w:spacing w:val="0"/>
                <w:kern w:val="2"/>
                <w:sz w:val="21"/>
                <w:szCs w:val="21"/>
                <w:lang w:val="en-US" w:eastAsia="zh-CN" w:bidi="ar-SA"/>
              </w:rPr>
              <w:t>3</w:t>
            </w:r>
            <w:r>
              <w:rPr>
                <w:rFonts w:hint="eastAsia" w:ascii="华文细黑" w:hAnsi="华文细黑" w:eastAsia="华文细黑" w:cs="华文细黑"/>
                <w:bCs w:val="0"/>
                <w:spacing w:val="0"/>
                <w:kern w:val="2"/>
                <w:sz w:val="21"/>
                <w:szCs w:val="21"/>
                <w:lang w:val="en-US" w:eastAsia="zh-CN" w:bidi="ar-SA"/>
              </w:rPr>
              <w:t>月</w:t>
            </w:r>
            <w:r>
              <w:rPr>
                <w:rFonts w:hint="eastAsia" w:ascii="华文细黑" w:hAnsi="华文细黑" w:cs="华文细黑"/>
                <w:bCs w:val="0"/>
                <w:spacing w:val="0"/>
                <w:kern w:val="2"/>
                <w:sz w:val="21"/>
                <w:szCs w:val="21"/>
                <w:lang w:val="en-US" w:eastAsia="zh-CN" w:bidi="ar-SA"/>
              </w:rPr>
              <w:t>22</w:t>
            </w:r>
            <w:r>
              <w:rPr>
                <w:rFonts w:hint="eastAsia" w:ascii="华文细黑" w:hAnsi="华文细黑" w:eastAsia="华文细黑" w:cs="华文细黑"/>
                <w:bCs w:val="0"/>
                <w:spacing w:val="0"/>
                <w:kern w:val="2"/>
                <w:sz w:val="21"/>
                <w:szCs w:val="21"/>
                <w:lang w:val="en-US" w:eastAsia="zh-CN" w:bidi="ar-SA"/>
              </w:rPr>
              <w:t>日有</w:t>
            </w:r>
            <w:r>
              <w:rPr>
                <w:rFonts w:hint="eastAsia" w:ascii="华文细黑" w:hAnsi="华文细黑" w:cs="华文细黑"/>
                <w:bCs w:val="0"/>
                <w:spacing w:val="0"/>
                <w:kern w:val="2"/>
                <w:sz w:val="21"/>
                <w:szCs w:val="21"/>
                <w:lang w:val="en-US" w:eastAsia="zh-CN" w:bidi="ar-SA"/>
              </w:rPr>
              <w:t>管理手册、程序文件</w:t>
            </w:r>
            <w:r>
              <w:rPr>
                <w:rFonts w:hint="eastAsia" w:ascii="华文细黑" w:hAnsi="华文细黑" w:eastAsia="华文细黑" w:cs="华文细黑"/>
                <w:bCs w:val="0"/>
                <w:spacing w:val="0"/>
                <w:kern w:val="2"/>
                <w:sz w:val="21"/>
                <w:szCs w:val="21"/>
                <w:lang w:val="en-US" w:eastAsia="zh-CN" w:bidi="ar-SA"/>
              </w:rPr>
              <w:t>等相关的文件下发记录。</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cs="华文细黑"/>
                <w:bCs w:val="0"/>
                <w:spacing w:val="0"/>
                <w:kern w:val="2"/>
                <w:sz w:val="21"/>
                <w:szCs w:val="21"/>
                <w:lang w:val="en-US" w:eastAsia="zh-CN" w:bidi="ar-SA"/>
              </w:rPr>
              <w:t>办公室负责人阳叶琴</w:t>
            </w:r>
            <w:r>
              <w:rPr>
                <w:rFonts w:hint="eastAsia" w:ascii="华文细黑" w:hAnsi="华文细黑" w:eastAsia="华文细黑" w:cs="华文细黑"/>
                <w:bCs w:val="0"/>
                <w:spacing w:val="0"/>
                <w:kern w:val="2"/>
                <w:sz w:val="21"/>
                <w:szCs w:val="21"/>
                <w:lang w:val="en-US" w:eastAsia="zh-CN" w:bidi="ar-SA"/>
              </w:rPr>
              <w:t>介绍：组织的记录原件原则上不外借，其它记录查阅时须有关部门同意后，方可查阅。</w:t>
            </w:r>
          </w:p>
          <w:p>
            <w:pPr>
              <w:ind w:firstLine="420" w:firstLineChars="200"/>
              <w:jc w:val="left"/>
              <w:rPr>
                <w:rFonts w:hint="eastAsia" w:ascii="华文细黑" w:hAnsi="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查外来文件：组织识别了与</w:t>
            </w:r>
            <w:r>
              <w:rPr>
                <w:rFonts w:hint="eastAsia" w:ascii="华文细黑" w:hAnsi="华文细黑" w:cs="华文细黑"/>
                <w:bCs w:val="0"/>
                <w:spacing w:val="0"/>
                <w:kern w:val="2"/>
                <w:sz w:val="21"/>
                <w:szCs w:val="21"/>
                <w:lang w:val="en-US" w:eastAsia="zh-CN" w:bidi="ar-SA"/>
              </w:rPr>
              <w:t>环境和职业健康安全</w:t>
            </w:r>
            <w:r>
              <w:rPr>
                <w:rFonts w:hint="eastAsia" w:ascii="华文细黑" w:hAnsi="华文细黑" w:eastAsia="华文细黑" w:cs="华文细黑"/>
                <w:bCs w:val="0"/>
                <w:spacing w:val="0"/>
                <w:kern w:val="2"/>
                <w:sz w:val="21"/>
                <w:szCs w:val="21"/>
                <w:lang w:val="en-US" w:eastAsia="zh-CN" w:bidi="ar-SA"/>
              </w:rPr>
              <w:t>管</w:t>
            </w:r>
            <w:r>
              <w:rPr>
                <w:rFonts w:hint="eastAsia" w:ascii="华文细黑" w:hAnsi="华文细黑" w:cs="华文细黑"/>
                <w:bCs w:val="0"/>
                <w:spacing w:val="0"/>
                <w:kern w:val="2"/>
                <w:sz w:val="21"/>
                <w:szCs w:val="21"/>
                <w:lang w:val="en-US" w:eastAsia="zh-CN" w:bidi="ar-SA"/>
              </w:rPr>
              <w:t>理体系运行有关的国家法律法规及标准等，如《中华人民共和国环境保护法》、《中华人民共和国安全生产法》等，组织识别的适用法律法规和标准内容基本完整。</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变更：</w:t>
            </w:r>
            <w:r>
              <w:rPr>
                <w:rFonts w:hint="eastAsia" w:ascii="华文细黑" w:hAnsi="华文细黑" w:cs="华文细黑"/>
                <w:bCs w:val="0"/>
                <w:spacing w:val="0"/>
                <w:kern w:val="2"/>
                <w:sz w:val="21"/>
                <w:szCs w:val="21"/>
                <w:lang w:val="en-US" w:eastAsia="zh-CN" w:bidi="ar-SA"/>
              </w:rPr>
              <w:t>无变更记录</w:t>
            </w:r>
            <w:r>
              <w:rPr>
                <w:rFonts w:hint="eastAsia" w:ascii="华文细黑" w:hAnsi="华文细黑" w:eastAsia="华文细黑" w:cs="华文细黑"/>
                <w:bCs w:val="0"/>
                <w:spacing w:val="0"/>
                <w:kern w:val="2"/>
                <w:sz w:val="21"/>
                <w:szCs w:val="21"/>
                <w:lang w:val="en-US" w:eastAsia="zh-CN" w:bidi="ar-SA"/>
              </w:rPr>
              <w:t>。</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作废：暂无记录。</w:t>
            </w:r>
          </w:p>
          <w:p>
            <w:pPr>
              <w:spacing w:line="280" w:lineRule="exact"/>
              <w:ind w:firstLine="420" w:firstLineChars="200"/>
              <w:rPr>
                <w:rFonts w:hint="eastAsia" w:ascii="宋体" w:hAnsi="宋体" w:cs="宋体"/>
                <w:szCs w:val="21"/>
              </w:rPr>
            </w:pPr>
            <w:r>
              <w:rPr>
                <w:rFonts w:hint="eastAsia" w:ascii="华文细黑" w:hAnsi="华文细黑" w:eastAsia="华文细黑" w:cs="华文细黑"/>
                <w:bCs w:val="0"/>
                <w:spacing w:val="0"/>
                <w:kern w:val="2"/>
                <w:sz w:val="21"/>
                <w:szCs w:val="21"/>
                <w:lang w:val="en-US" w:eastAsia="zh-CN" w:bidi="ar-SA"/>
              </w:rPr>
              <w:t>综上，组织的文件、记录等的控制基本有效。</w:t>
            </w:r>
          </w:p>
        </w:tc>
        <w:tc>
          <w:tcPr>
            <w:tcW w:w="1585" w:type="dxa"/>
            <w:vAlign w:val="top"/>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bidi w:val="0"/>
              <w:rPr>
                <w:rFonts w:hint="eastAsia"/>
              </w:rPr>
            </w:pPr>
            <w:r>
              <w:rPr>
                <w:rFonts w:hint="eastAsia"/>
              </w:rPr>
              <w:t>运行策划和控制</w:t>
            </w:r>
          </w:p>
          <w:p>
            <w:pPr>
              <w:bidi w:val="0"/>
              <w:rPr>
                <w:rFonts w:hint="eastAsia"/>
              </w:rPr>
            </w:pPr>
          </w:p>
        </w:tc>
        <w:tc>
          <w:tcPr>
            <w:tcW w:w="998" w:type="dxa"/>
          </w:tcPr>
          <w:p>
            <w:pPr>
              <w:bidi w:val="0"/>
              <w:rPr>
                <w:rFonts w:hint="eastAsia"/>
              </w:rPr>
            </w:pPr>
            <w:r>
              <w:rPr>
                <w:rFonts w:hint="eastAsia"/>
                <w:lang w:eastAsia="zh-CN"/>
              </w:rPr>
              <w:t>EO</w:t>
            </w:r>
            <w:r>
              <w:rPr>
                <w:rFonts w:hint="eastAsia"/>
              </w:rPr>
              <w:t>8.1</w:t>
            </w:r>
          </w:p>
        </w:tc>
        <w:tc>
          <w:tcPr>
            <w:tcW w:w="10004" w:type="dxa"/>
            <w:vAlign w:val="center"/>
          </w:tcPr>
          <w:p>
            <w:pPr>
              <w:spacing w:line="280" w:lineRule="exact"/>
              <w:ind w:firstLine="421"/>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组织</w:t>
            </w:r>
            <w:r>
              <w:rPr>
                <w:rFonts w:hint="eastAsia" w:ascii="华文细黑" w:hAnsi="华文细黑" w:eastAsia="华文细黑" w:cs="华文细黑"/>
              </w:rPr>
              <w:t>编制</w:t>
            </w:r>
            <w:r>
              <w:rPr>
                <w:rFonts w:hint="eastAsia" w:ascii="华文细黑" w:hAnsi="华文细黑" w:eastAsia="华文细黑" w:cs="华文细黑"/>
                <w:lang w:val="en-US" w:eastAsia="zh-CN"/>
              </w:rPr>
              <w:t>了</w:t>
            </w:r>
            <w:r>
              <w:rPr>
                <w:rFonts w:hint="eastAsia" w:ascii="华文细黑" w:hAnsi="华文细黑" w:eastAsia="华文细黑" w:cs="华文细黑"/>
              </w:rPr>
              <w:t>与环境、安全管理体系运行控制有关的文件</w:t>
            </w:r>
            <w:r>
              <w:rPr>
                <w:rFonts w:hint="eastAsia" w:ascii="华文细黑" w:hAnsi="华文细黑" w:eastAsia="华文细黑" w:cs="华文细黑"/>
                <w:lang w:val="en-US" w:eastAsia="zh-CN"/>
              </w:rPr>
              <w:t>包括</w:t>
            </w:r>
            <w:r>
              <w:rPr>
                <w:rFonts w:hint="eastAsia" w:ascii="华文细黑" w:hAnsi="华文细黑" w:eastAsia="华文细黑" w:cs="华文细黑"/>
              </w:rPr>
              <w:t>《运行控制程序》等</w:t>
            </w:r>
            <w:r>
              <w:rPr>
                <w:rFonts w:hint="eastAsia" w:ascii="华文细黑" w:hAnsi="华文细黑" w:eastAsia="华文细黑" w:cs="华文细黑"/>
                <w:lang w:eastAsia="zh-CN"/>
              </w:rPr>
              <w:t>，</w:t>
            </w:r>
            <w:r>
              <w:rPr>
                <w:rFonts w:hint="eastAsia" w:ascii="华文细黑" w:hAnsi="华文细黑" w:eastAsia="华文细黑" w:cs="华文细黑"/>
                <w:lang w:val="en-US" w:eastAsia="zh-CN"/>
              </w:rPr>
              <w:t>基本满足策划的要求</w:t>
            </w:r>
            <w:r>
              <w:rPr>
                <w:rFonts w:hint="eastAsia" w:ascii="华文细黑" w:hAnsi="华文细黑" w:eastAsia="华文细黑" w:cs="华文细黑"/>
              </w:rPr>
              <w:t>。</w:t>
            </w:r>
            <w:r>
              <w:rPr>
                <w:rFonts w:hint="eastAsia" w:ascii="华文细黑" w:hAnsi="华文细黑" w:eastAsia="华文细黑" w:cs="华文细黑"/>
                <w:lang w:val="en-US" w:eastAsia="zh-CN"/>
              </w:rPr>
              <w:t>另办公室统筹管理的环境和职业健康安全运行控制情况基本如下：</w:t>
            </w:r>
          </w:p>
          <w:p>
            <w:pPr>
              <w:numPr>
                <w:ilvl w:val="0"/>
                <w:numId w:val="0"/>
              </w:numPr>
              <w:spacing w:line="280" w:lineRule="exact"/>
              <w:ind w:left="420" w:leftChars="0"/>
              <w:jc w:val="left"/>
              <w:rPr>
                <w:rFonts w:hint="eastAsia" w:ascii="华文细黑" w:hAnsi="华文细黑" w:eastAsia="华文细黑" w:cs="华文细黑"/>
                <w:color w:val="auto"/>
              </w:rPr>
            </w:pPr>
            <w:r>
              <w:rPr>
                <w:rFonts w:hint="eastAsia" w:ascii="华文细黑" w:hAnsi="华文细黑" w:eastAsia="华文细黑" w:cs="华文细黑"/>
                <w:color w:val="auto"/>
                <w:lang w:val="en-US" w:eastAsia="zh-CN"/>
              </w:rPr>
              <w:t>1.</w:t>
            </w:r>
            <w:r>
              <w:rPr>
                <w:rFonts w:hint="eastAsia" w:ascii="华文细黑" w:hAnsi="华文细黑" w:eastAsia="华文细黑" w:cs="华文细黑"/>
                <w:color w:val="auto"/>
              </w:rPr>
              <w:t>固废管控</w:t>
            </w:r>
          </w:p>
          <w:p>
            <w:pPr>
              <w:spacing w:line="280" w:lineRule="exact"/>
              <w:ind w:firstLine="420" w:firstLineChars="200"/>
              <w:jc w:val="left"/>
              <w:rPr>
                <w:rFonts w:hint="default" w:ascii="华文细黑" w:hAnsi="华文细黑" w:eastAsia="华文细黑" w:cs="华文细黑"/>
                <w:color w:val="auto"/>
                <w:szCs w:val="21"/>
                <w:lang w:val="en-US" w:eastAsia="zh-CN"/>
              </w:rPr>
            </w:pPr>
            <w:r>
              <w:rPr>
                <w:rFonts w:hint="eastAsia" w:ascii="华文细黑" w:hAnsi="华文细黑" w:cs="华文细黑"/>
                <w:color w:val="auto"/>
                <w:szCs w:val="21"/>
                <w:lang w:val="en-US" w:eastAsia="zh-CN"/>
              </w:rPr>
              <w:t>组织的固废分为一般固废和危险固废。一般固废包括一般生活垃圾和车间搜集粉尘；危险固废包括废活性炭、废油漆桶、废油墨桶、漆渣，由有资质单位进行处置。</w:t>
            </w:r>
          </w:p>
          <w:p>
            <w:pPr>
              <w:spacing w:line="280" w:lineRule="exact"/>
              <w:ind w:firstLine="420" w:firstLineChars="200"/>
              <w:jc w:val="left"/>
              <w:rPr>
                <w:rFonts w:hint="default" w:ascii="华文细黑" w:hAnsi="华文细黑" w:eastAsia="华文细黑" w:cs="华文细黑"/>
                <w:color w:val="FF0000"/>
                <w:szCs w:val="21"/>
                <w:lang w:val="en-US"/>
              </w:rPr>
            </w:pPr>
            <w:r>
              <w:rPr>
                <w:rFonts w:hint="eastAsia" w:ascii="华文细黑" w:hAnsi="华文细黑" w:cs="华文细黑"/>
                <w:color w:val="auto"/>
                <w:szCs w:val="21"/>
                <w:lang w:val="en-US" w:eastAsia="zh-CN"/>
              </w:rPr>
              <w:t>提供</w:t>
            </w:r>
            <w:r>
              <w:rPr>
                <w:rFonts w:hint="eastAsia" w:ascii="华文细黑" w:hAnsi="华文细黑" w:eastAsia="华文细黑" w:cs="华文细黑"/>
                <w:color w:val="auto"/>
                <w:szCs w:val="21"/>
                <w:lang w:val="en-US" w:eastAsia="zh-CN"/>
              </w:rPr>
              <w:t>《危险废物处置合同》</w:t>
            </w:r>
            <w:r>
              <w:rPr>
                <w:rFonts w:hint="eastAsia" w:ascii="华文细黑" w:hAnsi="华文细黑" w:cs="华文细黑"/>
                <w:color w:val="auto"/>
                <w:szCs w:val="21"/>
                <w:lang w:val="en-US" w:eastAsia="zh-CN"/>
              </w:rPr>
              <w:t>及其三联单记录</w:t>
            </w:r>
            <w:r>
              <w:rPr>
                <w:rFonts w:hint="eastAsia" w:ascii="华文细黑" w:hAnsi="华文细黑" w:eastAsia="华文细黑" w:cs="华文细黑"/>
                <w:color w:val="auto"/>
                <w:szCs w:val="21"/>
                <w:lang w:val="en-US" w:eastAsia="zh-CN"/>
              </w:rPr>
              <w:t>，</w:t>
            </w:r>
            <w:r>
              <w:rPr>
                <w:rFonts w:hint="eastAsia" w:ascii="华文细黑" w:hAnsi="华文细黑" w:cs="华文细黑"/>
                <w:color w:val="auto"/>
                <w:szCs w:val="21"/>
                <w:lang w:val="en-US" w:eastAsia="zh-CN"/>
              </w:rPr>
              <w:t>见附件E相关证据；现场查看情况见生产部EO8.1记录。</w:t>
            </w:r>
          </w:p>
          <w:p>
            <w:pPr>
              <w:spacing w:line="280" w:lineRule="exact"/>
              <w:ind w:firstLine="420" w:firstLineChars="200"/>
              <w:jc w:val="left"/>
              <w:rPr>
                <w:rFonts w:hint="default" w:ascii="华文细黑" w:hAnsi="华文细黑" w:eastAsia="华文细黑" w:cs="华文细黑"/>
                <w:color w:val="FF0000"/>
                <w:szCs w:val="21"/>
                <w:lang w:val="en-US" w:eastAsia="zh-CN"/>
              </w:rPr>
            </w:pPr>
            <w:r>
              <w:rPr>
                <w:rFonts w:hint="eastAsia" w:ascii="华文细黑" w:hAnsi="华文细黑" w:cs="华文细黑"/>
                <w:color w:val="auto"/>
                <w:szCs w:val="21"/>
                <w:lang w:val="en-US" w:eastAsia="zh-CN"/>
              </w:rPr>
              <w:t>搜集粉尘和危废处置见生产部EO记录。</w:t>
            </w:r>
          </w:p>
          <w:p>
            <w:pPr>
              <w:spacing w:line="280" w:lineRule="exact"/>
              <w:ind w:firstLine="421"/>
              <w:jc w:val="left"/>
              <w:rPr>
                <w:rFonts w:hint="eastAsia" w:ascii="华文细黑" w:hAnsi="华文细黑" w:eastAsia="华文细黑" w:cs="华文细黑"/>
                <w:color w:val="auto"/>
              </w:rPr>
            </w:pPr>
            <w:r>
              <w:rPr>
                <w:rFonts w:hint="eastAsia" w:ascii="华文细黑" w:hAnsi="华文细黑" w:eastAsia="华文细黑" w:cs="华文细黑"/>
                <w:color w:val="auto"/>
                <w:lang w:val="en-US" w:eastAsia="zh-CN"/>
              </w:rPr>
              <w:t>2.</w:t>
            </w:r>
            <w:r>
              <w:rPr>
                <w:rFonts w:hint="eastAsia" w:ascii="华文细黑" w:hAnsi="华文细黑" w:eastAsia="华文细黑" w:cs="华文细黑"/>
                <w:color w:val="auto"/>
              </w:rPr>
              <w:t>废水管控</w:t>
            </w:r>
          </w:p>
          <w:p>
            <w:pPr>
              <w:spacing w:line="280" w:lineRule="exact"/>
              <w:ind w:firstLine="421"/>
              <w:jc w:val="left"/>
              <w:rPr>
                <w:rFonts w:hint="eastAsia" w:ascii="华文细黑" w:hAnsi="华文细黑" w:eastAsia="华文细黑" w:cs="华文细黑"/>
                <w:color w:val="auto"/>
              </w:rPr>
            </w:pPr>
            <w:r>
              <w:rPr>
                <w:rFonts w:hint="eastAsia" w:ascii="华文细黑" w:hAnsi="华文细黑" w:eastAsia="华文细黑" w:cs="华文细黑"/>
                <w:color w:val="auto"/>
              </w:rPr>
              <w:t>主要生活废水排入政府污水管网统一处理。</w:t>
            </w:r>
          </w:p>
          <w:p>
            <w:pPr>
              <w:spacing w:line="280" w:lineRule="exact"/>
              <w:ind w:firstLine="421"/>
              <w:jc w:val="left"/>
              <w:rPr>
                <w:rFonts w:hint="eastAsia" w:ascii="华文细黑" w:hAnsi="华文细黑" w:eastAsia="华文细黑" w:cs="华文细黑"/>
                <w:color w:val="auto"/>
              </w:rPr>
            </w:pPr>
            <w:r>
              <w:rPr>
                <w:rFonts w:hint="eastAsia" w:ascii="华文细黑" w:hAnsi="华文细黑" w:eastAsia="华文细黑" w:cs="华文细黑"/>
                <w:color w:val="auto"/>
                <w:lang w:val="en-US" w:eastAsia="zh-CN"/>
              </w:rPr>
              <w:t>3.</w:t>
            </w:r>
            <w:r>
              <w:rPr>
                <w:rFonts w:hint="eastAsia" w:ascii="华文细黑" w:hAnsi="华文细黑" w:eastAsia="华文细黑" w:cs="华文细黑"/>
                <w:color w:val="auto"/>
              </w:rPr>
              <w:t>废气管控</w:t>
            </w:r>
          </w:p>
          <w:p>
            <w:pPr>
              <w:spacing w:line="280" w:lineRule="exact"/>
              <w:ind w:firstLine="421"/>
              <w:jc w:val="left"/>
              <w:rPr>
                <w:rFonts w:hint="default" w:ascii="华文细黑" w:hAnsi="华文细黑" w:eastAsia="华文细黑" w:cs="华文细黑"/>
                <w:color w:val="auto"/>
                <w:lang w:val="en-US" w:eastAsia="zh-CN"/>
              </w:rPr>
            </w:pPr>
            <w:r>
              <w:rPr>
                <w:rFonts w:hint="eastAsia" w:ascii="华文细黑" w:hAnsi="华文细黑" w:eastAsia="华文细黑" w:cs="华文细黑"/>
                <w:color w:val="auto"/>
              </w:rPr>
              <w:t>办公现场基本无废气排放</w:t>
            </w:r>
            <w:r>
              <w:rPr>
                <w:rFonts w:hint="eastAsia" w:ascii="华文细黑" w:hAnsi="华文细黑" w:cs="华文细黑"/>
                <w:color w:val="auto"/>
                <w:lang w:eastAsia="zh-CN"/>
              </w:rPr>
              <w:t>，</w:t>
            </w:r>
            <w:r>
              <w:rPr>
                <w:rFonts w:hint="eastAsia" w:ascii="华文细黑" w:hAnsi="华文细黑" w:cs="华文细黑"/>
                <w:color w:val="auto"/>
                <w:lang w:val="en-US" w:eastAsia="zh-CN"/>
              </w:rPr>
              <w:t>工艺废气处理见生产部EO8.1记录。</w:t>
            </w:r>
          </w:p>
          <w:p>
            <w:pPr>
              <w:spacing w:line="280" w:lineRule="exact"/>
              <w:ind w:firstLine="421"/>
              <w:jc w:val="left"/>
              <w:rPr>
                <w:rFonts w:hint="eastAsia" w:ascii="华文细黑" w:hAnsi="华文细黑" w:eastAsia="华文细黑" w:cs="华文细黑"/>
                <w:color w:val="auto"/>
              </w:rPr>
            </w:pPr>
            <w:r>
              <w:rPr>
                <w:rFonts w:hint="eastAsia" w:ascii="华文细黑" w:hAnsi="华文细黑" w:eastAsia="华文细黑" w:cs="华文细黑"/>
                <w:color w:val="auto"/>
                <w:lang w:val="en-US" w:eastAsia="zh-CN"/>
              </w:rPr>
              <w:t>4.</w:t>
            </w:r>
            <w:r>
              <w:rPr>
                <w:rFonts w:hint="eastAsia" w:ascii="华文细黑" w:hAnsi="华文细黑" w:eastAsia="华文细黑" w:cs="华文细黑"/>
                <w:color w:val="auto"/>
              </w:rPr>
              <w:t>噪声管控</w:t>
            </w:r>
          </w:p>
          <w:p>
            <w:pPr>
              <w:spacing w:line="280" w:lineRule="exact"/>
              <w:ind w:firstLine="421"/>
              <w:jc w:val="left"/>
              <w:rPr>
                <w:rFonts w:hint="default" w:ascii="华文细黑" w:hAnsi="华文细黑" w:eastAsia="华文细黑" w:cs="华文细黑"/>
                <w:color w:val="auto"/>
                <w:szCs w:val="22"/>
                <w:lang w:val="en-US" w:eastAsia="zh-CN"/>
              </w:rPr>
            </w:pPr>
            <w:r>
              <w:rPr>
                <w:rFonts w:hint="eastAsia" w:ascii="华文细黑" w:hAnsi="华文细黑" w:eastAsia="华文细黑" w:cs="华文细黑"/>
                <w:color w:val="auto"/>
              </w:rPr>
              <w:t>办公噪声主要是复印机运行，噪声较低，采取措施按时清洁保养。</w:t>
            </w:r>
            <w:r>
              <w:rPr>
                <w:rFonts w:hint="eastAsia" w:ascii="华文细黑" w:hAnsi="华文细黑" w:cs="华文细黑"/>
                <w:color w:val="auto"/>
                <w:szCs w:val="22"/>
                <w:lang w:val="en-US" w:eastAsia="zh-CN"/>
              </w:rPr>
              <w:t>车间噪声见生产部EO8.1记录。</w:t>
            </w:r>
          </w:p>
          <w:p>
            <w:pPr>
              <w:numPr>
                <w:ilvl w:val="0"/>
                <w:numId w:val="0"/>
              </w:numPr>
              <w:spacing w:line="280" w:lineRule="exact"/>
              <w:ind w:left="420" w:leftChars="0"/>
              <w:jc w:val="left"/>
              <w:rPr>
                <w:rFonts w:hint="default" w:ascii="华文细黑" w:hAnsi="华文细黑" w:eastAsia="华文细黑" w:cs="华文细黑"/>
                <w:color w:val="auto"/>
                <w:highlight w:val="none"/>
                <w:lang w:val="en-US"/>
              </w:rPr>
            </w:pPr>
            <w:r>
              <w:rPr>
                <w:rFonts w:hint="eastAsia" w:ascii="华文细黑" w:hAnsi="华文细黑" w:eastAsia="华文细黑" w:cs="华文细黑"/>
                <w:color w:val="auto"/>
                <w:szCs w:val="22"/>
                <w:lang w:val="en-US" w:eastAsia="zh-CN"/>
              </w:rPr>
              <w:t>5.职业健康安全</w:t>
            </w:r>
            <w:r>
              <w:rPr>
                <w:rFonts w:hint="eastAsia" w:ascii="华文细黑" w:hAnsi="华文细黑" w:cs="华文细黑"/>
                <w:color w:val="auto"/>
                <w:szCs w:val="22"/>
                <w:lang w:val="en-US" w:eastAsia="zh-CN"/>
              </w:rPr>
              <w:t>防护</w:t>
            </w:r>
          </w:p>
          <w:p>
            <w:pPr>
              <w:pStyle w:val="3"/>
              <w:jc w:val="left"/>
              <w:rPr>
                <w:rFonts w:hint="default" w:ascii="华文细黑" w:hAnsi="华文细黑" w:eastAsia="华文细黑" w:cs="华文细黑"/>
                <w:color w:val="auto"/>
                <w:lang w:val="en-US" w:eastAsia="zh-CN"/>
              </w:rPr>
            </w:pPr>
            <w:r>
              <w:rPr>
                <w:rFonts w:hint="eastAsia" w:ascii="华文细黑" w:hAnsi="华文细黑" w:cs="华文细黑"/>
                <w:color w:val="auto"/>
                <w:lang w:val="en-US" w:eastAsia="zh-CN"/>
              </w:rPr>
              <w:t>组织办公环境优良，工位配套设施齐全，每年安排员工进行体检；办公区域电器</w:t>
            </w:r>
            <w:r>
              <w:rPr>
                <w:rFonts w:hint="eastAsia" w:ascii="华文细黑" w:hAnsi="华文细黑" w:eastAsia="华文细黑" w:cs="华文细黑"/>
                <w:color w:val="auto"/>
              </w:rPr>
              <w:t>不允许私拉乱扔</w:t>
            </w:r>
            <w:r>
              <w:rPr>
                <w:rFonts w:hint="eastAsia" w:ascii="华文细黑" w:hAnsi="华文细黑" w:cs="华文细黑"/>
                <w:color w:val="auto"/>
                <w:lang w:eastAsia="zh-CN"/>
              </w:rPr>
              <w:t>；</w:t>
            </w:r>
            <w:r>
              <w:rPr>
                <w:rFonts w:hint="eastAsia" w:ascii="华文细黑" w:hAnsi="华文细黑" w:eastAsia="华文细黑" w:cs="华文细黑"/>
                <w:color w:val="auto"/>
              </w:rPr>
              <w:t>疫情期间</w:t>
            </w:r>
            <w:r>
              <w:rPr>
                <w:rFonts w:hint="eastAsia" w:ascii="华文细黑" w:hAnsi="华文细黑" w:cs="华文细黑"/>
                <w:color w:val="auto"/>
                <w:lang w:val="en-US" w:eastAsia="zh-CN"/>
              </w:rPr>
              <w:t>按照当地防疫政策要求亮码，</w:t>
            </w:r>
            <w:r>
              <w:rPr>
                <w:rFonts w:hint="eastAsia" w:ascii="华文细黑" w:hAnsi="华文细黑" w:eastAsia="华文细黑" w:cs="华文细黑"/>
                <w:color w:val="auto"/>
              </w:rPr>
              <w:t>同时做好疫苗接种等工作</w:t>
            </w:r>
            <w:r>
              <w:rPr>
                <w:rFonts w:hint="eastAsia" w:ascii="华文细黑" w:hAnsi="华文细黑" w:cs="华文细黑"/>
                <w:color w:val="auto"/>
                <w:lang w:eastAsia="zh-CN"/>
              </w:rPr>
              <w:t>；</w:t>
            </w:r>
            <w:r>
              <w:rPr>
                <w:rFonts w:hint="eastAsia" w:ascii="华文细黑" w:hAnsi="华文细黑" w:cs="华文细黑"/>
                <w:color w:val="auto"/>
                <w:lang w:val="en-US" w:eastAsia="zh-CN"/>
              </w:rPr>
              <w:t>组织定期</w:t>
            </w:r>
            <w:r>
              <w:rPr>
                <w:rFonts w:hint="eastAsia" w:ascii="华文细黑" w:hAnsi="华文细黑" w:eastAsia="华文细黑" w:cs="华文细黑"/>
                <w:color w:val="auto"/>
              </w:rPr>
              <w:t>给员工发放口罩</w:t>
            </w:r>
            <w:r>
              <w:rPr>
                <w:rFonts w:hint="eastAsia" w:ascii="华文细黑" w:hAnsi="华文细黑" w:cs="华文细黑"/>
                <w:color w:val="auto"/>
                <w:lang w:eastAsia="zh-CN"/>
              </w:rPr>
              <w:t>、</w:t>
            </w:r>
            <w:r>
              <w:rPr>
                <w:rFonts w:hint="eastAsia" w:ascii="华文细黑" w:hAnsi="华文细黑" w:cs="华文细黑"/>
                <w:color w:val="auto"/>
                <w:lang w:val="en-US" w:eastAsia="zh-CN"/>
              </w:rPr>
              <w:t>手套</w:t>
            </w:r>
            <w:r>
              <w:rPr>
                <w:rFonts w:hint="eastAsia" w:ascii="华文细黑" w:hAnsi="华文细黑" w:eastAsia="华文细黑" w:cs="华文细黑"/>
                <w:color w:val="auto"/>
              </w:rPr>
              <w:t>等劳保用品</w:t>
            </w:r>
            <w:r>
              <w:rPr>
                <w:rFonts w:hint="eastAsia" w:ascii="华文细黑" w:hAnsi="华文细黑" w:cs="华文细黑"/>
                <w:color w:val="auto"/>
                <w:lang w:val="en-US" w:eastAsia="zh-CN"/>
              </w:rPr>
              <w:t>。</w:t>
            </w:r>
          </w:p>
        </w:tc>
        <w:tc>
          <w:tcPr>
            <w:tcW w:w="1585" w:type="dxa"/>
          </w:tcPr>
          <w:p>
            <w:pPr>
              <w:pStyle w:val="3"/>
              <w:ind w:firstLine="0" w:firstLineChars="0"/>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rFonts w:hint="eastAsia" w:ascii="华文细黑" w:hAnsi="华文细黑" w:eastAsia="华文细黑" w:cs="华文细黑"/>
                <w:b/>
                <w:szCs w:val="21"/>
              </w:rPr>
            </w:pPr>
            <w:r>
              <w:rPr>
                <w:rFonts w:hint="eastAsia" w:ascii="华文细黑" w:hAnsi="华文细黑" w:eastAsia="华文细黑" w:cs="华文细黑"/>
                <w:szCs w:val="21"/>
              </w:rPr>
              <w:t>应急响应和准备</w:t>
            </w:r>
          </w:p>
        </w:tc>
        <w:tc>
          <w:tcPr>
            <w:tcW w:w="998" w:type="dxa"/>
          </w:tcPr>
          <w:p>
            <w:pPr>
              <w:spacing w:line="280" w:lineRule="exact"/>
              <w:rPr>
                <w:rFonts w:hint="eastAsia" w:ascii="华文细黑" w:hAnsi="华文细黑" w:eastAsia="华文细黑" w:cs="华文细黑"/>
                <w:szCs w:val="21"/>
              </w:rPr>
            </w:pPr>
            <w:r>
              <w:rPr>
                <w:rFonts w:hint="eastAsia" w:ascii="华文细黑" w:hAnsi="华文细黑" w:cs="华文细黑"/>
                <w:szCs w:val="21"/>
                <w:lang w:eastAsia="zh-CN"/>
              </w:rPr>
              <w:t>EO</w:t>
            </w:r>
            <w:r>
              <w:rPr>
                <w:rFonts w:hint="eastAsia" w:ascii="华文细黑" w:hAnsi="华文细黑" w:eastAsia="华文细黑" w:cs="华文细黑"/>
                <w:szCs w:val="21"/>
              </w:rPr>
              <w:t>8.2</w:t>
            </w:r>
          </w:p>
        </w:tc>
        <w:tc>
          <w:tcPr>
            <w:tcW w:w="10004" w:type="dxa"/>
            <w:vAlign w:val="center"/>
          </w:tcPr>
          <w:p>
            <w:pPr>
              <w:ind w:firstLine="420" w:firstLineChars="200"/>
              <w:rPr>
                <w:color w:val="FF0000"/>
                <w:szCs w:val="21"/>
              </w:rPr>
            </w:pPr>
            <w:r>
              <w:rPr>
                <w:rFonts w:hint="eastAsia"/>
                <w:color w:val="auto"/>
                <w:szCs w:val="21"/>
                <w:lang w:val="en-US" w:eastAsia="zh-CN"/>
              </w:rPr>
              <w:t>组织</w:t>
            </w:r>
            <w:r>
              <w:rPr>
                <w:rFonts w:hint="eastAsia"/>
                <w:color w:val="auto"/>
                <w:szCs w:val="21"/>
              </w:rPr>
              <w:t>编制了《</w:t>
            </w:r>
            <w:r>
              <w:rPr>
                <w:rFonts w:hint="eastAsia"/>
                <w:color w:val="auto"/>
                <w:szCs w:val="21"/>
                <w:lang w:eastAsia="zh-CN"/>
              </w:rPr>
              <w:t>应急响应管理程序</w:t>
            </w:r>
            <w:r>
              <w:rPr>
                <w:rFonts w:hint="eastAsia"/>
                <w:color w:val="auto"/>
                <w:szCs w:val="21"/>
              </w:rPr>
              <w:t>》，查看内容</w:t>
            </w:r>
            <w:r>
              <w:rPr>
                <w:rFonts w:hint="eastAsia"/>
                <w:color w:val="auto"/>
                <w:szCs w:val="21"/>
                <w:lang w:eastAsia="zh-CN"/>
              </w:rPr>
              <w:t>，</w:t>
            </w:r>
            <w:r>
              <w:rPr>
                <w:rFonts w:hint="eastAsia"/>
                <w:color w:val="auto"/>
                <w:szCs w:val="21"/>
              </w:rPr>
              <w:t>基本符合要求。</w:t>
            </w:r>
          </w:p>
          <w:p>
            <w:pPr>
              <w:ind w:firstLine="420" w:firstLineChars="200"/>
              <w:rPr>
                <w:rFonts w:hint="eastAsia"/>
                <w:color w:val="auto"/>
                <w:szCs w:val="21"/>
                <w:lang w:val="en-US" w:eastAsia="zh-CN"/>
              </w:rPr>
            </w:pPr>
            <w:r>
              <w:rPr>
                <w:rFonts w:hint="eastAsia"/>
                <w:color w:val="auto"/>
                <w:szCs w:val="21"/>
                <w:lang w:val="en-US" w:eastAsia="zh-CN"/>
              </w:rPr>
              <w:t>组织制定了综合应急预案，内容包括机械伤害、火灾、触电等，</w:t>
            </w:r>
            <w:r>
              <w:rPr>
                <w:rFonts w:hint="eastAsia"/>
                <w:color w:val="auto"/>
                <w:szCs w:val="21"/>
              </w:rPr>
              <w:t>策划成立</w:t>
            </w:r>
            <w:r>
              <w:rPr>
                <w:rFonts w:hint="eastAsia"/>
                <w:color w:val="auto"/>
                <w:szCs w:val="21"/>
                <w:lang w:val="en-US" w:eastAsia="zh-CN"/>
              </w:rPr>
              <w:t>应急救援领导小组</w:t>
            </w:r>
            <w:r>
              <w:rPr>
                <w:rFonts w:hint="eastAsia"/>
                <w:color w:val="auto"/>
                <w:szCs w:val="21"/>
              </w:rPr>
              <w:t>包括</w:t>
            </w:r>
            <w:r>
              <w:rPr>
                <w:rFonts w:hint="eastAsia"/>
                <w:color w:val="auto"/>
                <w:szCs w:val="21"/>
                <w:lang w:val="en-US" w:eastAsia="zh-CN"/>
              </w:rPr>
              <w:t>阳叶琴、桑磊等</w:t>
            </w:r>
            <w:r>
              <w:rPr>
                <w:rFonts w:hint="eastAsia"/>
                <w:color w:val="auto"/>
                <w:szCs w:val="21"/>
              </w:rPr>
              <w:t>；</w:t>
            </w:r>
            <w:r>
              <w:rPr>
                <w:rFonts w:hint="eastAsia"/>
                <w:color w:val="auto"/>
                <w:szCs w:val="21"/>
                <w:lang w:val="en-US" w:eastAsia="zh-CN"/>
              </w:rPr>
              <w:t>责任明确，响应程序清晰，符合要求。</w:t>
            </w:r>
          </w:p>
          <w:p>
            <w:pPr>
              <w:ind w:firstLine="420" w:firstLineChars="200"/>
              <w:rPr>
                <w:color w:val="auto"/>
                <w:szCs w:val="21"/>
              </w:rPr>
            </w:pPr>
            <w:r>
              <w:rPr>
                <w:rFonts w:hint="eastAsia"/>
                <w:color w:val="auto"/>
                <w:szCs w:val="21"/>
              </w:rPr>
              <w:t>提供了2</w:t>
            </w:r>
            <w:r>
              <w:rPr>
                <w:color w:val="auto"/>
                <w:szCs w:val="21"/>
              </w:rPr>
              <w:t>02</w:t>
            </w:r>
            <w:r>
              <w:rPr>
                <w:rFonts w:hint="eastAsia"/>
                <w:color w:val="auto"/>
                <w:szCs w:val="21"/>
                <w:lang w:val="en-US" w:eastAsia="zh-CN"/>
              </w:rPr>
              <w:t>2</w:t>
            </w:r>
            <w:r>
              <w:rPr>
                <w:color w:val="auto"/>
                <w:szCs w:val="21"/>
              </w:rPr>
              <w:t>.</w:t>
            </w:r>
            <w:r>
              <w:rPr>
                <w:rFonts w:hint="eastAsia"/>
                <w:color w:val="auto"/>
                <w:szCs w:val="21"/>
                <w:lang w:val="en-US" w:eastAsia="zh-CN"/>
              </w:rPr>
              <w:t>6</w:t>
            </w:r>
            <w:r>
              <w:rPr>
                <w:color w:val="auto"/>
                <w:szCs w:val="21"/>
              </w:rPr>
              <w:t>.</w:t>
            </w:r>
            <w:r>
              <w:rPr>
                <w:rFonts w:hint="eastAsia"/>
                <w:color w:val="auto"/>
                <w:szCs w:val="21"/>
                <w:lang w:val="en-US" w:eastAsia="zh-CN"/>
              </w:rPr>
              <w:t>20</w:t>
            </w:r>
            <w:r>
              <w:rPr>
                <w:rFonts w:hint="eastAsia"/>
                <w:color w:val="auto"/>
                <w:szCs w:val="21"/>
              </w:rPr>
              <w:t>消防灭火演练，参加人员包括</w:t>
            </w:r>
            <w:r>
              <w:rPr>
                <w:rFonts w:hint="eastAsia"/>
                <w:color w:val="auto"/>
                <w:szCs w:val="21"/>
                <w:lang w:val="en-US" w:eastAsia="zh-CN"/>
              </w:rPr>
              <w:t>企业应急救援领导小组和各车间工人</w:t>
            </w:r>
            <w:r>
              <w:rPr>
                <w:rFonts w:hint="eastAsia"/>
                <w:color w:val="auto"/>
                <w:szCs w:val="21"/>
              </w:rPr>
              <w:t>，记录了演练过程，</w:t>
            </w:r>
            <w:r>
              <w:rPr>
                <w:rFonts w:hint="eastAsia"/>
                <w:color w:val="auto"/>
                <w:szCs w:val="21"/>
                <w:lang w:val="en-US" w:eastAsia="zh-CN"/>
              </w:rPr>
              <w:t>询问办公室主任了解到，组织演练结束有现场总结大会，对演练过程作了评价，见现场演练和学习照片，可追溯记录的完整性有待加强</w:t>
            </w:r>
            <w:r>
              <w:rPr>
                <w:rFonts w:hint="eastAsia"/>
                <w:color w:val="auto"/>
                <w:szCs w:val="21"/>
              </w:rPr>
              <w:t>。</w:t>
            </w:r>
          </w:p>
          <w:p>
            <w:pPr>
              <w:spacing w:line="280" w:lineRule="exact"/>
              <w:ind w:firstLine="420" w:firstLineChars="200"/>
              <w:rPr>
                <w:rFonts w:ascii="宋体" w:hAnsi="宋体" w:cs="宋体"/>
                <w:color w:val="FF0000"/>
                <w:szCs w:val="21"/>
              </w:rPr>
            </w:pPr>
            <w:r>
              <w:rPr>
                <w:rFonts w:hint="eastAsia"/>
                <w:color w:val="auto"/>
                <w:szCs w:val="21"/>
              </w:rPr>
              <w:t>目前没有发生需响应的突发情况</w:t>
            </w:r>
            <w:r>
              <w:rPr>
                <w:rFonts w:hint="eastAsia"/>
                <w:color w:val="auto"/>
                <w:szCs w:val="21"/>
                <w:lang w:eastAsia="zh-CN"/>
              </w:rPr>
              <w:t>，</w:t>
            </w:r>
            <w:r>
              <w:rPr>
                <w:rFonts w:hint="eastAsia"/>
                <w:color w:val="auto"/>
                <w:szCs w:val="21"/>
              </w:rPr>
              <w:t>应急管理基本符合要求要求。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122" w:type="dxa"/>
            <w:vAlign w:val="top"/>
          </w:tcPr>
          <w:p>
            <w:pPr>
              <w:adjustRightInd w:val="0"/>
              <w:snapToGrid w:val="0"/>
              <w:spacing w:line="280" w:lineRule="exact"/>
              <w:rPr>
                <w:rFonts w:hint="eastAsia" w:ascii="华文细黑" w:hAnsi="华文细黑" w:eastAsia="华文细黑" w:cs="华文细黑"/>
                <w:spacing w:val="-12"/>
                <w:szCs w:val="21"/>
              </w:rPr>
            </w:pPr>
            <w:r>
              <w:rPr>
                <w:rFonts w:hint="eastAsia" w:ascii="华文细黑" w:hAnsi="华文细黑" w:eastAsia="华文细黑" w:cs="华文细黑"/>
                <w:spacing w:val="-12"/>
                <w:szCs w:val="21"/>
              </w:rPr>
              <w:t>不合格和纠正措施</w:t>
            </w:r>
          </w:p>
          <w:p>
            <w:pPr>
              <w:spacing w:line="280" w:lineRule="exact"/>
              <w:rPr>
                <w:rFonts w:hint="eastAsia" w:ascii="华文细黑" w:hAnsi="华文细黑" w:eastAsia="华文细黑" w:cs="华文细黑"/>
                <w:kern w:val="2"/>
                <w:sz w:val="21"/>
                <w:szCs w:val="21"/>
                <w:lang w:val="en-US" w:eastAsia="zh-CN" w:bidi="ar-SA"/>
              </w:rPr>
            </w:pPr>
          </w:p>
        </w:tc>
        <w:tc>
          <w:tcPr>
            <w:tcW w:w="998" w:type="dxa"/>
            <w:vAlign w:val="top"/>
          </w:tcPr>
          <w:p>
            <w:pPr>
              <w:spacing w:line="280" w:lineRule="exact"/>
              <w:rPr>
                <w:rFonts w:hint="eastAsia" w:ascii="华文细黑" w:hAnsi="华文细黑" w:eastAsia="华文细黑" w:cs="华文细黑"/>
                <w:kern w:val="2"/>
                <w:sz w:val="21"/>
                <w:szCs w:val="21"/>
                <w:lang w:val="en-US" w:eastAsia="zh-CN" w:bidi="ar-SA"/>
              </w:rPr>
            </w:pPr>
            <w:r>
              <w:rPr>
                <w:rFonts w:hint="eastAsia" w:ascii="华文细黑" w:hAnsi="华文细黑" w:cs="华文细黑"/>
                <w:szCs w:val="21"/>
                <w:lang w:eastAsia="zh-CN"/>
              </w:rPr>
              <w:t>EO</w:t>
            </w:r>
            <w:r>
              <w:rPr>
                <w:rFonts w:hint="eastAsia" w:ascii="华文细黑" w:hAnsi="华文细黑" w:eastAsia="华文细黑" w:cs="华文细黑"/>
                <w:szCs w:val="21"/>
              </w:rPr>
              <w:t>10.2</w:t>
            </w:r>
          </w:p>
        </w:tc>
        <w:tc>
          <w:tcPr>
            <w:tcW w:w="10004" w:type="dxa"/>
            <w:vAlign w:val="center"/>
          </w:tcPr>
          <w:p>
            <w:pPr>
              <w:snapToGrid w:val="0"/>
              <w:spacing w:line="280" w:lineRule="exact"/>
              <w:ind w:firstLine="420" w:firstLineChars="200"/>
              <w:jc w:val="left"/>
              <w:rPr>
                <w:color w:val="FF0000"/>
                <w:szCs w:val="21"/>
              </w:rPr>
            </w:pPr>
            <w:r>
              <w:rPr>
                <w:rFonts w:hint="eastAsia"/>
                <w:color w:val="auto"/>
                <w:szCs w:val="21"/>
                <w:lang w:val="en-US" w:eastAsia="zh-CN"/>
              </w:rPr>
              <w:t>办公室</w:t>
            </w:r>
            <w:r>
              <w:rPr>
                <w:rFonts w:hint="eastAsia"/>
                <w:color w:val="auto"/>
                <w:szCs w:val="21"/>
              </w:rPr>
              <w:t>负责人</w:t>
            </w:r>
            <w:r>
              <w:rPr>
                <w:rFonts w:hint="eastAsia"/>
                <w:color w:val="auto"/>
                <w:szCs w:val="21"/>
                <w:lang w:val="en-US" w:eastAsia="zh-CN"/>
              </w:rPr>
              <w:t>阳叶琴</w:t>
            </w:r>
            <w:r>
              <w:rPr>
                <w:rFonts w:hint="eastAsia"/>
                <w:color w:val="auto"/>
                <w:szCs w:val="21"/>
              </w:rPr>
              <w:t>介绍</w:t>
            </w:r>
            <w:r>
              <w:rPr>
                <w:rFonts w:hint="eastAsia"/>
                <w:color w:val="auto"/>
                <w:szCs w:val="21"/>
                <w:lang w:eastAsia="zh-CN"/>
              </w:rPr>
              <w:t>：</w:t>
            </w:r>
            <w:r>
              <w:rPr>
                <w:rFonts w:hint="eastAsia"/>
                <w:color w:val="auto"/>
                <w:szCs w:val="21"/>
                <w:lang w:val="en-US" w:eastAsia="zh-CN"/>
              </w:rPr>
              <w:t>公司</w:t>
            </w:r>
            <w:r>
              <w:rPr>
                <w:rFonts w:hint="eastAsia"/>
                <w:color w:val="auto"/>
                <w:szCs w:val="21"/>
              </w:rPr>
              <w:t>在运行过程中对发现的不合格都会采取纠正、纠正措施以防止不合格或不符合再次发生，同时也会举一反三地看待其他部门或类似过程，采取预防措施以防止发生不合格或不符合。</w:t>
            </w:r>
            <w:r>
              <w:rPr>
                <w:rFonts w:hint="eastAsia"/>
                <w:color w:val="FF0000"/>
                <w:szCs w:val="21"/>
              </w:rPr>
              <w:t xml:space="preserve"> </w:t>
            </w:r>
            <w:r>
              <w:rPr>
                <w:rFonts w:hint="eastAsia"/>
                <w:color w:val="FF0000"/>
                <w:szCs w:val="21"/>
                <w:lang w:val="en-US" w:eastAsia="zh-CN"/>
              </w:rPr>
              <w:t xml:space="preserve">  </w:t>
            </w:r>
            <w:r>
              <w:rPr>
                <w:rFonts w:hint="eastAsia"/>
                <w:color w:val="auto"/>
                <w:szCs w:val="21"/>
                <w:lang w:val="en-US" w:eastAsia="zh-CN"/>
              </w:rPr>
              <w:t>组织</w:t>
            </w:r>
            <w:r>
              <w:rPr>
                <w:rFonts w:hint="eastAsia"/>
                <w:color w:val="auto"/>
                <w:szCs w:val="21"/>
              </w:rPr>
              <w:t>内审时发现的</w:t>
            </w:r>
            <w:r>
              <w:rPr>
                <w:rFonts w:hint="eastAsia"/>
                <w:color w:val="auto"/>
                <w:szCs w:val="21"/>
                <w:lang w:val="en-US" w:eastAsia="zh-CN"/>
              </w:rPr>
              <w:t>1</w:t>
            </w:r>
            <w:r>
              <w:rPr>
                <w:rFonts w:hint="eastAsia"/>
                <w:color w:val="auto"/>
                <w:szCs w:val="21"/>
              </w:rPr>
              <w:t>项不符合项</w:t>
            </w:r>
            <w:r>
              <w:rPr>
                <w:rFonts w:hint="eastAsia"/>
                <w:color w:val="auto"/>
                <w:szCs w:val="21"/>
                <w:lang w:val="en-US" w:eastAsia="zh-CN"/>
              </w:rPr>
              <w:t>已</w:t>
            </w:r>
            <w:r>
              <w:rPr>
                <w:rFonts w:hint="eastAsia"/>
                <w:color w:val="auto"/>
                <w:szCs w:val="21"/>
              </w:rPr>
              <w:t>进行了原因分析</w:t>
            </w:r>
            <w:r>
              <w:rPr>
                <w:rFonts w:hint="eastAsia"/>
                <w:color w:val="auto"/>
                <w:szCs w:val="21"/>
                <w:lang w:eastAsia="zh-CN"/>
              </w:rPr>
              <w:t>，</w:t>
            </w:r>
            <w:r>
              <w:rPr>
                <w:rFonts w:hint="eastAsia"/>
                <w:color w:val="auto"/>
                <w:szCs w:val="21"/>
              </w:rPr>
              <w:t>纠正措施和验证</w:t>
            </w:r>
            <w:r>
              <w:rPr>
                <w:rFonts w:hint="eastAsia"/>
                <w:color w:val="auto"/>
                <w:szCs w:val="21"/>
                <w:lang w:val="en-US" w:eastAsia="zh-CN"/>
              </w:rPr>
              <w:t>内容基本完整</w:t>
            </w:r>
            <w:r>
              <w:rPr>
                <w:rFonts w:hint="eastAsia"/>
                <w:color w:val="auto"/>
                <w:szCs w:val="21"/>
              </w:rPr>
              <w:t>。</w:t>
            </w:r>
          </w:p>
          <w:p>
            <w:pPr>
              <w:snapToGrid w:val="0"/>
              <w:spacing w:line="280" w:lineRule="exact"/>
              <w:ind w:firstLine="420" w:firstLineChars="200"/>
              <w:jc w:val="left"/>
              <w:rPr>
                <w:rFonts w:hint="eastAsia"/>
                <w:color w:val="auto"/>
                <w:szCs w:val="21"/>
                <w:lang w:val="en-US" w:eastAsia="zh-CN"/>
              </w:rPr>
            </w:pPr>
            <w:r>
              <w:rPr>
                <w:rFonts w:hint="eastAsia"/>
                <w:color w:val="auto"/>
                <w:szCs w:val="21"/>
                <w:lang w:val="en-US" w:eastAsia="zh-CN"/>
              </w:rPr>
              <w:t>现场抽查组织的工业企业安全检查在线系统记录：内容包括不合格内容、整改期限等，基本完整。询问办公室负责人阳叶琴了解到，组织的责任人在整改的基础上会根据不合格事项进行原因分析，找到消除原因的根本措施并落实，基本满足标准的要求。</w:t>
            </w:r>
          </w:p>
          <w:p>
            <w:pPr>
              <w:snapToGrid w:val="0"/>
              <w:spacing w:line="280" w:lineRule="exact"/>
              <w:ind w:firstLine="420" w:firstLineChars="200"/>
              <w:jc w:val="left"/>
              <w:rPr>
                <w:color w:val="FF0000"/>
                <w:szCs w:val="21"/>
              </w:rPr>
            </w:pPr>
            <w:r>
              <w:rPr>
                <w:rFonts w:hint="default"/>
                <w:color w:val="auto"/>
                <w:szCs w:val="21"/>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5043170" cy="2268220"/>
                  <wp:effectExtent l="0" t="0" r="11430" b="5080"/>
                  <wp:wrapTopAndBottom/>
                  <wp:docPr id="6" name="图片 6" descr="c1618406e085585c6222c9975eb9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1618406e085585c6222c9975eb9230"/>
                          <pic:cNvPicPr>
                            <a:picLocks noChangeAspect="1"/>
                          </pic:cNvPicPr>
                        </pic:nvPicPr>
                        <pic:blipFill>
                          <a:blip r:embed="rId7"/>
                          <a:stretch>
                            <a:fillRect/>
                          </a:stretch>
                        </pic:blipFill>
                        <pic:spPr>
                          <a:xfrm>
                            <a:off x="0" y="0"/>
                            <a:ext cx="5043170" cy="2268220"/>
                          </a:xfrm>
                          <a:prstGeom prst="rect">
                            <a:avLst/>
                          </a:prstGeom>
                        </pic:spPr>
                      </pic:pic>
                    </a:graphicData>
                  </a:graphic>
                </wp:anchor>
              </w:drawing>
            </w:r>
            <w:r>
              <w:rPr>
                <w:rFonts w:hint="eastAsia"/>
                <w:color w:val="auto"/>
                <w:szCs w:val="21"/>
                <w:lang w:val="en-US" w:eastAsia="zh-CN"/>
              </w:rPr>
              <w:t>组织</w:t>
            </w:r>
            <w:r>
              <w:rPr>
                <w:rFonts w:hint="eastAsia"/>
                <w:color w:val="auto"/>
                <w:szCs w:val="21"/>
              </w:rPr>
              <w:t>对纠正措施的管理基本符合要求。</w:t>
            </w:r>
          </w:p>
          <w:p>
            <w:pPr>
              <w:snapToGrid w:val="0"/>
              <w:spacing w:line="280" w:lineRule="exact"/>
              <w:ind w:firstLine="420" w:firstLineChars="200"/>
              <w:jc w:val="left"/>
              <w:rPr>
                <w:rFonts w:ascii="Times New Roman" w:hAnsi="Times New Roman" w:eastAsia="华文细黑" w:cs="Times New Roman"/>
                <w:color w:val="FF0000"/>
                <w:kern w:val="2"/>
                <w:sz w:val="21"/>
                <w:szCs w:val="21"/>
                <w:lang w:val="en-US" w:eastAsia="zh-CN" w:bidi="ar-SA"/>
              </w:rPr>
            </w:pPr>
            <w:r>
              <w:rPr>
                <w:rFonts w:hint="eastAsia"/>
                <w:color w:val="auto"/>
                <w:szCs w:val="21"/>
              </w:rPr>
              <w:t>审核周期内，没有发生环境或职业健康安全方面的事故。</w:t>
            </w:r>
          </w:p>
        </w:tc>
        <w:tc>
          <w:tcPr>
            <w:tcW w:w="1585" w:type="dxa"/>
            <w:vAlign w:val="top"/>
          </w:tcPr>
          <w:p>
            <w:pPr>
              <w:rPr>
                <w:rFonts w:ascii="Times New Roman" w:hAnsi="Times New Roman" w:eastAsia="华文细黑" w:cs="Times New Roman"/>
                <w:kern w:val="2"/>
                <w:sz w:val="21"/>
                <w:lang w:val="en-US" w:eastAsia="zh-CN" w:bidi="ar-SA"/>
              </w:rPr>
            </w:pPr>
            <w:r>
              <w:rPr>
                <w:rFonts w:hint="eastAsia"/>
              </w:rPr>
              <w:t>Y</w:t>
            </w:r>
          </w:p>
        </w:tc>
      </w:tr>
    </w:tbl>
    <w:p>
      <w:pPr>
        <w:pStyle w:val="5"/>
      </w:pPr>
      <w:r>
        <w:rPr>
          <w:rFonts w:hint="eastAsia"/>
        </w:rPr>
        <w:t>说明：</w:t>
      </w:r>
      <w:r>
        <w:rPr>
          <w:rFonts w:hint="eastAsia"/>
          <w:lang w:val="en-US" w:eastAsia="zh-CN"/>
        </w:rPr>
        <w:t>符合标注Y，</w:t>
      </w:r>
      <w:r>
        <w:rPr>
          <w:rFonts w:hint="eastAsia"/>
        </w:rPr>
        <w:t>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60288;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ind w:firstLine="756" w:firstLineChars="400"/>
      <w:jc w:val="left"/>
    </w:pPr>
    <w:r>
      <w:rPr>
        <w:rStyle w:val="14"/>
        <w:rFonts w:hint="default"/>
        <w:w w:val="90"/>
      </w:rPr>
      <w:t>B</w:t>
    </w:r>
    <w:r>
      <w:rPr>
        <w:rStyle w:val="14"/>
        <w:rFonts w:hint="eastAsia"/>
        <w:w w:val="90"/>
      </w:rPr>
      <w:t>EO</w:t>
    </w:r>
    <w:r>
      <w:rPr>
        <w:rStyle w:val="14"/>
        <w:rFonts w:hint="default"/>
        <w:w w:val="90"/>
      </w:rPr>
      <w:t>ijing Int</w:t>
    </w:r>
    <w:r>
      <w:rPr>
        <w:rStyle w:val="14"/>
        <w:rFonts w:hint="eastAsia"/>
        <w:w w:val="90"/>
      </w:rPr>
      <w:t>EO</w:t>
    </w:r>
    <w:r>
      <w:rPr>
        <w:rStyle w:val="14"/>
        <w:rFonts w:hint="default"/>
        <w:w w:val="90"/>
      </w:rPr>
      <w:t>rnational Standard unit</w:t>
    </w:r>
    <w:r>
      <w:rPr>
        <w:rStyle w:val="14"/>
        <w:rFonts w:hint="eastAsia"/>
        <w:w w:val="90"/>
      </w:rPr>
      <w:t>EO</w:t>
    </w:r>
    <w:r>
      <w:rPr>
        <w:rStyle w:val="14"/>
        <w:rFonts w:hint="default"/>
        <w:w w:val="90"/>
      </w:rPr>
      <w:t>d C</w:t>
    </w:r>
    <w:r>
      <w:rPr>
        <w:rStyle w:val="14"/>
        <w:rFonts w:hint="eastAsia"/>
        <w:w w:val="90"/>
      </w:rPr>
      <w:t>EO</w:t>
    </w:r>
    <w:r>
      <w:rPr>
        <w:rStyle w:val="14"/>
        <w:rFonts w:hint="default"/>
        <w:w w:val="90"/>
      </w:rPr>
      <w:t>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D2BEE"/>
    <w:multiLevelType w:val="singleLevel"/>
    <w:tmpl w:val="99FD2BEE"/>
    <w:lvl w:ilvl="0" w:tentative="0">
      <w:start w:val="1"/>
      <w:numFmt w:val="decimal"/>
      <w:suff w:val="nothing"/>
      <w:lvlText w:val="%1、"/>
      <w:lvlJc w:val="left"/>
    </w:lvl>
  </w:abstractNum>
  <w:abstractNum w:abstractNumId="1">
    <w:nsid w:val="2A69F2AE"/>
    <w:multiLevelType w:val="singleLevel"/>
    <w:tmpl w:val="2A69F2AE"/>
    <w:lvl w:ilvl="0" w:tentative="0">
      <w:start w:val="1"/>
      <w:numFmt w:val="decimal"/>
      <w:suff w:val="nothing"/>
      <w:lvlText w:val="%1、"/>
      <w:lvlJc w:val="left"/>
    </w:lvl>
  </w:abstractNum>
  <w:abstractNum w:abstractNumId="2">
    <w:nsid w:val="51671712"/>
    <w:multiLevelType w:val="multilevel"/>
    <w:tmpl w:val="516717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F146B3"/>
    <w:multiLevelType w:val="singleLevel"/>
    <w:tmpl w:val="59F146B3"/>
    <w:lvl w:ilvl="0" w:tentative="0">
      <w:start w:val="1"/>
      <w:numFmt w:val="decimal"/>
      <w:suff w:val="nothing"/>
      <w:lvlText w:val="%1、"/>
      <w:lvlJc w:val="left"/>
    </w:lvl>
  </w:abstractNum>
  <w:abstractNum w:abstractNumId="4">
    <w:nsid w:val="5A0EF485"/>
    <w:multiLevelType w:val="singleLevel"/>
    <w:tmpl w:val="5A0EF485"/>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4ZWJiZGY2YjU2MmRhNjg4NDA1NWJhMzhhZTVmYzcifQ=="/>
  </w:docVars>
  <w:rsids>
    <w:rsidRoot w:val="00814B16"/>
    <w:rsid w:val="00011ABE"/>
    <w:rsid w:val="000476DE"/>
    <w:rsid w:val="00076C21"/>
    <w:rsid w:val="00077C88"/>
    <w:rsid w:val="000A75BA"/>
    <w:rsid w:val="000B0CD5"/>
    <w:rsid w:val="000B6409"/>
    <w:rsid w:val="000C453A"/>
    <w:rsid w:val="000F1325"/>
    <w:rsid w:val="000F14E3"/>
    <w:rsid w:val="00115E0C"/>
    <w:rsid w:val="00121BF2"/>
    <w:rsid w:val="001311B9"/>
    <w:rsid w:val="00133E72"/>
    <w:rsid w:val="00140940"/>
    <w:rsid w:val="00140A69"/>
    <w:rsid w:val="0016036E"/>
    <w:rsid w:val="0017329E"/>
    <w:rsid w:val="001937C7"/>
    <w:rsid w:val="001945D7"/>
    <w:rsid w:val="001A05B6"/>
    <w:rsid w:val="001A3B63"/>
    <w:rsid w:val="001C2319"/>
    <w:rsid w:val="001C57A3"/>
    <w:rsid w:val="001F0E7B"/>
    <w:rsid w:val="002533F4"/>
    <w:rsid w:val="00280E26"/>
    <w:rsid w:val="00287457"/>
    <w:rsid w:val="002B1F69"/>
    <w:rsid w:val="002B36EC"/>
    <w:rsid w:val="002C22A6"/>
    <w:rsid w:val="002C7A45"/>
    <w:rsid w:val="002E14F1"/>
    <w:rsid w:val="002E29A0"/>
    <w:rsid w:val="002E55EA"/>
    <w:rsid w:val="002F05BD"/>
    <w:rsid w:val="003015FB"/>
    <w:rsid w:val="003079AF"/>
    <w:rsid w:val="003273C2"/>
    <w:rsid w:val="003445A0"/>
    <w:rsid w:val="00382525"/>
    <w:rsid w:val="00384FEF"/>
    <w:rsid w:val="00397D3F"/>
    <w:rsid w:val="003C254E"/>
    <w:rsid w:val="003E434A"/>
    <w:rsid w:val="0042030E"/>
    <w:rsid w:val="0043712F"/>
    <w:rsid w:val="004450A7"/>
    <w:rsid w:val="0047490C"/>
    <w:rsid w:val="004819AB"/>
    <w:rsid w:val="004B20B2"/>
    <w:rsid w:val="004D14C1"/>
    <w:rsid w:val="004D6FC5"/>
    <w:rsid w:val="004E6448"/>
    <w:rsid w:val="004E7665"/>
    <w:rsid w:val="004F4E79"/>
    <w:rsid w:val="00503F34"/>
    <w:rsid w:val="005074C4"/>
    <w:rsid w:val="00507E17"/>
    <w:rsid w:val="00516205"/>
    <w:rsid w:val="00532DE5"/>
    <w:rsid w:val="00551E35"/>
    <w:rsid w:val="0056074B"/>
    <w:rsid w:val="00567182"/>
    <w:rsid w:val="005A2330"/>
    <w:rsid w:val="005A23B2"/>
    <w:rsid w:val="005B6C34"/>
    <w:rsid w:val="005D2531"/>
    <w:rsid w:val="005F0BF3"/>
    <w:rsid w:val="00607170"/>
    <w:rsid w:val="00621EA2"/>
    <w:rsid w:val="006256EF"/>
    <w:rsid w:val="00646303"/>
    <w:rsid w:val="0066353B"/>
    <w:rsid w:val="00672093"/>
    <w:rsid w:val="00672CC5"/>
    <w:rsid w:val="00680222"/>
    <w:rsid w:val="006842EC"/>
    <w:rsid w:val="006A75D1"/>
    <w:rsid w:val="006E4E1C"/>
    <w:rsid w:val="006F2650"/>
    <w:rsid w:val="006F2C8A"/>
    <w:rsid w:val="00715292"/>
    <w:rsid w:val="007469D5"/>
    <w:rsid w:val="0075560B"/>
    <w:rsid w:val="00756C63"/>
    <w:rsid w:val="00761387"/>
    <w:rsid w:val="00774749"/>
    <w:rsid w:val="007861D2"/>
    <w:rsid w:val="007A0504"/>
    <w:rsid w:val="007B4E33"/>
    <w:rsid w:val="007C4E24"/>
    <w:rsid w:val="007C5A7D"/>
    <w:rsid w:val="007C6A31"/>
    <w:rsid w:val="007D7CBB"/>
    <w:rsid w:val="007E6050"/>
    <w:rsid w:val="00814B16"/>
    <w:rsid w:val="008242EA"/>
    <w:rsid w:val="008265BB"/>
    <w:rsid w:val="00834CE8"/>
    <w:rsid w:val="0085042B"/>
    <w:rsid w:val="008631F9"/>
    <w:rsid w:val="0088726D"/>
    <w:rsid w:val="00894521"/>
    <w:rsid w:val="008A1509"/>
    <w:rsid w:val="008B3B2F"/>
    <w:rsid w:val="008C01A2"/>
    <w:rsid w:val="008D2E87"/>
    <w:rsid w:val="008D3475"/>
    <w:rsid w:val="0092791F"/>
    <w:rsid w:val="00954D65"/>
    <w:rsid w:val="00955C0E"/>
    <w:rsid w:val="00976860"/>
    <w:rsid w:val="00980972"/>
    <w:rsid w:val="00991AEB"/>
    <w:rsid w:val="009977CF"/>
    <w:rsid w:val="009B1072"/>
    <w:rsid w:val="009E3AE2"/>
    <w:rsid w:val="00A01526"/>
    <w:rsid w:val="00A30F85"/>
    <w:rsid w:val="00A52229"/>
    <w:rsid w:val="00A5728B"/>
    <w:rsid w:val="00A676B7"/>
    <w:rsid w:val="00A76F84"/>
    <w:rsid w:val="00A86196"/>
    <w:rsid w:val="00A94706"/>
    <w:rsid w:val="00AE6698"/>
    <w:rsid w:val="00B007F3"/>
    <w:rsid w:val="00B119B7"/>
    <w:rsid w:val="00B361C1"/>
    <w:rsid w:val="00B531A8"/>
    <w:rsid w:val="00B53B05"/>
    <w:rsid w:val="00B6507C"/>
    <w:rsid w:val="00C277AC"/>
    <w:rsid w:val="00C41F32"/>
    <w:rsid w:val="00C4272D"/>
    <w:rsid w:val="00C44388"/>
    <w:rsid w:val="00C60EB8"/>
    <w:rsid w:val="00C827AA"/>
    <w:rsid w:val="00C856E9"/>
    <w:rsid w:val="00C94573"/>
    <w:rsid w:val="00CA1BE3"/>
    <w:rsid w:val="00CD1E5C"/>
    <w:rsid w:val="00CD4ED7"/>
    <w:rsid w:val="00CD58BC"/>
    <w:rsid w:val="00D05DB2"/>
    <w:rsid w:val="00D10BBD"/>
    <w:rsid w:val="00D41A0A"/>
    <w:rsid w:val="00D6037A"/>
    <w:rsid w:val="00D76E1D"/>
    <w:rsid w:val="00D83619"/>
    <w:rsid w:val="00D937E0"/>
    <w:rsid w:val="00DE1A2C"/>
    <w:rsid w:val="00DE2FCE"/>
    <w:rsid w:val="00DF19AB"/>
    <w:rsid w:val="00E0114F"/>
    <w:rsid w:val="00E11BD3"/>
    <w:rsid w:val="00E17655"/>
    <w:rsid w:val="00E219A3"/>
    <w:rsid w:val="00E41911"/>
    <w:rsid w:val="00E556FE"/>
    <w:rsid w:val="00E944DC"/>
    <w:rsid w:val="00E97654"/>
    <w:rsid w:val="00EA2EA2"/>
    <w:rsid w:val="00EB1A5C"/>
    <w:rsid w:val="00EB6AAC"/>
    <w:rsid w:val="00ED41DC"/>
    <w:rsid w:val="00F01F3E"/>
    <w:rsid w:val="00F05246"/>
    <w:rsid w:val="00F11424"/>
    <w:rsid w:val="00F13731"/>
    <w:rsid w:val="00F43CC1"/>
    <w:rsid w:val="00F5455B"/>
    <w:rsid w:val="00F62C59"/>
    <w:rsid w:val="00F75FE8"/>
    <w:rsid w:val="00F97810"/>
    <w:rsid w:val="00FB5026"/>
    <w:rsid w:val="00FB6FAA"/>
    <w:rsid w:val="00FF0A51"/>
    <w:rsid w:val="00FF1D21"/>
    <w:rsid w:val="01BA61B0"/>
    <w:rsid w:val="01DF16BA"/>
    <w:rsid w:val="02254EC7"/>
    <w:rsid w:val="02586A9A"/>
    <w:rsid w:val="02BC2E4D"/>
    <w:rsid w:val="02D377A8"/>
    <w:rsid w:val="032D0216"/>
    <w:rsid w:val="03336870"/>
    <w:rsid w:val="03AC52B5"/>
    <w:rsid w:val="04062E89"/>
    <w:rsid w:val="05B85905"/>
    <w:rsid w:val="0602013E"/>
    <w:rsid w:val="071B6C1D"/>
    <w:rsid w:val="085D5AE7"/>
    <w:rsid w:val="08A54D99"/>
    <w:rsid w:val="0A755CD1"/>
    <w:rsid w:val="0ACF703A"/>
    <w:rsid w:val="0B1108DD"/>
    <w:rsid w:val="0C530247"/>
    <w:rsid w:val="0C976FDA"/>
    <w:rsid w:val="0E4C0412"/>
    <w:rsid w:val="108170F2"/>
    <w:rsid w:val="10D135BB"/>
    <w:rsid w:val="11327424"/>
    <w:rsid w:val="11B844E6"/>
    <w:rsid w:val="11DC5CCF"/>
    <w:rsid w:val="125E771B"/>
    <w:rsid w:val="12CE4707"/>
    <w:rsid w:val="13E75902"/>
    <w:rsid w:val="147F4229"/>
    <w:rsid w:val="15E23FCD"/>
    <w:rsid w:val="1723614A"/>
    <w:rsid w:val="19453F9D"/>
    <w:rsid w:val="1A2C1138"/>
    <w:rsid w:val="1A8C571F"/>
    <w:rsid w:val="1AFC6A7B"/>
    <w:rsid w:val="1B9D35F1"/>
    <w:rsid w:val="1BC31CAE"/>
    <w:rsid w:val="1BD16179"/>
    <w:rsid w:val="1BF713A7"/>
    <w:rsid w:val="1CB3762C"/>
    <w:rsid w:val="1D7A0709"/>
    <w:rsid w:val="1D857A55"/>
    <w:rsid w:val="1EF65EF6"/>
    <w:rsid w:val="1F513B5F"/>
    <w:rsid w:val="1F647589"/>
    <w:rsid w:val="20531852"/>
    <w:rsid w:val="205B14EB"/>
    <w:rsid w:val="207565A9"/>
    <w:rsid w:val="20F677A8"/>
    <w:rsid w:val="227B471A"/>
    <w:rsid w:val="23667023"/>
    <w:rsid w:val="23FF4344"/>
    <w:rsid w:val="24575E37"/>
    <w:rsid w:val="24672435"/>
    <w:rsid w:val="249A18B6"/>
    <w:rsid w:val="24BB17FD"/>
    <w:rsid w:val="24DE310F"/>
    <w:rsid w:val="25195A95"/>
    <w:rsid w:val="2524184E"/>
    <w:rsid w:val="26AF6371"/>
    <w:rsid w:val="26D346A5"/>
    <w:rsid w:val="26D6366A"/>
    <w:rsid w:val="2773480C"/>
    <w:rsid w:val="27945E35"/>
    <w:rsid w:val="28210959"/>
    <w:rsid w:val="28E9010A"/>
    <w:rsid w:val="293F05ED"/>
    <w:rsid w:val="2A286D81"/>
    <w:rsid w:val="2B522350"/>
    <w:rsid w:val="2C6F41C6"/>
    <w:rsid w:val="2C7A03CC"/>
    <w:rsid w:val="2D481A7F"/>
    <w:rsid w:val="2DCD0C0E"/>
    <w:rsid w:val="2EE8445D"/>
    <w:rsid w:val="2EEA0C6A"/>
    <w:rsid w:val="2F87606E"/>
    <w:rsid w:val="2F8E774C"/>
    <w:rsid w:val="30F370A1"/>
    <w:rsid w:val="31187669"/>
    <w:rsid w:val="31200DC9"/>
    <w:rsid w:val="33721B98"/>
    <w:rsid w:val="36E645BD"/>
    <w:rsid w:val="36E9459B"/>
    <w:rsid w:val="38B86042"/>
    <w:rsid w:val="3ABB7436"/>
    <w:rsid w:val="3BF11971"/>
    <w:rsid w:val="3C44609B"/>
    <w:rsid w:val="3C7C032F"/>
    <w:rsid w:val="3DD11192"/>
    <w:rsid w:val="3E674D33"/>
    <w:rsid w:val="3F3E3276"/>
    <w:rsid w:val="3F912E70"/>
    <w:rsid w:val="40200850"/>
    <w:rsid w:val="402E2229"/>
    <w:rsid w:val="40DE2ABE"/>
    <w:rsid w:val="40E01908"/>
    <w:rsid w:val="4190420C"/>
    <w:rsid w:val="41BB3D49"/>
    <w:rsid w:val="43AF7095"/>
    <w:rsid w:val="43E96A97"/>
    <w:rsid w:val="44534FFF"/>
    <w:rsid w:val="44583C20"/>
    <w:rsid w:val="4583719D"/>
    <w:rsid w:val="45FD2E6E"/>
    <w:rsid w:val="45FE1F72"/>
    <w:rsid w:val="46827F5C"/>
    <w:rsid w:val="46A97E54"/>
    <w:rsid w:val="4716126A"/>
    <w:rsid w:val="47CE0EBF"/>
    <w:rsid w:val="49B817A2"/>
    <w:rsid w:val="4A73056F"/>
    <w:rsid w:val="4AC26056"/>
    <w:rsid w:val="4B6A0AC5"/>
    <w:rsid w:val="4BD7353E"/>
    <w:rsid w:val="4C58179D"/>
    <w:rsid w:val="4CBE661B"/>
    <w:rsid w:val="4CD21F1F"/>
    <w:rsid w:val="4D000E10"/>
    <w:rsid w:val="4DED56EF"/>
    <w:rsid w:val="4F5E395C"/>
    <w:rsid w:val="4FB61711"/>
    <w:rsid w:val="50F66392"/>
    <w:rsid w:val="5357724D"/>
    <w:rsid w:val="536C1ECE"/>
    <w:rsid w:val="539B3F15"/>
    <w:rsid w:val="540864EE"/>
    <w:rsid w:val="543B096F"/>
    <w:rsid w:val="552C5634"/>
    <w:rsid w:val="55E55977"/>
    <w:rsid w:val="55E97944"/>
    <w:rsid w:val="55F50192"/>
    <w:rsid w:val="56595281"/>
    <w:rsid w:val="57623B4D"/>
    <w:rsid w:val="57F378C0"/>
    <w:rsid w:val="58FA1B64"/>
    <w:rsid w:val="5A3F58C5"/>
    <w:rsid w:val="5AF85B05"/>
    <w:rsid w:val="5B0E50C4"/>
    <w:rsid w:val="5BF168A5"/>
    <w:rsid w:val="5BFD1BD2"/>
    <w:rsid w:val="5C4C0908"/>
    <w:rsid w:val="5C653E6B"/>
    <w:rsid w:val="5CB44175"/>
    <w:rsid w:val="5D414205"/>
    <w:rsid w:val="5F794766"/>
    <w:rsid w:val="5FCB1D46"/>
    <w:rsid w:val="6024201E"/>
    <w:rsid w:val="60E70C20"/>
    <w:rsid w:val="61137C66"/>
    <w:rsid w:val="61513795"/>
    <w:rsid w:val="616E7612"/>
    <w:rsid w:val="629767E0"/>
    <w:rsid w:val="63B37A30"/>
    <w:rsid w:val="65B551A7"/>
    <w:rsid w:val="661F54A0"/>
    <w:rsid w:val="66A77424"/>
    <w:rsid w:val="670B7518"/>
    <w:rsid w:val="67272B19"/>
    <w:rsid w:val="67476E4E"/>
    <w:rsid w:val="678C06FD"/>
    <w:rsid w:val="67D813EB"/>
    <w:rsid w:val="692549DB"/>
    <w:rsid w:val="693F01DF"/>
    <w:rsid w:val="696F23B3"/>
    <w:rsid w:val="6A1615BE"/>
    <w:rsid w:val="6C031950"/>
    <w:rsid w:val="6C343791"/>
    <w:rsid w:val="6D3B6417"/>
    <w:rsid w:val="6DC252F8"/>
    <w:rsid w:val="6DE9025D"/>
    <w:rsid w:val="6E02242C"/>
    <w:rsid w:val="6E271913"/>
    <w:rsid w:val="6E413290"/>
    <w:rsid w:val="714B092C"/>
    <w:rsid w:val="71ED62B2"/>
    <w:rsid w:val="725700A9"/>
    <w:rsid w:val="72BE2F25"/>
    <w:rsid w:val="731F400F"/>
    <w:rsid w:val="74757AB2"/>
    <w:rsid w:val="747D06DB"/>
    <w:rsid w:val="74AE293F"/>
    <w:rsid w:val="74D1728E"/>
    <w:rsid w:val="74EB35CA"/>
    <w:rsid w:val="750F1D04"/>
    <w:rsid w:val="755525E9"/>
    <w:rsid w:val="763A1C6A"/>
    <w:rsid w:val="769A7E7D"/>
    <w:rsid w:val="77046592"/>
    <w:rsid w:val="770B1A7F"/>
    <w:rsid w:val="778D033F"/>
    <w:rsid w:val="779C230C"/>
    <w:rsid w:val="79C02F7D"/>
    <w:rsid w:val="7B6770D5"/>
    <w:rsid w:val="7B8908A3"/>
    <w:rsid w:val="7C8E5A9B"/>
    <w:rsid w:val="7C9823B4"/>
    <w:rsid w:val="7CB42A53"/>
    <w:rsid w:val="7D0C0A6E"/>
    <w:rsid w:val="7D69080A"/>
    <w:rsid w:val="7E011EBB"/>
    <w:rsid w:val="7E2161C9"/>
    <w:rsid w:val="7E826190"/>
    <w:rsid w:val="7FE360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细黑" w:cs="Times New Roman"/>
      <w:kern w:val="2"/>
      <w:sz w:val="21"/>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
    <w:basedOn w:val="1"/>
    <w:qFormat/>
    <w:uiPriority w:val="0"/>
    <w:pPr>
      <w:spacing w:before="25" w:after="25"/>
    </w:pPr>
    <w:rPr>
      <w:bCs/>
      <w:spacing w:val="10"/>
    </w:rPr>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character" w:customStyle="1" w:styleId="13">
    <w:name w:val="批注框文本 字符"/>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Char"/>
    <w:basedOn w:val="1"/>
    <w:qFormat/>
    <w:uiPriority w:val="0"/>
    <w:rPr>
      <w:rFonts w:ascii="仿宋_GB2312" w:eastAsia="仿宋_GB2312"/>
      <w:b/>
      <w:sz w:val="32"/>
      <w:szCs w:val="32"/>
    </w:rPr>
  </w:style>
  <w:style w:type="paragraph" w:customStyle="1" w:styleId="16">
    <w:name w:val="_Style 2"/>
    <w:basedOn w:val="1"/>
    <w:qFormat/>
    <w:uiPriority w:val="34"/>
    <w:pPr>
      <w:ind w:firstLine="420" w:firstLineChars="200"/>
    </w:pPr>
    <w:rPr>
      <w:rFonts w:ascii="Calibri" w:hAnsi="Calibri"/>
      <w:sz w:val="24"/>
      <w:szCs w:val="22"/>
    </w:rPr>
  </w:style>
  <w:style w:type="character" w:customStyle="1" w:styleId="17">
    <w:name w:val="boxs"/>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4712</Words>
  <Characters>5015</Characters>
  <Lines>39</Lines>
  <Paragraphs>11</Paragraphs>
  <TotalTime>0</TotalTime>
  <ScaleCrop>false</ScaleCrop>
  <LinksUpToDate>false</LinksUpToDate>
  <CharactersWithSpaces>5057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2021-04-29T10:46:00Z</dcterms:created>
  <dc:creator>微软用户</dc:creator>
  <cp:lastModifiedBy>春华秋实</cp:lastModifiedBy>
  <dcterms:modified xsi:type="dcterms:W3CDTF">2022-12-06T17:11:51Z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621554457884419182C7443C429D7D26</vt:lpwstr>
  </property>
</Properties>
</file>