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480" w:rsidRDefault="00A80F96">
      <w:pPr>
        <w:spacing w:line="480" w:lineRule="exact"/>
        <w:jc w:val="center"/>
        <w:rPr>
          <w:rFonts w:asciiTheme="minorEastAsia" w:eastAsiaTheme="minorEastAsia" w:hAnsiTheme="minorEastAsia"/>
          <w:b/>
          <w:sz w:val="28"/>
          <w:szCs w:val="28"/>
        </w:rPr>
      </w:pPr>
      <w:r>
        <w:rPr>
          <w:rFonts w:asciiTheme="minorEastAsia" w:eastAsiaTheme="minorEastAsia" w:hAnsiTheme="minorEastAsia" w:hint="eastAsia"/>
          <w:b/>
          <w:bCs/>
          <w:sz w:val="28"/>
          <w:szCs w:val="28"/>
        </w:rPr>
        <w:t>管理体系审核记录表</w:t>
      </w:r>
    </w:p>
    <w:p w:rsidR="00013480" w:rsidRDefault="00013480">
      <w:pPr>
        <w:pStyle w:val="a7"/>
        <w:rPr>
          <w:rFonts w:asciiTheme="minorEastAsia" w:eastAsiaTheme="minorEastAsia" w:hAnsiTheme="minorEastAsia"/>
          <w:b/>
          <w:sz w:val="21"/>
          <w:szCs w:val="21"/>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3"/>
        <w:gridCol w:w="9921"/>
        <w:gridCol w:w="1673"/>
        <w:gridCol w:w="28"/>
      </w:tblGrid>
      <w:tr w:rsidR="00013480">
        <w:trPr>
          <w:gridAfter w:val="1"/>
          <w:wAfter w:w="28" w:type="dxa"/>
          <w:trHeight w:val="515"/>
        </w:trPr>
        <w:tc>
          <w:tcPr>
            <w:tcW w:w="2127" w:type="dxa"/>
            <w:vMerge w:val="restart"/>
            <w:vAlign w:val="center"/>
          </w:tcPr>
          <w:p w:rsidR="00013480" w:rsidRDefault="00A80F96">
            <w:pPr>
              <w:spacing w:before="120"/>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013480" w:rsidRDefault="00A80F96">
            <w:pPr>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93" w:type="dxa"/>
            <w:vMerge w:val="restart"/>
            <w:vAlign w:val="center"/>
          </w:tcPr>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涉及</w:t>
            </w:r>
          </w:p>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条款</w:t>
            </w:r>
          </w:p>
        </w:tc>
        <w:tc>
          <w:tcPr>
            <w:tcW w:w="9921" w:type="dxa"/>
            <w:vAlign w:val="center"/>
          </w:tcPr>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受审核部门：</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行政部</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主管领导</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黄莹</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陪同人员：</w:t>
            </w:r>
            <w:r>
              <w:rPr>
                <w:rFonts w:asciiTheme="minorEastAsia" w:eastAsiaTheme="minorEastAsia" w:hAnsiTheme="minorEastAsia"/>
                <w:szCs w:val="21"/>
              </w:rPr>
              <w:t xml:space="preserve"> </w:t>
            </w:r>
            <w:r>
              <w:rPr>
                <w:rFonts w:asciiTheme="minorEastAsia" w:eastAsiaTheme="minorEastAsia" w:hAnsiTheme="minorEastAsia" w:hint="eastAsia"/>
                <w:szCs w:val="21"/>
              </w:rPr>
              <w:t>王雪</w:t>
            </w:r>
          </w:p>
        </w:tc>
        <w:tc>
          <w:tcPr>
            <w:tcW w:w="1673" w:type="dxa"/>
            <w:vMerge w:val="restart"/>
            <w:vAlign w:val="center"/>
          </w:tcPr>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判定</w:t>
            </w:r>
          </w:p>
        </w:tc>
      </w:tr>
      <w:tr w:rsidR="00013480">
        <w:trPr>
          <w:gridAfter w:val="1"/>
          <w:wAfter w:w="28" w:type="dxa"/>
          <w:trHeight w:val="403"/>
        </w:trPr>
        <w:tc>
          <w:tcPr>
            <w:tcW w:w="2127" w:type="dxa"/>
            <w:vMerge/>
            <w:vAlign w:val="center"/>
          </w:tcPr>
          <w:p w:rsidR="00013480" w:rsidRDefault="00013480">
            <w:pPr>
              <w:rPr>
                <w:rFonts w:asciiTheme="minorEastAsia" w:eastAsiaTheme="minorEastAsia" w:hAnsiTheme="minorEastAsia"/>
                <w:szCs w:val="21"/>
              </w:rPr>
            </w:pPr>
          </w:p>
        </w:tc>
        <w:tc>
          <w:tcPr>
            <w:tcW w:w="993" w:type="dxa"/>
            <w:vMerge/>
            <w:vAlign w:val="center"/>
          </w:tcPr>
          <w:p w:rsidR="00013480" w:rsidRDefault="00013480">
            <w:pPr>
              <w:rPr>
                <w:rFonts w:asciiTheme="minorEastAsia" w:eastAsiaTheme="minorEastAsia" w:hAnsiTheme="minorEastAsia"/>
                <w:szCs w:val="21"/>
              </w:rPr>
            </w:pPr>
          </w:p>
        </w:tc>
        <w:tc>
          <w:tcPr>
            <w:tcW w:w="9921" w:type="dxa"/>
            <w:vAlign w:val="center"/>
          </w:tcPr>
          <w:p w:rsidR="00013480" w:rsidRDefault="00A80F96">
            <w:pPr>
              <w:spacing w:before="120"/>
              <w:rPr>
                <w:rFonts w:asciiTheme="minorEastAsia" w:eastAsiaTheme="minorEastAsia" w:hAnsiTheme="minorEastAsia"/>
                <w:szCs w:val="21"/>
              </w:rPr>
            </w:pPr>
            <w:r>
              <w:rPr>
                <w:rFonts w:asciiTheme="minorEastAsia" w:eastAsiaTheme="minorEastAsia" w:hAnsiTheme="minorEastAsia" w:hint="eastAsia"/>
                <w:szCs w:val="21"/>
              </w:rPr>
              <w:t>审核员：</w:t>
            </w:r>
            <w:r>
              <w:rPr>
                <w:rFonts w:asciiTheme="minorEastAsia" w:eastAsiaTheme="minorEastAsia" w:hAnsiTheme="minorEastAsia" w:hint="eastAsia"/>
                <w:szCs w:val="21"/>
              </w:rPr>
              <w:t>朱晓丽</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审核时间：</w:t>
            </w:r>
            <w:r>
              <w:rPr>
                <w:rFonts w:asciiTheme="minorEastAsia" w:eastAsiaTheme="minorEastAsia" w:hAnsiTheme="minorEastAsia" w:hint="eastAsia"/>
                <w:szCs w:val="21"/>
              </w:rPr>
              <w:t>202</w:t>
            </w:r>
            <w:r>
              <w:rPr>
                <w:rFonts w:asciiTheme="minorEastAsia" w:eastAsiaTheme="minorEastAsia" w:hAnsiTheme="minorEastAsia" w:hint="eastAsia"/>
                <w:szCs w:val="21"/>
              </w:rPr>
              <w:t>2</w:t>
            </w:r>
            <w:r>
              <w:rPr>
                <w:rFonts w:asciiTheme="minorEastAsia" w:eastAsiaTheme="minorEastAsia" w:hAnsiTheme="minorEastAsia" w:hint="eastAsia"/>
                <w:szCs w:val="21"/>
              </w:rPr>
              <w:t>年</w:t>
            </w:r>
            <w:r>
              <w:rPr>
                <w:rFonts w:asciiTheme="minorEastAsia" w:eastAsiaTheme="minorEastAsia" w:hAnsiTheme="minorEastAsia" w:hint="eastAsia"/>
                <w:szCs w:val="21"/>
              </w:rPr>
              <w:t>11</w:t>
            </w:r>
            <w:r>
              <w:rPr>
                <w:rFonts w:asciiTheme="minorEastAsia" w:eastAsiaTheme="minorEastAsia" w:hAnsiTheme="minorEastAsia" w:hint="eastAsia"/>
                <w:szCs w:val="21"/>
              </w:rPr>
              <w:t>月</w:t>
            </w:r>
            <w:r>
              <w:rPr>
                <w:rFonts w:asciiTheme="minorEastAsia" w:eastAsiaTheme="minorEastAsia" w:hAnsiTheme="minorEastAsia" w:hint="eastAsia"/>
                <w:szCs w:val="21"/>
              </w:rPr>
              <w:t>11</w:t>
            </w:r>
            <w:r>
              <w:rPr>
                <w:rFonts w:asciiTheme="minorEastAsia" w:eastAsiaTheme="minorEastAsia" w:hAnsiTheme="minorEastAsia" w:hint="eastAsia"/>
                <w:szCs w:val="21"/>
              </w:rPr>
              <w:t>日</w:t>
            </w:r>
          </w:p>
        </w:tc>
        <w:tc>
          <w:tcPr>
            <w:tcW w:w="1673" w:type="dxa"/>
            <w:vMerge/>
          </w:tcPr>
          <w:p w:rsidR="00013480" w:rsidRDefault="00013480">
            <w:pPr>
              <w:rPr>
                <w:rFonts w:asciiTheme="minorEastAsia" w:eastAsiaTheme="minorEastAsia" w:hAnsiTheme="minorEastAsia"/>
                <w:szCs w:val="21"/>
              </w:rPr>
            </w:pPr>
          </w:p>
        </w:tc>
      </w:tr>
      <w:tr w:rsidR="00013480">
        <w:trPr>
          <w:gridAfter w:val="1"/>
          <w:wAfter w:w="28" w:type="dxa"/>
          <w:trHeight w:val="90"/>
        </w:trPr>
        <w:tc>
          <w:tcPr>
            <w:tcW w:w="2127" w:type="dxa"/>
            <w:vMerge/>
            <w:vAlign w:val="center"/>
          </w:tcPr>
          <w:p w:rsidR="00013480" w:rsidRDefault="00013480">
            <w:pPr>
              <w:rPr>
                <w:rFonts w:asciiTheme="minorEastAsia" w:eastAsiaTheme="minorEastAsia" w:hAnsiTheme="minorEastAsia"/>
                <w:szCs w:val="21"/>
              </w:rPr>
            </w:pPr>
          </w:p>
        </w:tc>
        <w:tc>
          <w:tcPr>
            <w:tcW w:w="993" w:type="dxa"/>
            <w:vMerge/>
            <w:vAlign w:val="center"/>
          </w:tcPr>
          <w:p w:rsidR="00013480" w:rsidRDefault="00013480">
            <w:pPr>
              <w:rPr>
                <w:rFonts w:asciiTheme="minorEastAsia" w:eastAsiaTheme="minorEastAsia" w:hAnsiTheme="minorEastAsia"/>
                <w:szCs w:val="21"/>
              </w:rPr>
            </w:pPr>
          </w:p>
        </w:tc>
        <w:tc>
          <w:tcPr>
            <w:tcW w:w="9921" w:type="dxa"/>
            <w:vAlign w:val="center"/>
          </w:tcPr>
          <w:p w:rsidR="00013480" w:rsidRDefault="00A80F96">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审核条款：</w:t>
            </w:r>
            <w:r>
              <w:rPr>
                <w:rFonts w:asciiTheme="minorEastAsia" w:eastAsiaTheme="minorEastAsia" w:hAnsiTheme="minorEastAsia" w:hint="eastAsia"/>
                <w:szCs w:val="21"/>
              </w:rPr>
              <w:t>Q:5.3</w:t>
            </w:r>
            <w:r>
              <w:rPr>
                <w:rFonts w:asciiTheme="minorEastAsia" w:eastAsiaTheme="minorEastAsia" w:hAnsiTheme="minorEastAsia" w:hint="eastAsia"/>
                <w:szCs w:val="21"/>
              </w:rPr>
              <w:t>，</w:t>
            </w:r>
            <w:r>
              <w:rPr>
                <w:rFonts w:asciiTheme="minorEastAsia" w:eastAsiaTheme="minorEastAsia" w:hAnsiTheme="minorEastAsia" w:hint="eastAsia"/>
                <w:szCs w:val="21"/>
              </w:rPr>
              <w:t>6.2</w:t>
            </w:r>
            <w:r>
              <w:rPr>
                <w:rFonts w:asciiTheme="minorEastAsia" w:eastAsiaTheme="minorEastAsia" w:hAnsiTheme="minorEastAsia" w:hint="eastAsia"/>
                <w:szCs w:val="21"/>
              </w:rPr>
              <w:t>，</w:t>
            </w:r>
            <w:r>
              <w:rPr>
                <w:rFonts w:asciiTheme="minorEastAsia" w:eastAsiaTheme="minorEastAsia" w:hAnsiTheme="minorEastAsia" w:hint="eastAsia"/>
                <w:szCs w:val="21"/>
              </w:rPr>
              <w:t>7.1.3</w:t>
            </w:r>
            <w:r>
              <w:rPr>
                <w:rFonts w:asciiTheme="minorEastAsia" w:eastAsiaTheme="minorEastAsia" w:hAnsiTheme="minorEastAsia" w:hint="eastAsia"/>
                <w:szCs w:val="21"/>
              </w:rPr>
              <w:t xml:space="preserve"> 7.1.4</w:t>
            </w:r>
            <w:r>
              <w:rPr>
                <w:rFonts w:asciiTheme="minorEastAsia" w:eastAsiaTheme="minorEastAsia" w:hAnsiTheme="minorEastAsia" w:hint="eastAsia"/>
                <w:szCs w:val="21"/>
              </w:rPr>
              <w:t>，</w:t>
            </w:r>
            <w:r>
              <w:rPr>
                <w:rFonts w:asciiTheme="minorEastAsia" w:eastAsiaTheme="minorEastAsia" w:hAnsiTheme="minorEastAsia" w:hint="eastAsia"/>
                <w:szCs w:val="21"/>
              </w:rPr>
              <w:t>8.4 9.1</w:t>
            </w:r>
            <w:r>
              <w:rPr>
                <w:rFonts w:asciiTheme="minorEastAsia" w:eastAsiaTheme="minorEastAsia" w:hAnsiTheme="minorEastAsia" w:hint="eastAsia"/>
                <w:szCs w:val="21"/>
              </w:rPr>
              <w:t>.1 9.1.3  9.2</w:t>
            </w:r>
          </w:p>
          <w:p w:rsidR="00013480" w:rsidRDefault="00013480">
            <w:pPr>
              <w:adjustRightInd w:val="0"/>
              <w:snapToGrid w:val="0"/>
              <w:spacing w:line="360" w:lineRule="auto"/>
              <w:rPr>
                <w:rFonts w:asciiTheme="minorEastAsia" w:eastAsiaTheme="minorEastAsia" w:hAnsiTheme="minorEastAsia"/>
                <w:szCs w:val="21"/>
              </w:rPr>
            </w:pPr>
          </w:p>
        </w:tc>
        <w:tc>
          <w:tcPr>
            <w:tcW w:w="1673" w:type="dxa"/>
            <w:vMerge/>
          </w:tcPr>
          <w:p w:rsidR="00013480" w:rsidRDefault="00013480">
            <w:pPr>
              <w:rPr>
                <w:rFonts w:asciiTheme="minorEastAsia" w:eastAsiaTheme="minorEastAsia" w:hAnsiTheme="minorEastAsia"/>
                <w:szCs w:val="21"/>
              </w:rPr>
            </w:pPr>
          </w:p>
        </w:tc>
      </w:tr>
      <w:tr w:rsidR="00013480">
        <w:trPr>
          <w:gridAfter w:val="1"/>
          <w:wAfter w:w="28" w:type="dxa"/>
          <w:trHeight w:val="516"/>
        </w:trPr>
        <w:tc>
          <w:tcPr>
            <w:tcW w:w="2127" w:type="dxa"/>
            <w:vAlign w:val="center"/>
          </w:tcPr>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职责和权限</w:t>
            </w:r>
          </w:p>
        </w:tc>
        <w:tc>
          <w:tcPr>
            <w:tcW w:w="993" w:type="dxa"/>
            <w:vAlign w:val="center"/>
          </w:tcPr>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5.3</w:t>
            </w:r>
          </w:p>
        </w:tc>
        <w:tc>
          <w:tcPr>
            <w:tcW w:w="9921" w:type="dxa"/>
            <w:vAlign w:val="center"/>
          </w:tcPr>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与企业</w:t>
            </w:r>
            <w:r>
              <w:rPr>
                <w:rFonts w:asciiTheme="minorEastAsia" w:eastAsiaTheme="minorEastAsia" w:hAnsiTheme="minorEastAsia" w:hint="eastAsia"/>
                <w:szCs w:val="21"/>
              </w:rPr>
              <w:t>行政部负责人</w:t>
            </w:r>
            <w:r>
              <w:rPr>
                <w:rFonts w:asciiTheme="minorEastAsia" w:eastAsiaTheme="minorEastAsia" w:hAnsiTheme="minorEastAsia" w:hint="eastAsia"/>
                <w:szCs w:val="21"/>
              </w:rPr>
              <w:t>沟通：</w:t>
            </w:r>
          </w:p>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部门主要职责如下：</w:t>
            </w:r>
          </w:p>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负责人力资源、文件记录控制；负责意识的培养；负责内外部沟通；负责分析总结、负责内审；提供岗位职责与任职要求，对岗位职责和任职条件进行了描述。职责和权限与手册描述基本一致</w:t>
            </w:r>
          </w:p>
        </w:tc>
        <w:tc>
          <w:tcPr>
            <w:tcW w:w="1673" w:type="dxa"/>
          </w:tcPr>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Y</w:t>
            </w:r>
          </w:p>
        </w:tc>
      </w:tr>
      <w:tr w:rsidR="00013480">
        <w:trPr>
          <w:gridAfter w:val="1"/>
          <w:wAfter w:w="28" w:type="dxa"/>
          <w:trHeight w:val="516"/>
        </w:trPr>
        <w:tc>
          <w:tcPr>
            <w:tcW w:w="2127" w:type="dxa"/>
            <w:vAlign w:val="center"/>
          </w:tcPr>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质量</w:t>
            </w:r>
          </w:p>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目标</w:t>
            </w:r>
          </w:p>
        </w:tc>
        <w:tc>
          <w:tcPr>
            <w:tcW w:w="993" w:type="dxa"/>
            <w:vAlign w:val="center"/>
          </w:tcPr>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6.2</w:t>
            </w:r>
          </w:p>
        </w:tc>
        <w:tc>
          <w:tcPr>
            <w:tcW w:w="9921" w:type="dxa"/>
            <w:vAlign w:val="center"/>
          </w:tcPr>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分解到该部门的质量目标及完成情况如下：</w:t>
            </w:r>
          </w:p>
          <w:p w:rsidR="00013480" w:rsidRDefault="00A80F96">
            <w:pPr>
              <w:pStyle w:val="ab"/>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、供方评定率</w:t>
            </w:r>
            <w:r>
              <w:rPr>
                <w:rFonts w:asciiTheme="minorEastAsia" w:eastAsiaTheme="minorEastAsia" w:hAnsiTheme="minorEastAsia" w:hint="eastAsia"/>
                <w:szCs w:val="21"/>
              </w:rPr>
              <w:t>100%</w:t>
            </w:r>
            <w:r>
              <w:rPr>
                <w:rFonts w:asciiTheme="minorEastAsia" w:eastAsiaTheme="minorEastAsia" w:hAnsiTheme="minorEastAsia" w:hint="eastAsia"/>
                <w:szCs w:val="21"/>
              </w:rPr>
              <w:t>；</w:t>
            </w:r>
          </w:p>
          <w:p w:rsidR="00013480" w:rsidRDefault="00A80F96">
            <w:pPr>
              <w:pStyle w:val="ab"/>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、培训计划执行率</w:t>
            </w:r>
            <w:r>
              <w:rPr>
                <w:rFonts w:asciiTheme="minorEastAsia" w:eastAsiaTheme="minorEastAsia" w:hAnsiTheme="minorEastAsia" w:hint="eastAsia"/>
                <w:szCs w:val="21"/>
              </w:rPr>
              <w:t>100%</w:t>
            </w:r>
            <w:r>
              <w:rPr>
                <w:rFonts w:asciiTheme="minorEastAsia" w:eastAsiaTheme="minorEastAsia" w:hAnsiTheme="minorEastAsia" w:hint="eastAsia"/>
                <w:szCs w:val="21"/>
              </w:rPr>
              <w:t>；</w:t>
            </w:r>
          </w:p>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2022.7.1-2022.10.30</w:t>
            </w:r>
            <w:r>
              <w:rPr>
                <w:rFonts w:asciiTheme="minorEastAsia" w:eastAsiaTheme="minorEastAsia" w:hAnsiTheme="minorEastAsia" w:hint="eastAsia"/>
                <w:szCs w:val="21"/>
              </w:rPr>
              <w:t>质量目</w:t>
            </w:r>
            <w:r>
              <w:rPr>
                <w:rFonts w:asciiTheme="minorEastAsia" w:eastAsiaTheme="minorEastAsia" w:hAnsiTheme="minorEastAsia" w:hint="eastAsia"/>
                <w:szCs w:val="21"/>
              </w:rPr>
              <w:t>标完成情况：已完成</w:t>
            </w:r>
            <w:r>
              <w:rPr>
                <w:rFonts w:asciiTheme="minorEastAsia" w:eastAsiaTheme="minorEastAsia" w:hAnsiTheme="minorEastAsia" w:hint="eastAsia"/>
                <w:szCs w:val="21"/>
              </w:rPr>
              <w:t xml:space="preserve">    </w:t>
            </w:r>
          </w:p>
        </w:tc>
        <w:tc>
          <w:tcPr>
            <w:tcW w:w="1673" w:type="dxa"/>
          </w:tcPr>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Y</w:t>
            </w:r>
          </w:p>
        </w:tc>
      </w:tr>
      <w:tr w:rsidR="00013480">
        <w:trPr>
          <w:gridAfter w:val="1"/>
          <w:wAfter w:w="28" w:type="dxa"/>
          <w:trHeight w:val="516"/>
        </w:trPr>
        <w:tc>
          <w:tcPr>
            <w:tcW w:w="2127" w:type="dxa"/>
            <w:vAlign w:val="center"/>
          </w:tcPr>
          <w:p w:rsidR="00013480" w:rsidRDefault="00A80F96">
            <w:pPr>
              <w:rPr>
                <w:rFonts w:asciiTheme="minorEastAsia" w:eastAsiaTheme="minorEastAsia" w:hAnsiTheme="minorEastAsia"/>
                <w:szCs w:val="21"/>
              </w:rPr>
            </w:pPr>
            <w:r>
              <w:rPr>
                <w:rFonts w:asciiTheme="minorEastAsia" w:eastAsiaTheme="minorEastAsia" w:hAnsiTheme="minorEastAsia" w:cs="宋体" w:hint="eastAsia"/>
                <w:bCs/>
                <w:szCs w:val="21"/>
              </w:rPr>
              <w:t>基础设施</w:t>
            </w:r>
          </w:p>
        </w:tc>
        <w:tc>
          <w:tcPr>
            <w:tcW w:w="993" w:type="dxa"/>
            <w:vAlign w:val="center"/>
          </w:tcPr>
          <w:p w:rsidR="00013480" w:rsidRDefault="00A80F96">
            <w:pPr>
              <w:rPr>
                <w:rFonts w:asciiTheme="minorEastAsia" w:eastAsiaTheme="minorEastAsia" w:hAnsiTheme="minorEastAsia"/>
                <w:szCs w:val="21"/>
              </w:rPr>
            </w:pPr>
            <w:r>
              <w:rPr>
                <w:rFonts w:asciiTheme="minorEastAsia" w:eastAsiaTheme="minorEastAsia" w:hAnsiTheme="minorEastAsia"/>
                <w:szCs w:val="21"/>
              </w:rPr>
              <w:t>7.1.3</w:t>
            </w:r>
          </w:p>
        </w:tc>
        <w:tc>
          <w:tcPr>
            <w:tcW w:w="9921" w:type="dxa"/>
            <w:vAlign w:val="center"/>
          </w:tcPr>
          <w:p w:rsidR="00013480" w:rsidRDefault="00A80F96" w:rsidP="00E754C0">
            <w:r>
              <w:rPr>
                <w:rFonts w:hint="eastAsia"/>
              </w:rPr>
              <w:t>公司行政部负责对公司的基础设施进行管理控制，以保证质量管理体系中各过程的运行。</w:t>
            </w:r>
            <w:r>
              <w:rPr>
                <w:rFonts w:hint="eastAsia"/>
              </w:rPr>
              <w:t xml:space="preserve"> </w:t>
            </w:r>
            <w:r>
              <w:rPr>
                <w:rFonts w:hint="eastAsia"/>
              </w:rPr>
              <w:t>办公所用相关设备，由行政部负责管理及维护；支持性设施：如车辆、传真、电话、信息系统等由行政部负责管理</w:t>
            </w:r>
          </w:p>
        </w:tc>
        <w:tc>
          <w:tcPr>
            <w:tcW w:w="1673" w:type="dxa"/>
          </w:tcPr>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Y</w:t>
            </w:r>
          </w:p>
        </w:tc>
      </w:tr>
      <w:tr w:rsidR="00013480">
        <w:trPr>
          <w:trHeight w:val="360"/>
        </w:trPr>
        <w:tc>
          <w:tcPr>
            <w:tcW w:w="2127" w:type="dxa"/>
            <w:vAlign w:val="center"/>
          </w:tcPr>
          <w:p w:rsidR="00013480" w:rsidRDefault="00A80F96">
            <w:pPr>
              <w:rPr>
                <w:lang w:val="zh-CN"/>
              </w:rPr>
            </w:pPr>
            <w:r>
              <w:rPr>
                <w:rFonts w:hint="eastAsia"/>
              </w:rPr>
              <w:t>运行环境</w:t>
            </w:r>
          </w:p>
        </w:tc>
        <w:tc>
          <w:tcPr>
            <w:tcW w:w="993" w:type="dxa"/>
            <w:vAlign w:val="center"/>
          </w:tcPr>
          <w:p w:rsidR="00013480" w:rsidRDefault="00A80F96">
            <w:r>
              <w:rPr>
                <w:rFonts w:hint="eastAsia"/>
              </w:rPr>
              <w:t>7.1.4</w:t>
            </w:r>
          </w:p>
        </w:tc>
        <w:tc>
          <w:tcPr>
            <w:tcW w:w="9921" w:type="dxa"/>
            <w:vAlign w:val="center"/>
          </w:tcPr>
          <w:p w:rsidR="00013480" w:rsidRDefault="00A80F96">
            <w:r>
              <w:rPr>
                <w:rFonts w:hint="eastAsia"/>
              </w:rPr>
              <w:t>公司办公场所，适当装修，工序布局合理，场所卫生干净整洁，配有通风设施，工作环境良好，每月进行一次工作环境检查。</w:t>
            </w:r>
          </w:p>
          <w:p w:rsidR="00013480" w:rsidRDefault="00A80F96">
            <w:r>
              <w:rPr>
                <w:rFonts w:hint="eastAsia"/>
              </w:rPr>
              <w:t>办公人员在工作前及工作结束后能够及时清理环境及关闭设备。</w:t>
            </w:r>
          </w:p>
          <w:p w:rsidR="00013480" w:rsidRDefault="00A80F96">
            <w:r>
              <w:rPr>
                <w:rFonts w:hint="eastAsia"/>
              </w:rPr>
              <w:t>工作中注意工作内容安排，充分调动员工的积极性。</w:t>
            </w:r>
          </w:p>
          <w:p w:rsidR="00013480" w:rsidRDefault="00A80F96">
            <w:r>
              <w:rPr>
                <w:rFonts w:hint="eastAsia"/>
              </w:rPr>
              <w:t>工作环境得到良好的控制。</w:t>
            </w:r>
          </w:p>
          <w:p w:rsidR="00013480" w:rsidRDefault="00A80F96">
            <w:r>
              <w:rPr>
                <w:rFonts w:hint="eastAsia"/>
              </w:rPr>
              <w:t>在评估活动中评估师部分时间需要在客户处办公。</w:t>
            </w:r>
          </w:p>
        </w:tc>
        <w:tc>
          <w:tcPr>
            <w:tcW w:w="1701" w:type="dxa"/>
            <w:gridSpan w:val="2"/>
          </w:tcPr>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Y</w:t>
            </w:r>
          </w:p>
        </w:tc>
      </w:tr>
      <w:tr w:rsidR="00013480">
        <w:trPr>
          <w:trHeight w:val="360"/>
        </w:trPr>
        <w:tc>
          <w:tcPr>
            <w:tcW w:w="2127" w:type="dxa"/>
            <w:vAlign w:val="center"/>
          </w:tcPr>
          <w:p w:rsidR="00013480" w:rsidRDefault="00A80F96">
            <w:pPr>
              <w:rPr>
                <w:rFonts w:asciiTheme="minorEastAsia" w:eastAsiaTheme="minorEastAsia" w:hAnsiTheme="minorEastAsia"/>
                <w:szCs w:val="21"/>
              </w:rPr>
            </w:pPr>
            <w:r>
              <w:rPr>
                <w:rFonts w:asciiTheme="minorEastAsia" w:eastAsiaTheme="minorEastAsia" w:hAnsiTheme="minorEastAsia" w:cs="宋体" w:hint="eastAsia"/>
                <w:szCs w:val="21"/>
                <w:lang w:val="zh-CN"/>
              </w:rPr>
              <w:t>外部提供过程</w:t>
            </w:r>
          </w:p>
        </w:tc>
        <w:tc>
          <w:tcPr>
            <w:tcW w:w="993" w:type="dxa"/>
            <w:vAlign w:val="center"/>
          </w:tcPr>
          <w:p w:rsidR="00013480" w:rsidRDefault="00A80F96">
            <w:pPr>
              <w:rPr>
                <w:rFonts w:asciiTheme="minorEastAsia" w:eastAsiaTheme="minorEastAsia" w:hAnsiTheme="minorEastAsia"/>
                <w:szCs w:val="21"/>
              </w:rPr>
            </w:pPr>
            <w:r>
              <w:rPr>
                <w:rFonts w:asciiTheme="minorEastAsia" w:eastAsiaTheme="minorEastAsia" w:hAnsiTheme="minorEastAsia"/>
                <w:szCs w:val="21"/>
              </w:rPr>
              <w:t>8.4</w:t>
            </w:r>
          </w:p>
        </w:tc>
        <w:tc>
          <w:tcPr>
            <w:tcW w:w="9921" w:type="dxa"/>
            <w:vAlign w:val="center"/>
          </w:tcPr>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对快递，邮寄等服务结果交付的协作方进行选择评价，签订长期协议，约定服务要求，定期结算</w:t>
            </w:r>
          </w:p>
        </w:tc>
        <w:tc>
          <w:tcPr>
            <w:tcW w:w="1701" w:type="dxa"/>
            <w:gridSpan w:val="2"/>
          </w:tcPr>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Y</w:t>
            </w:r>
          </w:p>
        </w:tc>
      </w:tr>
      <w:tr w:rsidR="00013480">
        <w:trPr>
          <w:gridAfter w:val="1"/>
          <w:wAfter w:w="28" w:type="dxa"/>
          <w:trHeight w:val="516"/>
        </w:trPr>
        <w:tc>
          <w:tcPr>
            <w:tcW w:w="2127" w:type="dxa"/>
            <w:vAlign w:val="center"/>
          </w:tcPr>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监视、测量、分析和评价</w:t>
            </w:r>
          </w:p>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总则</w:t>
            </w:r>
          </w:p>
        </w:tc>
        <w:tc>
          <w:tcPr>
            <w:tcW w:w="993" w:type="dxa"/>
            <w:vAlign w:val="center"/>
          </w:tcPr>
          <w:p w:rsidR="00013480" w:rsidRDefault="00A80F96">
            <w:pPr>
              <w:rPr>
                <w:rFonts w:asciiTheme="minorEastAsia" w:eastAsiaTheme="minorEastAsia" w:hAnsiTheme="minorEastAsia"/>
                <w:szCs w:val="21"/>
              </w:rPr>
            </w:pPr>
            <w:r>
              <w:rPr>
                <w:rFonts w:asciiTheme="minorEastAsia" w:eastAsiaTheme="minorEastAsia" w:hAnsiTheme="minorEastAsia"/>
                <w:szCs w:val="21"/>
              </w:rPr>
              <w:t>9.1.1</w:t>
            </w:r>
          </w:p>
        </w:tc>
        <w:tc>
          <w:tcPr>
            <w:tcW w:w="9921" w:type="dxa"/>
            <w:vAlign w:val="center"/>
          </w:tcPr>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公司确定的需要监视和测量的对象包括：销售和服务的符合性、质量管理体系的适宜性、充分性、有效性、质量管理体系绩效、顾客满意等。</w:t>
            </w:r>
            <w:r>
              <w:rPr>
                <w:rFonts w:asciiTheme="minorEastAsia" w:eastAsiaTheme="minorEastAsia" w:hAnsiTheme="minorEastAsia" w:hint="eastAsia"/>
                <w:szCs w:val="21"/>
              </w:rPr>
              <w:t xml:space="preserve"> </w:t>
            </w:r>
          </w:p>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公司确定的确保结果有效所需的监视、测量、分析和评价方法包括：识别和得到了外来的标准，通过实施</w:t>
            </w:r>
            <w:r>
              <w:rPr>
                <w:rFonts w:asciiTheme="minorEastAsia" w:eastAsiaTheme="minorEastAsia" w:hAnsiTheme="minorEastAsia" w:hint="eastAsia"/>
                <w:szCs w:val="21"/>
              </w:rPr>
              <w:lastRenderedPageBreak/>
              <w:t>采购证实产品的符合性；通过内审、管理评审等证实体系的适宜性、充分性、有效性；通过顾客满意率调查、用户质量反馈等证实质量管理体系绩效、顾客满意</w:t>
            </w:r>
            <w:r>
              <w:rPr>
                <w:rFonts w:asciiTheme="minorEastAsia" w:eastAsiaTheme="minorEastAsia" w:hAnsiTheme="minorEastAsia" w:hint="eastAsia"/>
                <w:szCs w:val="21"/>
              </w:rPr>
              <w:t>.</w:t>
            </w:r>
          </w:p>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通过纠正、纠正措施、预防措施、改进计划、简单的统计分析保持质量管理体系持续改进的有效性，并确定了质量目标</w:t>
            </w:r>
            <w:r>
              <w:rPr>
                <w:rFonts w:asciiTheme="minorEastAsia" w:eastAsiaTheme="minorEastAsia" w:hAnsiTheme="minorEastAsia" w:hint="eastAsia"/>
                <w:szCs w:val="21"/>
              </w:rPr>
              <w:t>/</w:t>
            </w:r>
            <w:r>
              <w:rPr>
                <w:rFonts w:asciiTheme="minorEastAsia" w:eastAsiaTheme="minorEastAsia" w:hAnsiTheme="minorEastAsia" w:hint="eastAsia"/>
                <w:szCs w:val="21"/>
              </w:rPr>
              <w:t>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1673" w:type="dxa"/>
          </w:tcPr>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013480">
        <w:trPr>
          <w:gridAfter w:val="1"/>
          <w:wAfter w:w="28" w:type="dxa"/>
          <w:trHeight w:val="516"/>
        </w:trPr>
        <w:tc>
          <w:tcPr>
            <w:tcW w:w="2127" w:type="dxa"/>
            <w:vAlign w:val="center"/>
          </w:tcPr>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lastRenderedPageBreak/>
              <w:t>监测、分析与评价</w:t>
            </w:r>
          </w:p>
        </w:tc>
        <w:tc>
          <w:tcPr>
            <w:tcW w:w="993" w:type="dxa"/>
            <w:vAlign w:val="center"/>
          </w:tcPr>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9.1.3</w:t>
            </w:r>
          </w:p>
        </w:tc>
        <w:tc>
          <w:tcPr>
            <w:tcW w:w="9921" w:type="dxa"/>
            <w:vAlign w:val="center"/>
          </w:tcPr>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通过对数据的收集、分析和处理提高顾客满意、产品和服务符合性、质量管理体系的绩效和有效性、过程、产品的特性及发展趋势等。</w:t>
            </w:r>
          </w:p>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查质量目标统计表，均满足策划的要求。</w:t>
            </w:r>
          </w:p>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根据对应对风险措施评价分析，公司各项指标虽然达到《质量手册》规定要求，仍需要加强人员的管理和培训，做到精益求精，加强内部管理，持续改进组织的质量管理体系。</w:t>
            </w:r>
          </w:p>
        </w:tc>
        <w:tc>
          <w:tcPr>
            <w:tcW w:w="1673" w:type="dxa"/>
          </w:tcPr>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Y</w:t>
            </w:r>
          </w:p>
        </w:tc>
      </w:tr>
      <w:tr w:rsidR="00013480">
        <w:trPr>
          <w:gridAfter w:val="1"/>
          <w:wAfter w:w="28" w:type="dxa"/>
          <w:trHeight w:val="516"/>
        </w:trPr>
        <w:tc>
          <w:tcPr>
            <w:tcW w:w="2127" w:type="dxa"/>
            <w:vAlign w:val="center"/>
          </w:tcPr>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内审</w:t>
            </w:r>
          </w:p>
        </w:tc>
        <w:tc>
          <w:tcPr>
            <w:tcW w:w="993" w:type="dxa"/>
            <w:vAlign w:val="center"/>
          </w:tcPr>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9.2</w:t>
            </w:r>
          </w:p>
        </w:tc>
        <w:tc>
          <w:tcPr>
            <w:tcW w:w="9921" w:type="dxa"/>
            <w:vAlign w:val="center"/>
          </w:tcPr>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公司制定了《内部审核控制程序》，文件规定每年至少进行一次内部审核，间隔时间不超过</w:t>
            </w:r>
            <w:r>
              <w:rPr>
                <w:rFonts w:asciiTheme="minorEastAsia" w:eastAsiaTheme="minorEastAsia" w:hAnsiTheme="minorEastAsia" w:hint="eastAsia"/>
                <w:szCs w:val="21"/>
              </w:rPr>
              <w:t>12</w:t>
            </w:r>
            <w:r>
              <w:rPr>
                <w:rFonts w:asciiTheme="minorEastAsia" w:eastAsiaTheme="minorEastAsia" w:hAnsiTheme="minorEastAsia" w:hint="eastAsia"/>
                <w:szCs w:val="21"/>
              </w:rPr>
              <w:t>个月。规定了审核的策划、实施、形成记录以及</w:t>
            </w:r>
            <w:bookmarkStart w:id="0" w:name="_GoBack"/>
            <w:bookmarkEnd w:id="0"/>
            <w:r>
              <w:rPr>
                <w:rFonts w:asciiTheme="minorEastAsia" w:eastAsiaTheme="minorEastAsia" w:hAnsiTheme="minorEastAsia" w:hint="eastAsia"/>
                <w:szCs w:val="21"/>
              </w:rPr>
              <w:t>报告结果的要求。</w:t>
            </w:r>
          </w:p>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提供了《审核实施计划》，审核目的，</w:t>
            </w:r>
            <w:r>
              <w:rPr>
                <w:rFonts w:asciiTheme="minorEastAsia" w:eastAsiaTheme="minorEastAsia" w:hAnsiTheme="minorEastAsia" w:hint="eastAsia"/>
                <w:szCs w:val="21"/>
              </w:rPr>
              <w:t>范围、依据、审核时间、受审部门、日程安排、审核组长和成员等内容。</w:t>
            </w:r>
          </w:p>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内审时间：</w:t>
            </w:r>
            <w:r>
              <w:rPr>
                <w:rFonts w:asciiTheme="minorEastAsia" w:eastAsiaTheme="minorEastAsia" w:hAnsiTheme="minorEastAsia" w:hint="eastAsia"/>
                <w:szCs w:val="21"/>
              </w:rPr>
              <w:t>202</w:t>
            </w:r>
            <w:r>
              <w:rPr>
                <w:rFonts w:asciiTheme="minorEastAsia" w:eastAsiaTheme="minorEastAsia" w:hAnsiTheme="minorEastAsia" w:hint="eastAsia"/>
                <w:szCs w:val="21"/>
              </w:rPr>
              <w:t>2</w:t>
            </w:r>
            <w:r>
              <w:rPr>
                <w:rFonts w:asciiTheme="minorEastAsia" w:eastAsiaTheme="minorEastAsia" w:hAnsiTheme="minorEastAsia" w:hint="eastAsia"/>
                <w:szCs w:val="21"/>
              </w:rPr>
              <w:t>年</w:t>
            </w:r>
            <w:r>
              <w:rPr>
                <w:rFonts w:asciiTheme="minorEastAsia" w:eastAsiaTheme="minorEastAsia" w:hAnsiTheme="minorEastAsia"/>
                <w:szCs w:val="21"/>
              </w:rPr>
              <w:t>1</w:t>
            </w:r>
            <w:r>
              <w:rPr>
                <w:rFonts w:asciiTheme="minorEastAsia" w:eastAsiaTheme="minorEastAsia" w:hAnsiTheme="minorEastAsia" w:hint="eastAsia"/>
                <w:szCs w:val="21"/>
              </w:rPr>
              <w:t>0</w:t>
            </w:r>
            <w:r>
              <w:rPr>
                <w:rFonts w:asciiTheme="minorEastAsia" w:eastAsiaTheme="minorEastAsia" w:hAnsiTheme="minorEastAsia" w:hint="eastAsia"/>
                <w:szCs w:val="21"/>
              </w:rPr>
              <w:t>月</w:t>
            </w:r>
            <w:r>
              <w:rPr>
                <w:rFonts w:asciiTheme="minorEastAsia" w:eastAsiaTheme="minorEastAsia" w:hAnsiTheme="minorEastAsia"/>
                <w:szCs w:val="21"/>
              </w:rPr>
              <w:t>10</w:t>
            </w:r>
            <w:r>
              <w:rPr>
                <w:rFonts w:asciiTheme="minorEastAsia" w:eastAsiaTheme="minorEastAsia" w:hAnsiTheme="minorEastAsia" w:hint="eastAsia"/>
                <w:szCs w:val="21"/>
              </w:rPr>
              <w:t>日</w:t>
            </w:r>
            <w:r>
              <w:rPr>
                <w:rFonts w:asciiTheme="minorEastAsia" w:eastAsiaTheme="minorEastAsia" w:hAnsiTheme="minorEastAsia" w:hint="eastAsia"/>
                <w:szCs w:val="21"/>
              </w:rPr>
              <w:t>。</w:t>
            </w:r>
          </w:p>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依据</w:t>
            </w:r>
            <w:r>
              <w:rPr>
                <w:rFonts w:asciiTheme="minorEastAsia" w:eastAsiaTheme="minorEastAsia" w:hAnsiTheme="minorEastAsia" w:hint="eastAsia"/>
                <w:szCs w:val="21"/>
              </w:rPr>
              <w:t>GB/T19001-2016</w:t>
            </w:r>
            <w:r>
              <w:rPr>
                <w:rFonts w:asciiTheme="minorEastAsia" w:eastAsiaTheme="minorEastAsia" w:hAnsiTheme="minorEastAsia" w:hint="eastAsia"/>
                <w:szCs w:val="21"/>
              </w:rPr>
              <w:t>版标准，质量管理手册和体系其他文件。计划由总经理批准后实施。</w:t>
            </w:r>
          </w:p>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公司按计划实施了内审。</w:t>
            </w:r>
          </w:p>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审核组长：陈思</w:t>
            </w:r>
          </w:p>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审核组成员：黄莹</w:t>
            </w:r>
          </w:p>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提供了内审员任命书，写明了内审员任职要求及审核要求。内审员的安排考虑了审核过程的客观性和公正性，没有发现自己审核本部门的情况。</w:t>
            </w:r>
            <w:r>
              <w:rPr>
                <w:rFonts w:asciiTheme="minorEastAsia" w:eastAsiaTheme="minorEastAsia" w:hAnsiTheme="minorEastAsia" w:hint="eastAsia"/>
                <w:szCs w:val="21"/>
              </w:rPr>
              <w:t xml:space="preserve">  </w:t>
            </w:r>
          </w:p>
          <w:p w:rsidR="00013480" w:rsidRDefault="00A80F96">
            <w:pPr>
              <w:rPr>
                <w:rFonts w:asciiTheme="minorEastAsia" w:eastAsiaTheme="minorEastAsia" w:hAnsiTheme="minorEastAsia"/>
                <w:szCs w:val="21"/>
              </w:rPr>
            </w:pPr>
            <w:proofErr w:type="gramStart"/>
            <w:r>
              <w:rPr>
                <w:rFonts w:asciiTheme="minorEastAsia" w:eastAsiaTheme="minorEastAsia" w:hAnsiTheme="minorEastAsia" w:hint="eastAsia"/>
                <w:szCs w:val="21"/>
              </w:rPr>
              <w:t>内审首末</w:t>
            </w:r>
            <w:proofErr w:type="gramEnd"/>
            <w:r>
              <w:rPr>
                <w:rFonts w:asciiTheme="minorEastAsia" w:eastAsiaTheme="minorEastAsia" w:hAnsiTheme="minorEastAsia" w:hint="eastAsia"/>
                <w:szCs w:val="21"/>
              </w:rPr>
              <w:t>次会议签到（领导层、各部门负责人）；</w:t>
            </w:r>
          </w:p>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内部审核检查表，审核按计划进行，没有遗漏标准条款及体系覆盖的部门和场所，内审员没有审核自己的工作</w:t>
            </w:r>
            <w:r>
              <w:rPr>
                <w:rFonts w:asciiTheme="minorEastAsia" w:eastAsiaTheme="minorEastAsia" w:hAnsiTheme="minorEastAsia" w:hint="eastAsia"/>
                <w:szCs w:val="21"/>
              </w:rPr>
              <w:t>。</w:t>
            </w:r>
          </w:p>
          <w:p w:rsidR="00013480" w:rsidRDefault="00A80F96">
            <w:pPr>
              <w:rPr>
                <w:rFonts w:asciiTheme="minorEastAsia" w:eastAsiaTheme="minorEastAsia" w:hAnsiTheme="minorEastAsia"/>
                <w:szCs w:val="21"/>
              </w:rPr>
            </w:pPr>
            <w:proofErr w:type="gramStart"/>
            <w:r>
              <w:rPr>
                <w:rFonts w:asciiTheme="minorEastAsia" w:eastAsiaTheme="minorEastAsia" w:hAnsiTheme="minorEastAsia" w:hint="eastAsia"/>
                <w:szCs w:val="21"/>
              </w:rPr>
              <w:t>内审不符合</w:t>
            </w:r>
            <w:proofErr w:type="gramEnd"/>
            <w:r>
              <w:rPr>
                <w:rFonts w:asciiTheme="minorEastAsia" w:eastAsiaTheme="minorEastAsia" w:hAnsiTheme="minorEastAsia" w:hint="eastAsia"/>
                <w:szCs w:val="21"/>
              </w:rPr>
              <w:t>1</w:t>
            </w:r>
            <w:r>
              <w:rPr>
                <w:rFonts w:asciiTheme="minorEastAsia" w:eastAsiaTheme="minorEastAsia" w:hAnsiTheme="minorEastAsia" w:hint="eastAsia"/>
                <w:szCs w:val="21"/>
              </w:rPr>
              <w:t>项，已整改验收合格。</w:t>
            </w:r>
          </w:p>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内审结论：自体系建立以来，各部门严格按照《质量手册》、《程序文件》和支持性文件的要求控制各项活</w:t>
            </w:r>
            <w:r>
              <w:rPr>
                <w:rFonts w:asciiTheme="minorEastAsia" w:eastAsiaTheme="minorEastAsia" w:hAnsiTheme="minorEastAsia" w:hint="eastAsia"/>
                <w:szCs w:val="21"/>
              </w:rPr>
              <w:lastRenderedPageBreak/>
              <w:t>动，对本公司对客户要求进行调查分析，了解顾客的需求，为本公司寻求改进的机会，加强了对人员的培训和文件、记录的控制。本公司的评估服务质量有了明显提高。</w:t>
            </w:r>
          </w:p>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针对评估和服务过程中的项目，业务部做了用户回访和顾客满意度调查，满意度受市场环境的影响不大，</w:t>
            </w:r>
          </w:p>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t>本次满意度调查的结果满足公司的质量目标考核</w:t>
            </w:r>
            <w:r>
              <w:rPr>
                <w:rFonts w:asciiTheme="minorEastAsia" w:eastAsiaTheme="minorEastAsia" w:hAnsiTheme="minorEastAsia" w:hint="eastAsia"/>
                <w:szCs w:val="21"/>
              </w:rPr>
              <w:t>，</w:t>
            </w:r>
            <w:r>
              <w:rPr>
                <w:rFonts w:asciiTheme="minorEastAsia" w:eastAsiaTheme="minorEastAsia" w:hAnsiTheme="minorEastAsia" w:hint="eastAsia"/>
                <w:szCs w:val="21"/>
              </w:rPr>
              <w:t>内</w:t>
            </w:r>
            <w:proofErr w:type="gramStart"/>
            <w:r>
              <w:rPr>
                <w:rFonts w:asciiTheme="minorEastAsia" w:eastAsiaTheme="minorEastAsia" w:hAnsiTheme="minorEastAsia" w:hint="eastAsia"/>
                <w:szCs w:val="21"/>
              </w:rPr>
              <w:t>审报告</w:t>
            </w:r>
            <w:proofErr w:type="gramEnd"/>
            <w:r>
              <w:rPr>
                <w:rFonts w:asciiTheme="minorEastAsia" w:eastAsiaTheme="minorEastAsia" w:hAnsiTheme="minorEastAsia" w:hint="eastAsia"/>
                <w:szCs w:val="21"/>
              </w:rPr>
              <w:t>显示本公司的质量体系均运行良好。</w:t>
            </w:r>
          </w:p>
        </w:tc>
        <w:tc>
          <w:tcPr>
            <w:tcW w:w="1673" w:type="dxa"/>
          </w:tcPr>
          <w:p w:rsidR="00013480" w:rsidRDefault="00A80F96">
            <w:pPr>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bl>
    <w:p w:rsidR="00013480" w:rsidRDefault="00013480">
      <w:pPr>
        <w:pStyle w:val="a7"/>
        <w:rPr>
          <w:rFonts w:asciiTheme="minorEastAsia" w:eastAsiaTheme="minorEastAsia" w:hAnsiTheme="minorEastAsia"/>
          <w:sz w:val="21"/>
          <w:szCs w:val="21"/>
        </w:rPr>
      </w:pPr>
    </w:p>
    <w:p w:rsidR="00013480" w:rsidRDefault="00013480">
      <w:pPr>
        <w:pStyle w:val="a7"/>
        <w:rPr>
          <w:rFonts w:asciiTheme="minorEastAsia" w:eastAsiaTheme="minorEastAsia" w:hAnsiTheme="minorEastAsia"/>
          <w:sz w:val="21"/>
          <w:szCs w:val="21"/>
        </w:rPr>
      </w:pPr>
    </w:p>
    <w:p w:rsidR="00013480" w:rsidRDefault="00013480">
      <w:pPr>
        <w:pStyle w:val="a7"/>
        <w:rPr>
          <w:rFonts w:asciiTheme="minorEastAsia" w:eastAsiaTheme="minorEastAsia" w:hAnsiTheme="minorEastAsia"/>
          <w:sz w:val="21"/>
          <w:szCs w:val="21"/>
        </w:rPr>
      </w:pPr>
    </w:p>
    <w:p w:rsidR="00013480" w:rsidRDefault="00013480">
      <w:pPr>
        <w:pStyle w:val="a7"/>
        <w:rPr>
          <w:rFonts w:asciiTheme="minorEastAsia" w:eastAsiaTheme="minorEastAsia" w:hAnsiTheme="minorEastAsia"/>
          <w:sz w:val="21"/>
          <w:szCs w:val="21"/>
        </w:rPr>
      </w:pPr>
    </w:p>
    <w:p w:rsidR="00013480" w:rsidRDefault="00013480"/>
    <w:sectPr w:rsidR="00013480">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F96" w:rsidRDefault="00A80F96">
      <w:r>
        <w:separator/>
      </w:r>
    </w:p>
  </w:endnote>
  <w:endnote w:type="continuationSeparator" w:id="0">
    <w:p w:rsidR="00A80F96" w:rsidRDefault="00A8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13480" w:rsidRDefault="00A80F96">
            <w:pPr>
              <w:pStyle w:val="a7"/>
              <w:jc w:val="center"/>
            </w:pPr>
            <w:r>
              <w:rPr>
                <w:b/>
                <w:sz w:val="24"/>
                <w:szCs w:val="24"/>
              </w:rPr>
              <w:fldChar w:fldCharType="begin"/>
            </w:r>
            <w:r>
              <w:rPr>
                <w:b/>
              </w:rPr>
              <w:instrText>PAGE</w:instrText>
            </w:r>
            <w:r>
              <w:rPr>
                <w:b/>
                <w:sz w:val="24"/>
                <w:szCs w:val="24"/>
              </w:rPr>
              <w:fldChar w:fldCharType="separate"/>
            </w:r>
            <w:r w:rsidR="00E754C0">
              <w:rPr>
                <w:b/>
                <w:noProof/>
              </w:rPr>
              <w:t>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E754C0">
              <w:rPr>
                <w:b/>
                <w:noProof/>
              </w:rPr>
              <w:t>3</w:t>
            </w:r>
            <w:r>
              <w:rPr>
                <w:b/>
                <w:sz w:val="24"/>
                <w:szCs w:val="24"/>
              </w:rPr>
              <w:fldChar w:fldCharType="end"/>
            </w:r>
          </w:p>
        </w:sdtContent>
      </w:sdt>
    </w:sdtContent>
  </w:sdt>
  <w:p w:rsidR="00013480" w:rsidRDefault="0001348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F96" w:rsidRDefault="00A80F96">
      <w:r>
        <w:separator/>
      </w:r>
    </w:p>
  </w:footnote>
  <w:footnote w:type="continuationSeparator" w:id="0">
    <w:p w:rsidR="00A80F96" w:rsidRDefault="00A80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480" w:rsidRDefault="00A80F96">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rsidR="00013480" w:rsidRDefault="00A80F96">
                          <w:pPr>
                            <w:rPr>
                              <w:sz w:val="18"/>
                              <w:szCs w:val="18"/>
                            </w:rPr>
                          </w:pPr>
                          <w:r>
                            <w:rPr>
                              <w:rFonts w:hint="eastAsia"/>
                              <w:sz w:val="18"/>
                              <w:szCs w:val="18"/>
                            </w:rPr>
                            <w:t>ISC-B-II-12(05</w:t>
                          </w:r>
                          <w:r>
                            <w:rPr>
                              <w:rFonts w:hint="eastAsia"/>
                              <w:sz w:val="18"/>
                              <w:szCs w:val="18"/>
                            </w:rPr>
                            <w:t>版）</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13480" w:rsidRDefault="00A80F96" w:rsidP="00E754C0">
    <w:pPr>
      <w:pStyle w:val="a0"/>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MGRiNGZhOTk3ZmU4NDVhYWZmZDRjOTQzNzlmMjIifQ=="/>
  </w:docVars>
  <w:rsids>
    <w:rsidRoot w:val="00C41EDC"/>
    <w:rsid w:val="0000274A"/>
    <w:rsid w:val="000125DF"/>
    <w:rsid w:val="00013480"/>
    <w:rsid w:val="00017907"/>
    <w:rsid w:val="00035DDD"/>
    <w:rsid w:val="00083CF3"/>
    <w:rsid w:val="00085860"/>
    <w:rsid w:val="0009071D"/>
    <w:rsid w:val="000A5301"/>
    <w:rsid w:val="000C006A"/>
    <w:rsid w:val="000D38B6"/>
    <w:rsid w:val="00100EE2"/>
    <w:rsid w:val="001150C0"/>
    <w:rsid w:val="00123A1B"/>
    <w:rsid w:val="00135341"/>
    <w:rsid w:val="0014162A"/>
    <w:rsid w:val="001728E2"/>
    <w:rsid w:val="0017361D"/>
    <w:rsid w:val="00177E79"/>
    <w:rsid w:val="00180B87"/>
    <w:rsid w:val="0019774F"/>
    <w:rsid w:val="001A3CE6"/>
    <w:rsid w:val="001C117C"/>
    <w:rsid w:val="001E24FC"/>
    <w:rsid w:val="00214E1A"/>
    <w:rsid w:val="00236207"/>
    <w:rsid w:val="00255FCB"/>
    <w:rsid w:val="00257EEA"/>
    <w:rsid w:val="00263B0D"/>
    <w:rsid w:val="00274544"/>
    <w:rsid w:val="00285E8C"/>
    <w:rsid w:val="00294277"/>
    <w:rsid w:val="002948E8"/>
    <w:rsid w:val="002C0FD6"/>
    <w:rsid w:val="002C13FB"/>
    <w:rsid w:val="002D0D76"/>
    <w:rsid w:val="002D430D"/>
    <w:rsid w:val="00310AFB"/>
    <w:rsid w:val="00310D70"/>
    <w:rsid w:val="00322E49"/>
    <w:rsid w:val="00341C5D"/>
    <w:rsid w:val="00362A55"/>
    <w:rsid w:val="00370291"/>
    <w:rsid w:val="003D1729"/>
    <w:rsid w:val="003E4674"/>
    <w:rsid w:val="00400F1C"/>
    <w:rsid w:val="00404415"/>
    <w:rsid w:val="00416B3B"/>
    <w:rsid w:val="00433AF2"/>
    <w:rsid w:val="00444935"/>
    <w:rsid w:val="00451C2B"/>
    <w:rsid w:val="00453CE7"/>
    <w:rsid w:val="00454E81"/>
    <w:rsid w:val="0045730C"/>
    <w:rsid w:val="00467D95"/>
    <w:rsid w:val="00477297"/>
    <w:rsid w:val="00481AF1"/>
    <w:rsid w:val="00487BF7"/>
    <w:rsid w:val="00494E93"/>
    <w:rsid w:val="004A6225"/>
    <w:rsid w:val="004D3D4D"/>
    <w:rsid w:val="004F0D96"/>
    <w:rsid w:val="004F112D"/>
    <w:rsid w:val="0053469A"/>
    <w:rsid w:val="005518D7"/>
    <w:rsid w:val="0055290B"/>
    <w:rsid w:val="00567A68"/>
    <w:rsid w:val="00574DF6"/>
    <w:rsid w:val="00593702"/>
    <w:rsid w:val="00594484"/>
    <w:rsid w:val="005A1137"/>
    <w:rsid w:val="005D2185"/>
    <w:rsid w:val="005D30B8"/>
    <w:rsid w:val="005E22E6"/>
    <w:rsid w:val="005F299F"/>
    <w:rsid w:val="005F3053"/>
    <w:rsid w:val="005F4B11"/>
    <w:rsid w:val="00613504"/>
    <w:rsid w:val="006225A5"/>
    <w:rsid w:val="006572E6"/>
    <w:rsid w:val="00674C7E"/>
    <w:rsid w:val="00677102"/>
    <w:rsid w:val="00697803"/>
    <w:rsid w:val="006C0E34"/>
    <w:rsid w:val="006D31C3"/>
    <w:rsid w:val="0070465C"/>
    <w:rsid w:val="007068F1"/>
    <w:rsid w:val="0071318C"/>
    <w:rsid w:val="0074535C"/>
    <w:rsid w:val="00792309"/>
    <w:rsid w:val="007929C7"/>
    <w:rsid w:val="007A11E0"/>
    <w:rsid w:val="007C1BF8"/>
    <w:rsid w:val="007C4D72"/>
    <w:rsid w:val="007F0477"/>
    <w:rsid w:val="00806733"/>
    <w:rsid w:val="00831E60"/>
    <w:rsid w:val="0084782B"/>
    <w:rsid w:val="008568DC"/>
    <w:rsid w:val="00883E22"/>
    <w:rsid w:val="00884C6C"/>
    <w:rsid w:val="008B0549"/>
    <w:rsid w:val="008B3DB0"/>
    <w:rsid w:val="008C1FB3"/>
    <w:rsid w:val="008D2C0C"/>
    <w:rsid w:val="008D4E50"/>
    <w:rsid w:val="008E27E1"/>
    <w:rsid w:val="008E5CDD"/>
    <w:rsid w:val="00913589"/>
    <w:rsid w:val="00914E6A"/>
    <w:rsid w:val="00945575"/>
    <w:rsid w:val="00946D57"/>
    <w:rsid w:val="009630F5"/>
    <w:rsid w:val="00976B66"/>
    <w:rsid w:val="00994D1A"/>
    <w:rsid w:val="009960BC"/>
    <w:rsid w:val="009C5BFA"/>
    <w:rsid w:val="009C7D82"/>
    <w:rsid w:val="009D4F8E"/>
    <w:rsid w:val="009D64EF"/>
    <w:rsid w:val="009D6BCB"/>
    <w:rsid w:val="009E600A"/>
    <w:rsid w:val="009F5A04"/>
    <w:rsid w:val="00A25A13"/>
    <w:rsid w:val="00A26A9C"/>
    <w:rsid w:val="00A27D81"/>
    <w:rsid w:val="00A403E2"/>
    <w:rsid w:val="00A74DA9"/>
    <w:rsid w:val="00A80345"/>
    <w:rsid w:val="00A80F96"/>
    <w:rsid w:val="00A81AA3"/>
    <w:rsid w:val="00A83BFB"/>
    <w:rsid w:val="00A8519C"/>
    <w:rsid w:val="00A87FA6"/>
    <w:rsid w:val="00A91A90"/>
    <w:rsid w:val="00AB36F8"/>
    <w:rsid w:val="00AC334D"/>
    <w:rsid w:val="00AD4774"/>
    <w:rsid w:val="00AE2A9D"/>
    <w:rsid w:val="00AE5DC6"/>
    <w:rsid w:val="00B14E48"/>
    <w:rsid w:val="00B20DB1"/>
    <w:rsid w:val="00B226A1"/>
    <w:rsid w:val="00B24FFE"/>
    <w:rsid w:val="00B36346"/>
    <w:rsid w:val="00B53929"/>
    <w:rsid w:val="00B84304"/>
    <w:rsid w:val="00BA47E9"/>
    <w:rsid w:val="00BB6411"/>
    <w:rsid w:val="00BC3446"/>
    <w:rsid w:val="00BC7921"/>
    <w:rsid w:val="00BD0F1D"/>
    <w:rsid w:val="00BE589F"/>
    <w:rsid w:val="00BF4DF0"/>
    <w:rsid w:val="00C05D50"/>
    <w:rsid w:val="00C07B96"/>
    <w:rsid w:val="00C13599"/>
    <w:rsid w:val="00C236C2"/>
    <w:rsid w:val="00C241EF"/>
    <w:rsid w:val="00C273B8"/>
    <w:rsid w:val="00C41EDC"/>
    <w:rsid w:val="00C5228A"/>
    <w:rsid w:val="00C632CF"/>
    <w:rsid w:val="00C67CD1"/>
    <w:rsid w:val="00C72F54"/>
    <w:rsid w:val="00C77EC4"/>
    <w:rsid w:val="00C826AE"/>
    <w:rsid w:val="00C87520"/>
    <w:rsid w:val="00CD47D3"/>
    <w:rsid w:val="00CD6158"/>
    <w:rsid w:val="00CE39F7"/>
    <w:rsid w:val="00CF57F1"/>
    <w:rsid w:val="00D00743"/>
    <w:rsid w:val="00D07655"/>
    <w:rsid w:val="00D14F00"/>
    <w:rsid w:val="00D27B27"/>
    <w:rsid w:val="00D57269"/>
    <w:rsid w:val="00D72DC7"/>
    <w:rsid w:val="00D8072D"/>
    <w:rsid w:val="00D84A66"/>
    <w:rsid w:val="00D91E84"/>
    <w:rsid w:val="00D9329A"/>
    <w:rsid w:val="00DB5805"/>
    <w:rsid w:val="00DF1E1C"/>
    <w:rsid w:val="00E00B4F"/>
    <w:rsid w:val="00E114BD"/>
    <w:rsid w:val="00E418F2"/>
    <w:rsid w:val="00E4411D"/>
    <w:rsid w:val="00E754C0"/>
    <w:rsid w:val="00E838FB"/>
    <w:rsid w:val="00E92C1A"/>
    <w:rsid w:val="00EB088B"/>
    <w:rsid w:val="00EC75E5"/>
    <w:rsid w:val="00ED0222"/>
    <w:rsid w:val="00ED6E10"/>
    <w:rsid w:val="00EE1AF5"/>
    <w:rsid w:val="00F03F0A"/>
    <w:rsid w:val="00F114A7"/>
    <w:rsid w:val="00F213EE"/>
    <w:rsid w:val="00F31DB2"/>
    <w:rsid w:val="00F379F5"/>
    <w:rsid w:val="00F627FE"/>
    <w:rsid w:val="00F7628F"/>
    <w:rsid w:val="00F825A5"/>
    <w:rsid w:val="00F95D10"/>
    <w:rsid w:val="00FA2AA4"/>
    <w:rsid w:val="00FF1C61"/>
    <w:rsid w:val="1D52157F"/>
    <w:rsid w:val="4EA60556"/>
    <w:rsid w:val="59BD6BC4"/>
    <w:rsid w:val="6C130E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
    <w:link w:val="2Char"/>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4"/>
    <w:link w:val="Char"/>
    <w:unhideWhenUsed/>
    <w:qFormat/>
    <w:pPr>
      <w:pBdr>
        <w:bottom w:val="single" w:sz="6" w:space="1" w:color="auto"/>
      </w:pBdr>
      <w:tabs>
        <w:tab w:val="center" w:pos="4153"/>
        <w:tab w:val="right" w:pos="8306"/>
      </w:tabs>
      <w:snapToGrid w:val="0"/>
      <w:jc w:val="center"/>
    </w:pPr>
    <w:rPr>
      <w:sz w:val="18"/>
      <w:szCs w:val="18"/>
    </w:rPr>
  </w:style>
  <w:style w:type="paragraph" w:styleId="a4">
    <w:name w:val="Body Text"/>
    <w:basedOn w:val="a"/>
    <w:uiPriority w:val="99"/>
    <w:unhideWhenUsed/>
    <w:qFormat/>
    <w:pPr>
      <w:spacing w:after="120"/>
    </w:pPr>
  </w:style>
  <w:style w:type="paragraph" w:styleId="a5">
    <w:name w:val="Plain Text"/>
    <w:basedOn w:val="a"/>
    <w:link w:val="Char0"/>
    <w:qFormat/>
    <w:rPr>
      <w:rFonts w:ascii="宋体" w:hAnsi="Courier New"/>
      <w:sz w:val="24"/>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table" w:styleId="a8">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a1"/>
    <w:link w:val="a0"/>
    <w:uiPriority w:val="99"/>
    <w:qFormat/>
    <w:rPr>
      <w:rFonts w:ascii="Times New Roman" w:eastAsia="宋体" w:hAnsi="Times New Roman" w:cs="Times New Roman"/>
      <w:sz w:val="18"/>
      <w:szCs w:val="18"/>
    </w:rPr>
  </w:style>
  <w:style w:type="character" w:customStyle="1" w:styleId="Char2">
    <w:name w:val="页脚 Char"/>
    <w:basedOn w:val="a1"/>
    <w:link w:val="a7"/>
    <w:uiPriority w:val="99"/>
    <w:qFormat/>
    <w:rPr>
      <w:rFonts w:ascii="Times New Roman" w:eastAsia="宋体" w:hAnsi="Times New Roman" w:cs="Times New Roman"/>
      <w:sz w:val="18"/>
      <w:szCs w:val="18"/>
    </w:rPr>
  </w:style>
  <w:style w:type="character" w:customStyle="1" w:styleId="Char1">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9">
    <w:name w:val="表格文字"/>
    <w:basedOn w:val="a"/>
    <w:qFormat/>
    <w:pPr>
      <w:spacing w:before="25" w:after="25"/>
    </w:pPr>
    <w:rPr>
      <w:bCs/>
      <w:spacing w:val="10"/>
    </w:rPr>
  </w:style>
  <w:style w:type="paragraph" w:customStyle="1" w:styleId="ParaCharCharChar1Char">
    <w:name w:val="默认段落字体 Para Char Char Char1 Char"/>
    <w:basedOn w:val="a"/>
    <w:next w:val="a"/>
    <w:qFormat/>
    <w:pPr>
      <w:spacing w:line="240" w:lineRule="atLeast"/>
      <w:ind w:left="420" w:firstLine="420"/>
      <w:jc w:val="left"/>
    </w:pPr>
    <w:rPr>
      <w:szCs w:val="24"/>
    </w:rPr>
  </w:style>
  <w:style w:type="character" w:customStyle="1" w:styleId="2Char">
    <w:name w:val="标题 2 Char"/>
    <w:basedOn w:val="a1"/>
    <w:link w:val="2"/>
    <w:qFormat/>
    <w:rPr>
      <w:rFonts w:ascii="Calibri" w:eastAsia="宋体" w:hAnsi="Calibri" w:cs="Times New Roman"/>
      <w:b/>
      <w:bCs/>
      <w:kern w:val="2"/>
      <w:sz w:val="32"/>
    </w:rPr>
  </w:style>
  <w:style w:type="character" w:customStyle="1" w:styleId="Char0">
    <w:name w:val="纯文本 Char"/>
    <w:basedOn w:val="a1"/>
    <w:link w:val="a5"/>
    <w:qFormat/>
    <w:rPr>
      <w:rFonts w:ascii="宋体" w:eastAsia="宋体" w:hAnsi="Courier New" w:cs="Times New Roman"/>
      <w:kern w:val="2"/>
      <w:sz w:val="24"/>
    </w:rPr>
  </w:style>
  <w:style w:type="paragraph" w:styleId="aa">
    <w:name w:val="List Paragraph"/>
    <w:basedOn w:val="a"/>
    <w:uiPriority w:val="99"/>
    <w:qFormat/>
    <w:pPr>
      <w:ind w:left="720"/>
      <w:contextualSpacing/>
    </w:pPr>
  </w:style>
  <w:style w:type="character" w:customStyle="1" w:styleId="info-content-text">
    <w:name w:val="info-content-text"/>
    <w:qFormat/>
  </w:style>
  <w:style w:type="paragraph" w:customStyle="1" w:styleId="20">
    <w:name w:val="列出段落2"/>
    <w:basedOn w:val="a"/>
    <w:uiPriority w:val="34"/>
    <w:qFormat/>
    <w:pPr>
      <w:ind w:firstLineChars="200" w:firstLine="420"/>
    </w:pPr>
    <w:rPr>
      <w:rFonts w:ascii="Calibri" w:hAnsi="Calibri"/>
      <w:szCs w:val="22"/>
    </w:rPr>
  </w:style>
  <w:style w:type="paragraph" w:styleId="ab">
    <w:name w:val="No Spacing"/>
    <w:uiPriority w:val="99"/>
    <w:qFormat/>
    <w:pPr>
      <w:widowControl w:val="0"/>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
    <w:link w:val="2Char"/>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4"/>
    <w:link w:val="Char"/>
    <w:unhideWhenUsed/>
    <w:qFormat/>
    <w:pPr>
      <w:pBdr>
        <w:bottom w:val="single" w:sz="6" w:space="1" w:color="auto"/>
      </w:pBdr>
      <w:tabs>
        <w:tab w:val="center" w:pos="4153"/>
        <w:tab w:val="right" w:pos="8306"/>
      </w:tabs>
      <w:snapToGrid w:val="0"/>
      <w:jc w:val="center"/>
    </w:pPr>
    <w:rPr>
      <w:sz w:val="18"/>
      <w:szCs w:val="18"/>
    </w:rPr>
  </w:style>
  <w:style w:type="paragraph" w:styleId="a4">
    <w:name w:val="Body Text"/>
    <w:basedOn w:val="a"/>
    <w:uiPriority w:val="99"/>
    <w:unhideWhenUsed/>
    <w:qFormat/>
    <w:pPr>
      <w:spacing w:after="120"/>
    </w:pPr>
  </w:style>
  <w:style w:type="paragraph" w:styleId="a5">
    <w:name w:val="Plain Text"/>
    <w:basedOn w:val="a"/>
    <w:link w:val="Char0"/>
    <w:qFormat/>
    <w:rPr>
      <w:rFonts w:ascii="宋体" w:hAnsi="Courier New"/>
      <w:sz w:val="24"/>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table" w:styleId="a8">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a1"/>
    <w:link w:val="a0"/>
    <w:uiPriority w:val="99"/>
    <w:qFormat/>
    <w:rPr>
      <w:rFonts w:ascii="Times New Roman" w:eastAsia="宋体" w:hAnsi="Times New Roman" w:cs="Times New Roman"/>
      <w:sz w:val="18"/>
      <w:szCs w:val="18"/>
    </w:rPr>
  </w:style>
  <w:style w:type="character" w:customStyle="1" w:styleId="Char2">
    <w:name w:val="页脚 Char"/>
    <w:basedOn w:val="a1"/>
    <w:link w:val="a7"/>
    <w:uiPriority w:val="99"/>
    <w:qFormat/>
    <w:rPr>
      <w:rFonts w:ascii="Times New Roman" w:eastAsia="宋体" w:hAnsi="Times New Roman" w:cs="Times New Roman"/>
      <w:sz w:val="18"/>
      <w:szCs w:val="18"/>
    </w:rPr>
  </w:style>
  <w:style w:type="character" w:customStyle="1" w:styleId="Char1">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9">
    <w:name w:val="表格文字"/>
    <w:basedOn w:val="a"/>
    <w:qFormat/>
    <w:pPr>
      <w:spacing w:before="25" w:after="25"/>
    </w:pPr>
    <w:rPr>
      <w:bCs/>
      <w:spacing w:val="10"/>
    </w:rPr>
  </w:style>
  <w:style w:type="paragraph" w:customStyle="1" w:styleId="ParaCharCharChar1Char">
    <w:name w:val="默认段落字体 Para Char Char Char1 Char"/>
    <w:basedOn w:val="a"/>
    <w:next w:val="a"/>
    <w:qFormat/>
    <w:pPr>
      <w:spacing w:line="240" w:lineRule="atLeast"/>
      <w:ind w:left="420" w:firstLine="420"/>
      <w:jc w:val="left"/>
    </w:pPr>
    <w:rPr>
      <w:szCs w:val="24"/>
    </w:rPr>
  </w:style>
  <w:style w:type="character" w:customStyle="1" w:styleId="2Char">
    <w:name w:val="标题 2 Char"/>
    <w:basedOn w:val="a1"/>
    <w:link w:val="2"/>
    <w:qFormat/>
    <w:rPr>
      <w:rFonts w:ascii="Calibri" w:eastAsia="宋体" w:hAnsi="Calibri" w:cs="Times New Roman"/>
      <w:b/>
      <w:bCs/>
      <w:kern w:val="2"/>
      <w:sz w:val="32"/>
    </w:rPr>
  </w:style>
  <w:style w:type="character" w:customStyle="1" w:styleId="Char0">
    <w:name w:val="纯文本 Char"/>
    <w:basedOn w:val="a1"/>
    <w:link w:val="a5"/>
    <w:qFormat/>
    <w:rPr>
      <w:rFonts w:ascii="宋体" w:eastAsia="宋体" w:hAnsi="Courier New" w:cs="Times New Roman"/>
      <w:kern w:val="2"/>
      <w:sz w:val="24"/>
    </w:rPr>
  </w:style>
  <w:style w:type="paragraph" w:styleId="aa">
    <w:name w:val="List Paragraph"/>
    <w:basedOn w:val="a"/>
    <w:uiPriority w:val="99"/>
    <w:qFormat/>
    <w:pPr>
      <w:ind w:left="720"/>
      <w:contextualSpacing/>
    </w:pPr>
  </w:style>
  <w:style w:type="character" w:customStyle="1" w:styleId="info-content-text">
    <w:name w:val="info-content-text"/>
    <w:qFormat/>
  </w:style>
  <w:style w:type="paragraph" w:customStyle="1" w:styleId="20">
    <w:name w:val="列出段落2"/>
    <w:basedOn w:val="a"/>
    <w:uiPriority w:val="34"/>
    <w:qFormat/>
    <w:pPr>
      <w:ind w:firstLineChars="200" w:firstLine="420"/>
    </w:pPr>
    <w:rPr>
      <w:rFonts w:ascii="Calibri" w:hAnsi="Calibri"/>
      <w:szCs w:val="22"/>
    </w:rPr>
  </w:style>
  <w:style w:type="paragraph" w:styleId="ab">
    <w:name w:val="No Spacing"/>
    <w:uiPriority w:val="99"/>
    <w:qFormat/>
    <w:pPr>
      <w:widowControl w:val="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280</Words>
  <Characters>1600</Characters>
  <Application>Microsoft Office Word</Application>
  <DocSecurity>0</DocSecurity>
  <Lines>13</Lines>
  <Paragraphs>3</Paragraphs>
  <ScaleCrop>false</ScaleCrop>
  <Company>Far123</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161</cp:revision>
  <dcterms:created xsi:type="dcterms:W3CDTF">2015-06-17T12:51:00Z</dcterms:created>
  <dcterms:modified xsi:type="dcterms:W3CDTF">2022-11-11T07:04:00Z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AF6D073221DA4421B7133AD7E4E69623</vt:lpwstr>
  </property>
  <property fmtid="{D5CDD505-2E9C-101B-9397-08002B2CF9AE}" pid="3" name="KSOProductBuildVer">
    <vt:lpwstr>2052-11.1.0.12763</vt:lpwstr>
  </property>
</Properties>
</file>