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sz w:val="28"/>
        </w:rPr>
        <w:t>附录C</w:t>
      </w:r>
    </w:p>
    <w:p>
      <w:pPr>
        <w:ind w:firstLine="294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sz w:val="28"/>
        </w:rPr>
        <w:t>测量过程有效性确认记录</w:t>
      </w:r>
    </w:p>
    <w:p>
      <w:pPr>
        <w:rPr>
          <w:rFonts w:ascii="宋体" w:hAnsi="宋体" w:eastAsia="宋体" w:cs="宋体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16"/>
        <w:gridCol w:w="268"/>
        <w:gridCol w:w="1290"/>
        <w:gridCol w:w="1210"/>
        <w:gridCol w:w="1556"/>
        <w:gridCol w:w="762"/>
        <w:gridCol w:w="593"/>
        <w:gridCol w:w="182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测量过程编号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宋体" w:hAnsi="宋体" w:eastAsia="宋体" w:cs="宋体"/>
              </w:rPr>
              <w:t>202</w:t>
            </w: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-01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测量过程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名称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CYG19D抽油杆杆体直径</w:t>
            </w:r>
            <w:r>
              <w:rPr>
                <w:rFonts w:ascii="宋体" w:hAnsi="宋体" w:eastAsia="宋体" w:cs="宋体"/>
              </w:rPr>
              <w:t>测量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测量过程规范编号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XJJC</w:t>
            </w:r>
            <w:r>
              <w:rPr>
                <w:rFonts w:ascii="宋体" w:hAnsi="宋体" w:eastAsia="宋体" w:cs="宋体"/>
              </w:rPr>
              <w:t>/C</w:t>
            </w:r>
            <w:r>
              <w:rPr>
                <w:rFonts w:hint="eastAsia" w:ascii="宋体" w:hAnsi="宋体" w:eastAsia="宋体" w:cs="宋体"/>
              </w:rPr>
              <w:t>L</w:t>
            </w:r>
            <w:r>
              <w:rPr>
                <w:rFonts w:ascii="宋体" w:hAnsi="宋体" w:eastAsia="宋体" w:cs="宋体"/>
              </w:rPr>
              <w:t>-202</w:t>
            </w: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-01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所在部门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21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量</w:t>
            </w:r>
            <w:r>
              <w:rPr>
                <w:rFonts w:ascii="宋体" w:hAnsi="宋体" w:eastAsia="宋体" w:cs="宋体"/>
              </w:rPr>
              <w:t>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测量项目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直径</w:t>
            </w:r>
            <w:r>
              <w:rPr>
                <w:rFonts w:ascii="宋体" w:hAnsi="宋体" w:eastAsia="宋体" w:cs="宋体"/>
              </w:rPr>
              <w:t xml:space="preserve">测量 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控制程度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高度控制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测量过程要素概述：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</w:rPr>
            </w:pPr>
            <w:r>
              <w:rPr>
                <w:rFonts w:ascii="宋体" w:hAnsi="宋体" w:eastAsia="宋体" w:cs="宋体"/>
              </w:rPr>
              <w:t>测量设备：（0～150）mm游标卡尺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测量方法：采用直接测量法，首先保证游标卡尺处于正常工作状态。按照</w:t>
            </w:r>
            <w:r>
              <w:rPr>
                <w:rFonts w:hint="eastAsia" w:ascii="宋体" w:hAnsi="宋体" w:eastAsia="宋体" w:cs="宋体"/>
              </w:rPr>
              <w:t>孔</w:t>
            </w:r>
            <w:r>
              <w:rPr>
                <w:rFonts w:ascii="宋体" w:hAnsi="宋体" w:eastAsia="宋体" w:cs="宋体"/>
              </w:rPr>
              <w:t>图纸要求，每次对被测实物</w:t>
            </w:r>
            <w:r>
              <w:rPr>
                <w:rFonts w:hint="eastAsia" w:ascii="宋体" w:hAnsi="宋体" w:eastAsia="宋体" w:cs="宋体"/>
              </w:rPr>
              <w:t>抽油杆杆体</w:t>
            </w:r>
            <w:r>
              <w:rPr>
                <w:rFonts w:ascii="宋体" w:hAnsi="宋体" w:eastAsia="宋体" w:cs="宋体"/>
              </w:rPr>
              <w:t>重复测量不低于3次,读取被测量数据，并做好原始记录。用同一台游标卡尺至少每一月抽检2次，保存抽检原始记录，并绘制控制图，数据应稳定，符合计量要求。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环境条件： 常温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测量软件；无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操作者技能：测量设备使用操作人员，经培训合格，有两年以上经验,且取得操作上岗证.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其他影响量：</w:t>
            </w:r>
            <w:r>
              <w:rPr>
                <w:rFonts w:hint="eastAsia" w:ascii="宋体" w:hAnsi="宋体" w:eastAsia="宋体" w:cs="宋体"/>
              </w:rPr>
              <w:t>无</w:t>
            </w:r>
          </w:p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有效性确认记录:</w:t>
            </w:r>
          </w:p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1、用游标卡尺对被测</w:t>
            </w:r>
            <w:r>
              <w:rPr>
                <w:rFonts w:hint="eastAsia" w:ascii="宋体" w:hAnsi="宋体" w:eastAsia="宋体" w:cs="宋体"/>
              </w:rPr>
              <w:t>抽油杆杆体</w:t>
            </w:r>
            <w:r>
              <w:rPr>
                <w:rFonts w:ascii="宋体" w:hAnsi="宋体" w:eastAsia="宋体" w:cs="宋体"/>
                <w:sz w:val="20"/>
              </w:rPr>
              <w:t>进行测量，通过比对对</w:t>
            </w:r>
            <w:r>
              <w:rPr>
                <w:rFonts w:ascii="宋体" w:hAnsi="宋体" w:eastAsia="宋体" w:cs="宋体"/>
              </w:rPr>
              <w:t>测量过程的有效性进行确认：</w:t>
            </w:r>
          </w:p>
          <w:p>
            <w:pPr>
              <w:spacing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  <w:r>
              <w:rPr>
                <w:rFonts w:ascii="宋体" w:hAnsi="宋体" w:eastAsia="宋体" w:cs="宋体"/>
              </w:rPr>
              <w:t>、检测过程有效性进行确认：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宋体" w:hAnsi="宋体" w:eastAsia="宋体" w:cs="宋体"/>
              </w:rPr>
              <w:t>)、202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</w:rPr>
              <w:t>11</w:t>
            </w:r>
            <w:r>
              <w:rPr>
                <w:rFonts w:ascii="宋体" w:hAnsi="宋体" w:eastAsia="宋体" w:cs="宋体"/>
              </w:rPr>
              <w:t>日  用游标卡尺对实物进行5次检测，平均值为</w:t>
            </w:r>
            <w:r>
              <w:object>
                <v:shape id="_x0000_i1025" o:spt="75" type="#_x0000_t75" style="height:19.05pt;width:14.8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</w:rPr>
              <w:t>=</w:t>
            </w:r>
            <w:r>
              <w:rPr>
                <w:rFonts w:hint="eastAsia" w:ascii="宋体" w:hAnsi="宋体" w:eastAsia="宋体" w:cs="宋体"/>
              </w:rPr>
              <w:t>19.0</w:t>
            </w:r>
            <w:r>
              <w:rPr>
                <w:rFonts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2)、202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</w:rPr>
              <w:t>日 用游标卡尺对实物进行5次检测，平均值为</w:t>
            </w:r>
            <w:r>
              <w:object>
                <v:shape id="_x0000_i1026" o:spt="75" type="#_x0000_t75" style="height:19.05pt;width:15.9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</w:rPr>
              <w:t>=</w:t>
            </w:r>
            <w:r>
              <w:rPr>
                <w:rFonts w:hint="eastAsia" w:ascii="宋体" w:hAnsi="宋体" w:eastAsia="宋体" w:cs="宋体"/>
              </w:rPr>
              <w:t>19.18</w:t>
            </w:r>
            <w:r>
              <w:rPr>
                <w:rFonts w:hint="eastAsia" w:ascii="宋体" w:hAnsi="宋体" w:eastAsia="宋体" w:cs="宋体"/>
                <w:sz w:val="24"/>
              </w:rPr>
              <w:t>㎜</w:t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测量过程的扩展不确定度</w:t>
            </w:r>
            <w:r>
              <w:rPr>
                <w:rFonts w:ascii="宋体" w:hAnsi="宋体" w:eastAsia="宋体" w:cs="宋体"/>
                <w:i/>
              </w:rPr>
              <w:t>U</w:t>
            </w:r>
            <w:r>
              <w:rPr>
                <w:rFonts w:ascii="宋体" w:hAnsi="宋体" w:eastAsia="宋体" w:cs="宋体"/>
              </w:rPr>
              <w:t>=0.</w:t>
            </w:r>
            <w:r>
              <w:rPr>
                <w:rFonts w:hint="eastAsia" w:ascii="宋体" w:hAnsi="宋体" w:eastAsia="宋体" w:cs="宋体"/>
              </w:rPr>
              <w:t>22</w:t>
            </w:r>
            <w:r>
              <w:rPr>
                <w:rFonts w:hint="eastAsia" w:ascii="宋体" w:hAnsi="宋体" w:eastAsia="宋体" w:cs="宋体"/>
                <w:sz w:val="24"/>
              </w:rPr>
              <w:t>㎜</w:t>
            </w:r>
            <w:r>
              <w:rPr>
                <w:rFonts w:ascii="宋体" w:hAnsi="宋体" w:eastAsia="宋体" w:cs="宋体"/>
                <w:i/>
                <w:iCs/>
              </w:rPr>
              <w:t xml:space="preserve"> k=2</w:t>
            </w:r>
            <w:r>
              <w:rPr>
                <w:rFonts w:ascii="宋体" w:hAnsi="宋体" w:eastAsia="宋体" w:cs="宋体"/>
              </w:rPr>
              <w:t xml:space="preserve">， </w:t>
            </w:r>
          </w:p>
          <w:p>
            <w:pPr>
              <w:spacing w:line="360" w:lineRule="auto"/>
              <w:ind w:firstLine="420"/>
              <w:jc w:val="left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</w:rPr>
              <w:t>E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 xml:space="preserve"> n</w:t>
            </w:r>
            <w:r>
              <w:rPr>
                <w:rFonts w:ascii="宋体" w:hAnsi="宋体" w:eastAsia="宋体" w:cs="宋体"/>
              </w:rPr>
              <w:t>=|</w:t>
            </w:r>
            <w:r>
              <w:object>
                <v:shape id="_x0000_i1027" o:spt="75" type="#_x0000_t75" style="height:29.1pt;width:31.25pt;" o:ole="t" filled="t" o:preferrelative="t" stroked="f" coordsize="21600,21600">
                  <v:path/>
                  <v:fill on="t" focussize="0,0"/>
                  <v:stroke on="f" joinstyle="miter"/>
                  <v:imagedata r:id="rId9" o:title=""/>
                  <o:lock v:ext="edit" aspectratio="f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</w:rPr>
              <w:t xml:space="preserve"> |  /</w:t>
            </w:r>
            <w:r>
              <w:object>
                <v:shape id="_x0000_i1028" o:spt="75" type="#_x0000_t75" style="height:18.55pt;width:19.0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i/>
              </w:rPr>
              <w:t xml:space="preserve">U    </w:t>
            </w:r>
          </w:p>
          <w:p>
            <w:pPr>
              <w:spacing w:line="360" w:lineRule="auto"/>
              <w:ind w:firstLine="4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E n=|</w:t>
            </w:r>
            <w:r>
              <w:rPr>
                <w:rFonts w:hint="eastAsia" w:ascii="宋体" w:hAnsi="宋体" w:eastAsia="宋体" w:cs="宋体"/>
              </w:rPr>
              <w:t>19.0</w:t>
            </w:r>
            <w:r>
              <w:rPr>
                <w:rFonts w:ascii="宋体" w:hAnsi="宋体" w:eastAsia="宋体" w:cs="宋体"/>
              </w:rPr>
              <w:t>2-</w:t>
            </w:r>
            <w:r>
              <w:rPr>
                <w:rFonts w:hint="eastAsia" w:ascii="宋体" w:hAnsi="宋体" w:eastAsia="宋体" w:cs="宋体"/>
              </w:rPr>
              <w:t>19.18</w:t>
            </w:r>
            <w:r>
              <w:rPr>
                <w:rFonts w:ascii="宋体" w:hAnsi="宋体" w:eastAsia="宋体" w:cs="宋体"/>
              </w:rPr>
              <w:t>|/（1.414* 0.</w:t>
            </w:r>
            <w:r>
              <w:rPr>
                <w:rFonts w:hint="eastAsia" w:ascii="宋体" w:hAnsi="宋体" w:eastAsia="宋体" w:cs="宋体"/>
              </w:rPr>
              <w:t>22</w:t>
            </w:r>
            <w:r>
              <w:rPr>
                <w:rFonts w:ascii="宋体" w:hAnsi="宋体" w:eastAsia="宋体" w:cs="宋体"/>
              </w:rPr>
              <w:t>）=0.</w:t>
            </w:r>
            <w:r>
              <w:rPr>
                <w:rFonts w:hint="eastAsia" w:ascii="宋体" w:hAnsi="宋体" w:eastAsia="宋体" w:cs="宋体"/>
              </w:rPr>
              <w:t>51</w:t>
            </w:r>
            <w:r>
              <w:rPr>
                <w:rFonts w:hint="eastAsia" w:ascii="宋体" w:hAnsi="宋体" w:eastAsia="宋体" w:cs="宋体"/>
                <w:sz w:val="24"/>
              </w:rPr>
              <w:t>㎜</w:t>
            </w:r>
            <w:r>
              <w:rPr>
                <w:rFonts w:ascii="宋体" w:hAnsi="宋体" w:eastAsia="宋体" w:cs="宋体"/>
              </w:rPr>
              <w:t xml:space="preserve">&lt;1 </w:t>
            </w:r>
          </w:p>
          <w:p>
            <w:pPr>
              <w:spacing w:line="360" w:lineRule="auto"/>
              <w:ind w:firstLine="420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当</w:t>
            </w:r>
            <w:r>
              <w:rPr>
                <w:rFonts w:ascii="Times New Roman" w:hAnsi="Times New Roman" w:eastAsia="Times New Roman" w:cs="Times New Roman"/>
              </w:rPr>
              <w:t>E</w:t>
            </w:r>
            <w:r>
              <w:rPr>
                <w:rFonts w:ascii="Times New Roman" w:hAnsi="Times New Roman" w:eastAsia="Times New Roman" w:cs="Times New Roman"/>
                <w:vertAlign w:val="subscript"/>
              </w:rPr>
              <w:t xml:space="preserve"> n</w:t>
            </w:r>
            <w:r>
              <w:rPr>
                <w:rFonts w:ascii="Cambria Math" w:hAnsi="Cambria Math" w:eastAsia="Cambria Math" w:cs="Cambria Math"/>
              </w:rPr>
              <w:t>≤</w:t>
            </w: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宋体" w:hAnsi="宋体" w:eastAsia="宋体" w:cs="宋体"/>
              </w:rPr>
              <w:t>时该测量过程有效。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此过程测量数据的稳定，满足计量要求，此测量过程有效。</w:t>
            </w:r>
          </w:p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</w:rPr>
              <w:t xml:space="preserve">确认人员： </w:t>
            </w:r>
            <w:r>
              <w:rPr>
                <w:rFonts w:hint="eastAsia" w:ascii="宋体" w:hAnsi="宋体" w:eastAsia="宋体" w:cs="宋体"/>
              </w:rPr>
              <w:t>李谷雨</w:t>
            </w:r>
            <w:r>
              <w:rPr>
                <w:rFonts w:ascii="宋体" w:hAnsi="宋体" w:eastAsia="宋体" w:cs="宋体"/>
                <w:sz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</w:rPr>
              <w:drawing>
                <wp:inline distT="0" distB="0" distL="0" distR="0">
                  <wp:extent cx="591185" cy="287655"/>
                  <wp:effectExtent l="19050" t="0" r="0" b="0"/>
                  <wp:docPr id="3" name="图片 1" descr="ffb057ea1bcbebe5a737069c2fad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ffb057ea1bcbebe5a737069c2fad910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lum contrast="100000"/>
                          </a:blip>
                          <a:srcRect l="14179" t="61700" r="68435" b="334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710" cy="287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0"/>
              </w:rPr>
              <w:t xml:space="preserve">                    日期：202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</w:rPr>
              <w:t>1</w:t>
            </w:r>
            <w:r>
              <w:rPr>
                <w:rFonts w:ascii="宋体" w:hAnsi="宋体" w:eastAsia="宋体" w:cs="宋体"/>
                <w:sz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12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变更记录:</w:t>
            </w:r>
          </w:p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日期</w:t>
            </w: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变更内容</w:t>
            </w: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ind w:firstLine="30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批准人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characterSpacingControl w:val="doNotCompress"/>
  <w:compat>
    <w:useFELayout/>
    <w:splitPgBreakAndParaMark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F325B7"/>
    <w:rsid w:val="00037671"/>
    <w:rsid w:val="000B6CB2"/>
    <w:rsid w:val="002939E2"/>
    <w:rsid w:val="00795A71"/>
    <w:rsid w:val="00BA2760"/>
    <w:rsid w:val="00F325B7"/>
    <w:rsid w:val="02B05AC4"/>
    <w:rsid w:val="06DB6B25"/>
    <w:rsid w:val="10446AA2"/>
    <w:rsid w:val="289B5010"/>
    <w:rsid w:val="2CC46360"/>
    <w:rsid w:val="2D307F8F"/>
    <w:rsid w:val="35744F1A"/>
    <w:rsid w:val="56E61820"/>
    <w:rsid w:val="5F1B05FE"/>
    <w:rsid w:val="5F64712C"/>
    <w:rsid w:val="5FFA05B7"/>
    <w:rsid w:val="605D7F9C"/>
    <w:rsid w:val="76363B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487</Words>
  <Characters>585</Characters>
  <Lines>5</Lines>
  <Paragraphs>1</Paragraphs>
  <TotalTime>4</TotalTime>
  <ScaleCrop>false</ScaleCrop>
  <LinksUpToDate>false</LinksUpToDate>
  <CharactersWithSpaces>630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2021-06-27T06:11:00Z</dcterms:created>
  <dc:creator>A</dc:creator>
  <cp:lastModifiedBy>yingjie</cp:lastModifiedBy>
  <dcterms:modified xsi:type="dcterms:W3CDTF">2022-11-07T02:56:06Z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2AA9D30A84B844949C5CA21D46CB2BF6</vt:lpwstr>
  </property>
</Properties>
</file>