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受审核部门： 管理层     主管领导/陪同人员：王丹/张小民</w:t>
            </w:r>
          </w:p>
        </w:tc>
        <w:tc>
          <w:tcPr>
            <w:tcW w:w="1585" w:type="dxa"/>
            <w:vMerge w:val="restart"/>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asciiTheme="minorEastAsia" w:hAnsiTheme="minorEastAsia" w:eastAsiaTheme="minorEastAsia"/>
                <w:szCs w:val="21"/>
              </w:rPr>
            </w:pPr>
          </w:p>
        </w:tc>
        <w:tc>
          <w:tcPr>
            <w:tcW w:w="960" w:type="dxa"/>
            <w:vMerge w:val="continue"/>
            <w:vAlign w:val="center"/>
          </w:tcPr>
          <w:p>
            <w:pPr>
              <w:spacing w:line="360" w:lineRule="auto"/>
              <w:rPr>
                <w:rFonts w:asciiTheme="minorEastAsia" w:hAnsiTheme="minorEastAsia" w:eastAsiaTheme="minorEastAsia"/>
                <w:szCs w:val="21"/>
              </w:rPr>
            </w:pPr>
          </w:p>
        </w:tc>
        <w:tc>
          <w:tcPr>
            <w:tcW w:w="10004" w:type="dxa"/>
            <w:vAlign w:val="center"/>
          </w:tcPr>
          <w:p>
            <w:pPr>
              <w:spacing w:before="120" w:line="360" w:lineRule="auto"/>
              <w:rPr>
                <w:rFonts w:asciiTheme="minorEastAsia" w:hAnsiTheme="minorEastAsia" w:eastAsiaTheme="minorEastAsia"/>
                <w:szCs w:val="21"/>
              </w:rPr>
            </w:pPr>
            <w:r>
              <w:rPr>
                <w:rFonts w:hint="eastAsia" w:asciiTheme="minorEastAsia" w:hAnsiTheme="minorEastAsia" w:eastAsiaTheme="minorEastAsia"/>
                <w:szCs w:val="21"/>
              </w:rPr>
              <w:t>审核员：</w:t>
            </w:r>
            <w:r>
              <w:rPr>
                <w:sz w:val="20"/>
                <w:lang w:val="de-DE"/>
              </w:rPr>
              <w:t>姜俊</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审核时间：202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p>
        </w:tc>
        <w:tc>
          <w:tcPr>
            <w:tcW w:w="1585" w:type="dxa"/>
            <w:vMerge w:val="continue"/>
          </w:tcPr>
          <w:p>
            <w:pPr>
              <w:spacing w:line="360"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asciiTheme="minorEastAsia" w:hAnsiTheme="minorEastAsia" w:eastAsiaTheme="minorEastAsia"/>
                <w:szCs w:val="21"/>
              </w:rPr>
            </w:pPr>
          </w:p>
        </w:tc>
        <w:tc>
          <w:tcPr>
            <w:tcW w:w="960" w:type="dxa"/>
            <w:vMerge w:val="continue"/>
            <w:vAlign w:val="center"/>
          </w:tcPr>
          <w:p>
            <w:pPr>
              <w:spacing w:line="360" w:lineRule="auto"/>
              <w:rPr>
                <w:rFonts w:asciiTheme="minorEastAsia" w:hAnsiTheme="minorEastAsia" w:eastAsiaTheme="minorEastAsia"/>
                <w:szCs w:val="21"/>
              </w:rPr>
            </w:pP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审核条款：4.1，4.2，4.3，4.4，5.1.1，5.1.2，5.2.1，5.2.2，5.3，6.1，6.2，6.3，7.1.1，7.4 9.1.1，9.3，10.1，10.3</w:t>
            </w:r>
          </w:p>
        </w:tc>
        <w:tc>
          <w:tcPr>
            <w:tcW w:w="1585" w:type="dxa"/>
            <w:vMerge w:val="continue"/>
          </w:tcPr>
          <w:p>
            <w:pPr>
              <w:spacing w:line="360"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基本信息</w:t>
            </w:r>
          </w:p>
        </w:tc>
        <w:tc>
          <w:tcPr>
            <w:tcW w:w="960" w:type="dxa"/>
            <w:vAlign w:val="center"/>
          </w:tcPr>
          <w:p>
            <w:pPr>
              <w:spacing w:line="360" w:lineRule="auto"/>
              <w:rPr>
                <w:rFonts w:asciiTheme="minorEastAsia" w:hAnsiTheme="minorEastAsia" w:eastAsiaTheme="minorEastAsia"/>
                <w:szCs w:val="21"/>
              </w:rPr>
            </w:pP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确认受审方名称：南京申瑞电气系统控制有限公司</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注册地址：</w:t>
            </w:r>
            <w:bookmarkStart w:id="0" w:name="注册地址"/>
            <w:r>
              <w:t>南京市江宁区福英路1001号联东U谷2号楼（江宁高新园）</w:t>
            </w:r>
            <w:bookmarkEnd w:id="0"/>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办公、经营地址：</w:t>
            </w:r>
            <w:r>
              <w:t>南京市江宁区福英路1001号联东U谷2号楼（江宁高新园）</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资质确认：营业执照、计量器具型式批准证书真实有效。</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审核范围：</w:t>
            </w:r>
            <w:r>
              <w:rPr>
                <w:rFonts w:hint="eastAsia" w:ascii="宋体" w:hAnsi="宋体"/>
                <w:szCs w:val="21"/>
              </w:rPr>
              <w:t xml:space="preserve">系统集成服务，应用软件的开发服务，GER系列自动化控制设备的开发、生产、技术服务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总经理：王丹，管理者代表：张小民</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4.1</w:t>
            </w:r>
          </w:p>
        </w:tc>
        <w:tc>
          <w:tcPr>
            <w:tcW w:w="10004" w:type="dxa"/>
            <w:vAlign w:val="center"/>
          </w:tcPr>
          <w:p>
            <w:pPr>
              <w:adjustRightInd w:val="0"/>
              <w:snapToGrid w:val="0"/>
              <w:spacing w:line="360" w:lineRule="auto"/>
              <w:rPr>
                <w:color w:val="000000"/>
                <w:szCs w:val="21"/>
              </w:rPr>
            </w:pPr>
            <w:r>
              <w:rPr>
                <w:rFonts w:hint="eastAsia" w:asciiTheme="minorEastAsia" w:hAnsiTheme="minorEastAsia" w:eastAsiaTheme="minorEastAsia"/>
                <w:szCs w:val="21"/>
              </w:rPr>
              <w:t>企业2000年8月成立，企业从事本行业近20年，人员流动性小，企业员工基本均为技术出身，技术上有一定优势，有多名高级工程师，另多年的行业经验让企业积累了一定客户群</w:t>
            </w:r>
            <w:r>
              <w:rPr>
                <w:rFonts w:hint="eastAsia"/>
                <w:color w:val="000000"/>
                <w:szCs w:val="21"/>
              </w:rPr>
              <w:t>。企业客户群主要为水利方面。</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于2017年3月8日依据GB/T19001-2016标准对质量手册\程序文件进行修订，目前版本为F/0版，由管理者代表组织人员编写，总经理批准实施。文件中描述了质量管理体系建立的原则及质量管理体系的各个过程。确定了质量管理体系的过程及控制方法，配备了所需设施及符合能力要求的各任职人员。</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符合要求</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相关方的需求和期望</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4.2</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公司识别并确定了影响公司提供产品和服务能力的利益相关方：客户、员工、供应商等。</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管代介绍公司通过投标、合同约定形式了解相关方的需求，然后提供出满足他们要求提供优质产品和完善的服务，目前公司能满足相关方的需求和期望。</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相关方进行监视和评审的方式方法：公司通过走访、会议、上级文件、标准和规范的获取等方式对相关方的信息进行监视和评审。</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企业识别相关方的需求和期望主要表现如下：</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客户：产品价格合理，性价比高；持续稳定的销售服务能力；按约定时间交付。</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供方：交易价格公平合理、按约定时间付款</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员工：提供岗位培训及晋升加薪机会</w:t>
            </w:r>
          </w:p>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制表人：张小民  批准：王丹</w:t>
            </w:r>
            <w:r>
              <w:rPr>
                <w:rFonts w:asciiTheme="minorEastAsia" w:hAnsiTheme="minorEastAsia" w:eastAsiaTheme="minorEastAsia"/>
                <w:szCs w:val="21"/>
              </w:rPr>
              <w:t>20</w:t>
            </w: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6</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质量管理体系的范围</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4.3</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公司按照标准要求编写了体系文件于2017年3月8日修订实施， 管理体系文件包括管理手册、程序文件、作业文件和记录表格等内容，管理手册中包括了管理方针和管理目标，并给出了各级文件的接口。</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adjustRightInd w:val="0"/>
              <w:snapToGrid w:val="0"/>
              <w:spacing w:line="360" w:lineRule="auto"/>
              <w:rPr>
                <w:rFonts w:ascii="宋体" w:hAnsi="宋体"/>
                <w:szCs w:val="21"/>
              </w:rPr>
            </w:pPr>
            <w:r>
              <w:rPr>
                <w:rFonts w:hint="eastAsia" w:asciiTheme="minorEastAsia" w:hAnsiTheme="minorEastAsia" w:eastAsiaTheme="minorEastAsia"/>
                <w:szCs w:val="21"/>
              </w:rPr>
              <w:t>管理体系范围：</w:t>
            </w:r>
            <w:bookmarkStart w:id="1" w:name="生产地址"/>
            <w:r>
              <w:t>南京市江宁区福英路1001号联东U谷2号楼（江宁高新园）</w:t>
            </w:r>
            <w:bookmarkEnd w:id="1"/>
            <w:bookmarkStart w:id="2" w:name="组织名称"/>
            <w:r>
              <w:rPr>
                <w:color w:val="000000"/>
                <w:szCs w:val="21"/>
              </w:rPr>
              <w:t>南京申瑞电气系统控制有限公司</w:t>
            </w:r>
            <w:bookmarkEnd w:id="2"/>
            <w:bookmarkStart w:id="3" w:name="审核范围"/>
            <w:r>
              <w:rPr>
                <w:rFonts w:hint="eastAsia" w:ascii="宋体" w:hAnsi="宋体"/>
                <w:szCs w:val="21"/>
              </w:rPr>
              <w:t>系统集成服务，应用软件的开发服务，GER系列自动化控制设备的开发、生产、技术服务</w:t>
            </w:r>
            <w:bookmarkEnd w:id="3"/>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不适用条款；无</w:t>
            </w:r>
          </w:p>
          <w:p>
            <w:pPr>
              <w:adjustRightInd w:val="0"/>
              <w:snapToGrid w:val="0"/>
              <w:spacing w:line="360" w:lineRule="auto"/>
              <w:rPr>
                <w:rFonts w:ascii="宋体" w:hAnsi="宋体"/>
                <w:szCs w:val="21"/>
              </w:rPr>
            </w:pPr>
            <w:r>
              <w:rPr>
                <w:rFonts w:hint="eastAsia" w:ascii="宋体" w:hAnsi="宋体"/>
                <w:szCs w:val="21"/>
              </w:rPr>
              <w:t>外包过程：GER系列自动化控制设备生产过程中部件加工</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质量管理体系及其过程</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4.4</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公司外包过程：</w:t>
            </w:r>
            <w:r>
              <w:rPr>
                <w:rFonts w:hint="eastAsia" w:ascii="宋体" w:hAnsi="宋体"/>
                <w:szCs w:val="21"/>
              </w:rPr>
              <w:t>GER系列自动化控制设备生产过程中部件加工</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体系无不适用条款</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领导作用和承诺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总则</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5.1</w:t>
            </w:r>
          </w:p>
          <w:p>
            <w:pPr>
              <w:spacing w:line="360" w:lineRule="auto"/>
              <w:rPr>
                <w:rFonts w:asciiTheme="minorEastAsia" w:hAnsiTheme="minorEastAsia" w:eastAsiaTheme="minorEastAsia"/>
                <w:szCs w:val="21"/>
              </w:rPr>
            </w:pPr>
            <w:r>
              <w:rPr>
                <w:rFonts w:asciiTheme="minorEastAsia" w:hAnsiTheme="minorEastAsia" w:eastAsiaTheme="minorEastAsia"/>
                <w:szCs w:val="21"/>
              </w:rPr>
              <w:t>5.1.1</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公司编制了岗位职责与任职要求，明确了总经理的主要职责包括：</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负责贯彻国家有关的质量政策和法规，对公司产品质量负全责；</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确定本公司质量方针和质量目标，以增强顾客满意为目标，确保关注顾客要求；</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策划、建立和实施质量管理体系，并持续改进其有效性；</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明确各部门的职责和权限，确保得到内部沟通；</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确保建立、实施和改进质量管理体系有关的必要资源，创造使全体员工能够充分参与实现质量目标的工作环境；</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组织管理评审；</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负责批准质量手册等</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信息系统安全工程管理要求》GB50311-2016《综合布线系统工程设计规范》GB50312-2016《综合布线系统工程验收规范》GB/T9385-2008《计算机软件需求规格说明规范》GB/T 15532-2008　《计算机软件测试规范》GB 16836-2003量度继电器和保护装置安全设计的一般要求GB/T 2887-2000电子计算机通用规范GB/T 9361－1988计算站场地安全要求GB/T 7261-2000继电器及继电保护装置基本试验方法GB/T 11287-2000电气继电器　第21部分：量度继电器和保护装置的振动、冲击、碰撞和地震试验   第一篇：振动试验(正弦)（idt IEC60255-21-1：1988）GB/T 14537-1993量度继电器和保护装置的冲击和碰撞试验（idt IEC60255-21-1：1988）GB/T 14598.9-2002电气继电器第22部分：量度继电器和保护装置的电气骚扰试验 等，法律法规已通过邮件的形式发放到相关部门，已得到有效执行，未出现违规情况。</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质量手册中写明了质量方针、目标，由总经理批准后实施。</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以顾客为关注焦点</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5.1.2</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在确定顾客的需求和期望时，公司同时考虑与产品有关的义务（如安全的责任、环境保护要求等）和法律法规要求，并采取措施，使其得到落实。</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方针</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5.2.1</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质量方针：各尽其职，确保每一件产品的质量；合力进取，满足每一位顾客的需求。</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方针在质量手册中予以规定，经总经理批准实施。</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组织的角色职责和权限</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公司编制了岗位职责和任职要求，经总经理批准后通过培训和发受控文件的形式使职责得到沟通。</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各部门的职责情况详见各部门5.3审核记录。</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策划</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应对风险和机遇的措施</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6.1</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企业通过识别与评价对公司目标和战略方向相关影响其实现质量管理体系预期结果的各种内外部环境因素，有效应对风险和机遇。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抽企业风险机遇的识别及措施的制定情况，基本同去年，符合要求。</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针对质量风险与机遇，质量负责人组织人员对质量控制风险进行了识别、分析和评价。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通过内审、管评、目标考核等来评价风险和机遇应对措施的有效性。</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公司的风险和机遇控制基本符合要求。</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总的质量目标为：</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产品交验合格率达100％，顾客满意率达100％，持续改进完成率100％，全面开拓市场，创建申瑞品牌</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质量目标每年统计一次，20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年均完好</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抽202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月至202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月目标完成情况：完成每月分解目标量。公司的质量目标已分解到相关职能部门。</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变更的策划</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6.3</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对变更的影响方面进行了识别并制定了对策</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体系运行以来环境、利益相关方的需求和期望等未发生变更。公司组织机构变更，认证范围变更。对变更内容进行了策划。</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资源总则</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7.1.1</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公司经营场所在公司办公楼内进行，共5层，企业自用3层，兄弟公司使用2层，企业使用面积共2500余平米，系统集成项目在客户现场进行。</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现主要工作人员25人，巡视项目开发现场，配备了电动螺丝刀、电烙铁、手电钻、交流接触调压器、手动试压泵、换能器压力试验装置、多功能试验水槽、电动拖车、</w:t>
            </w:r>
            <w:bookmarkStart w:id="4" w:name="_GoBack"/>
            <w:bookmarkEnd w:id="4"/>
            <w:r>
              <w:rPr>
                <w:rFonts w:hint="eastAsia" w:asciiTheme="minorEastAsia" w:hAnsiTheme="minorEastAsia" w:eastAsiaTheme="minorEastAsia"/>
                <w:szCs w:val="21"/>
              </w:rPr>
              <w:t>电脑、打印机等设备及带表卡尺、干湿球温湿度计、钢卷尺、钢直尺、工作用玻璃液体温度计、激光光学经纬度仪、绝缘电阻表、耐压测试仪、内径千分尺、数字万用表、压力表等检测设备。</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有一套办公系统，主要为采购、销售等企业内部管理。</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总经理对资源的配备比较重视，人力资源配备和工作环境等均可满足体系运行需要。</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沟通</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7.4</w:t>
            </w:r>
          </w:p>
        </w:tc>
        <w:tc>
          <w:tcPr>
            <w:tcW w:w="10004" w:type="dxa"/>
            <w:vAlign w:val="top"/>
          </w:tcPr>
          <w:p>
            <w:pPr>
              <w:spacing w:line="360" w:lineRule="auto"/>
              <w:ind w:firstLine="420" w:firstLineChars="200"/>
              <w:rPr>
                <w:sz w:val="21"/>
                <w:szCs w:val="21"/>
              </w:rPr>
            </w:pPr>
            <w:r>
              <w:rPr>
                <w:rFonts w:hint="eastAsia"/>
                <w:sz w:val="21"/>
                <w:szCs w:val="21"/>
              </w:rPr>
              <w:t>企业主要通过以下措施实施内部、外部的信息交流和信息沟通：</w:t>
            </w:r>
          </w:p>
          <w:p>
            <w:pPr>
              <w:spacing w:line="360" w:lineRule="auto"/>
              <w:rPr>
                <w:sz w:val="21"/>
                <w:szCs w:val="21"/>
              </w:rPr>
            </w:pPr>
            <w:r>
              <w:rPr>
                <w:sz w:val="21"/>
                <w:szCs w:val="21"/>
              </w:rPr>
              <w:t>1</w:t>
            </w:r>
            <w:r>
              <w:rPr>
                <w:rFonts w:hint="eastAsia"/>
                <w:sz w:val="21"/>
                <w:szCs w:val="21"/>
              </w:rPr>
              <w:t>）内部沟通：</w:t>
            </w:r>
            <w:r>
              <w:rPr>
                <w:sz w:val="21"/>
                <w:szCs w:val="21"/>
              </w:rPr>
              <w:t>a)</w:t>
            </w:r>
            <w:r>
              <w:rPr>
                <w:rFonts w:hint="eastAsia"/>
                <w:sz w:val="21"/>
                <w:szCs w:val="21"/>
              </w:rPr>
              <w:t>通过各种列会传达、通报质量管理情况（如工作例会、经营会议等</w:t>
            </w:r>
            <w:r>
              <w:rPr>
                <w:sz w:val="21"/>
                <w:szCs w:val="21"/>
              </w:rPr>
              <w:t>)</w:t>
            </w:r>
            <w:r>
              <w:rPr>
                <w:rFonts w:hint="eastAsia"/>
                <w:sz w:val="21"/>
                <w:szCs w:val="21"/>
              </w:rPr>
              <w:t>；</w:t>
            </w:r>
            <w:r>
              <w:rPr>
                <w:sz w:val="21"/>
                <w:szCs w:val="21"/>
              </w:rPr>
              <w:t>b)</w:t>
            </w:r>
            <w:r>
              <w:rPr>
                <w:rFonts w:hint="eastAsia"/>
                <w:sz w:val="21"/>
                <w:szCs w:val="21"/>
              </w:rPr>
              <w:t>各部门内部会议等；</w:t>
            </w:r>
            <w:r>
              <w:rPr>
                <w:sz w:val="21"/>
                <w:szCs w:val="21"/>
              </w:rPr>
              <w:t>c)</w:t>
            </w:r>
            <w:r>
              <w:rPr>
                <w:rFonts w:hint="eastAsia"/>
                <w:sz w:val="21"/>
                <w:szCs w:val="21"/>
              </w:rPr>
              <w:t>内部文件的学习和传递；</w:t>
            </w:r>
            <w:r>
              <w:rPr>
                <w:sz w:val="21"/>
                <w:szCs w:val="21"/>
              </w:rPr>
              <w:t>d)</w:t>
            </w:r>
            <w:r>
              <w:rPr>
                <w:rFonts w:hint="eastAsia"/>
                <w:sz w:val="21"/>
                <w:szCs w:val="21"/>
              </w:rPr>
              <w:t>公司宣传栏：</w:t>
            </w:r>
            <w:r>
              <w:rPr>
                <w:sz w:val="21"/>
                <w:szCs w:val="21"/>
              </w:rPr>
              <w:t>e</w:t>
            </w:r>
            <w:r>
              <w:rPr>
                <w:rFonts w:hint="eastAsia"/>
                <w:sz w:val="21"/>
                <w:szCs w:val="21"/>
              </w:rPr>
              <w:t>）网络等方式。</w:t>
            </w:r>
          </w:p>
          <w:p>
            <w:pPr>
              <w:spacing w:line="360" w:lineRule="auto"/>
              <w:rPr>
                <w:sz w:val="21"/>
                <w:szCs w:val="21"/>
              </w:rPr>
            </w:pPr>
            <w:r>
              <w:rPr>
                <w:sz w:val="21"/>
                <w:szCs w:val="21"/>
              </w:rPr>
              <w:t>2</w:t>
            </w:r>
            <w:r>
              <w:rPr>
                <w:rFonts w:hint="eastAsia"/>
                <w:sz w:val="21"/>
                <w:szCs w:val="21"/>
              </w:rPr>
              <w:t>）外部沟通：</w:t>
            </w:r>
            <w:r>
              <w:rPr>
                <w:sz w:val="21"/>
                <w:szCs w:val="21"/>
              </w:rPr>
              <w:t>a)</w:t>
            </w:r>
            <w:r>
              <w:rPr>
                <w:rFonts w:hint="eastAsia"/>
                <w:sz w:val="21"/>
                <w:szCs w:val="21"/>
              </w:rPr>
              <w:t>与供方沟通采购产品信息，产品质量和交货信息等；</w:t>
            </w:r>
            <w:r>
              <w:rPr>
                <w:sz w:val="21"/>
                <w:szCs w:val="21"/>
              </w:rPr>
              <w:t>b)</w:t>
            </w:r>
            <w:r>
              <w:rPr>
                <w:rFonts w:hint="eastAsia"/>
                <w:sz w:val="21"/>
                <w:szCs w:val="21"/>
              </w:rPr>
              <w:t>与顾客沟通新产品设计开发信息、产品质量、交付情况和服务方面等；</w:t>
            </w:r>
            <w:r>
              <w:rPr>
                <w:sz w:val="21"/>
                <w:szCs w:val="21"/>
              </w:rPr>
              <w:t>c)</w:t>
            </w:r>
            <w:r>
              <w:rPr>
                <w:rFonts w:hint="eastAsia"/>
                <w:sz w:val="21"/>
                <w:szCs w:val="21"/>
              </w:rPr>
              <w:t>与当地政府主管部门进行交流沟通。</w:t>
            </w:r>
          </w:p>
          <w:p>
            <w:pPr>
              <w:spacing w:line="360" w:lineRule="auto"/>
              <w:rPr>
                <w:sz w:val="21"/>
                <w:szCs w:val="21"/>
              </w:rPr>
            </w:pPr>
            <w:r>
              <w:rPr>
                <w:rFonts w:hint="eastAsia"/>
                <w:sz w:val="21"/>
                <w:szCs w:val="21"/>
              </w:rPr>
              <w:t>内外部信息交流</w:t>
            </w:r>
            <w:r>
              <w:rPr>
                <w:sz w:val="21"/>
                <w:szCs w:val="21"/>
              </w:rPr>
              <w:t>/</w:t>
            </w:r>
            <w:r>
              <w:rPr>
                <w:rFonts w:hint="eastAsia"/>
                <w:sz w:val="21"/>
                <w:szCs w:val="21"/>
              </w:rPr>
              <w:t>沟通方式可行、有效。</w:t>
            </w:r>
          </w:p>
          <w:p>
            <w:pPr>
              <w:spacing w:line="360" w:lineRule="auto"/>
              <w:rPr>
                <w:sz w:val="21"/>
                <w:szCs w:val="21"/>
              </w:rPr>
            </w:pPr>
            <w:r>
              <w:rPr>
                <w:rFonts w:hint="eastAsia"/>
                <w:sz w:val="21"/>
                <w:szCs w:val="21"/>
              </w:rPr>
              <w:t>公司沟通机制已经建立，基本有效。</w:t>
            </w:r>
          </w:p>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尚未发生因交流、沟通不畅而导致体系运行受阻现象影响。</w:t>
            </w:r>
          </w:p>
        </w:tc>
        <w:tc>
          <w:tcPr>
            <w:tcW w:w="1585" w:type="dxa"/>
          </w:tcPr>
          <w:p>
            <w:pPr>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9.1.1</w:t>
            </w:r>
          </w:p>
          <w:p>
            <w:pPr>
              <w:spacing w:line="360" w:lineRule="auto"/>
              <w:rPr>
                <w:rFonts w:asciiTheme="minorEastAsia" w:hAnsiTheme="minorEastAsia" w:eastAsiaTheme="minorEastAsia"/>
                <w:szCs w:val="21"/>
              </w:rPr>
            </w:pPr>
            <w:r>
              <w:rPr>
                <w:rFonts w:asciiTheme="minorEastAsia" w:hAnsiTheme="minorEastAsia" w:eastAsiaTheme="minorEastAsia"/>
                <w:szCs w:val="21"/>
              </w:rPr>
              <w:t>9.1.3</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2)对质量目标完成进行了统计，均完成，符合要求</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p>
            <w:pPr>
              <w:adjustRightInd w:val="0"/>
              <w:snapToGrid w:val="0"/>
              <w:spacing w:line="360" w:lineRule="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通过对数据的收集、分析和处理提高顾客满意、产品和服务符合性、质量管理体系的绩效和有效性、过程、产品的特性及发展趋势等</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根据对应对风险措施评价分析，公司仍需要加强人员的管理和培训，做到精益求精，加强内部管理，持续改进组织的质量管理体系。</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9.3</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公司文件规定每年至少进行一次管理评审。总经理于</w:t>
            </w:r>
            <w:r>
              <w:rPr>
                <w:rFonts w:hint="eastAsia" w:ascii="宋体" w:hAnsi="宋体"/>
              </w:rPr>
              <w:t>2022年9月</w:t>
            </w:r>
            <w:r>
              <w:rPr>
                <w:rFonts w:ascii="宋体" w:hAnsi="宋体"/>
              </w:rPr>
              <w:t>13</w:t>
            </w:r>
            <w:r>
              <w:rPr>
                <w:rFonts w:hint="eastAsia" w:ascii="宋体" w:hAnsi="宋体"/>
              </w:rPr>
              <w:t>日</w:t>
            </w:r>
            <w:r>
              <w:rPr>
                <w:rFonts w:hint="eastAsia" w:asciiTheme="minorEastAsia" w:hAnsiTheme="minorEastAsia" w:eastAsiaTheme="minorEastAsia"/>
                <w:szCs w:val="21"/>
              </w:rPr>
              <w:t>组织进行了一次管理评审。</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查《管理评审计划》，写明了管理评审的目的：</w:t>
            </w:r>
            <w:r>
              <w:rPr>
                <w:rFonts w:hint="eastAsia" w:ascii="宋体" w:hAnsi="宋体"/>
              </w:rPr>
              <w:t>通报和总结公司内审情况，并对质量、环境和职业健康安全体系的适宜性和有效性进行评审，以满足质量、环境和职业健康安全体系和公司质量方针、目标的要求，并确定公司质量、环境和职业健康安全体系建设的下一步工作</w:t>
            </w:r>
            <w:r>
              <w:rPr>
                <w:rFonts w:hint="eastAsia" w:asciiTheme="minorEastAsia" w:hAnsiTheme="minorEastAsia" w:eastAsiaTheme="minorEastAsia"/>
                <w:szCs w:val="21"/>
              </w:rPr>
              <w:t>。确定了评审时间、地点、评审组织和参加人员。规定了评审议题，提出了评审准备工作要求，评审以会议的方式进行。总经理批准。</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提供《管理评审报告》，对评审情况进行了总结，各部门对各过程和活动进行了总结和讨论，对内审、客户投诉、方针和目标等方面进行了评审。</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评审结论：</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本公司现行管理体系是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本公司现行的质量、环境、职业健康安全、方针、目标符合用户期望及本公司发展；</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本公司的运作符合国家的相关法律、法规；</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rPr>
              <w:tab/>
            </w:r>
            <w:r>
              <w:rPr>
                <w:rFonts w:hint="eastAsia" w:asciiTheme="minorEastAsia" w:hAnsiTheme="minorEastAsia" w:eastAsiaTheme="minorEastAsia"/>
                <w:szCs w:val="21"/>
              </w:rPr>
              <w:t>由于本公司的综合管理体系建立时间不长，现无更改的必要。</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szCs w:val="21"/>
              </w:rPr>
              <w:tab/>
            </w:r>
            <w:r>
              <w:rPr>
                <w:rFonts w:hint="eastAsia" w:asciiTheme="minorEastAsia" w:hAnsiTheme="minorEastAsia" w:eastAsiaTheme="minorEastAsia"/>
                <w:szCs w:val="21"/>
              </w:rPr>
              <w:t>总体来看，本公司的管理体系是持续适宜、充分的。</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改进、纠正和预防措施摘要：</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员工中未收集到有深刻意义的建议，应加强员工沟通，对生产管理细节中存在的问题深入了解，防患于未然。</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抽</w:t>
            </w:r>
            <w:r>
              <w:rPr>
                <w:rFonts w:hint="eastAsia" w:asciiTheme="minorEastAsia" w:hAnsiTheme="minorEastAsia" w:eastAsiaTheme="minorEastAsia"/>
                <w:szCs w:val="21"/>
              </w:rPr>
              <w:t>改进、纠正和预防措施完成情况，已组织人员进行培训。达到目的。</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抽上年度管理评审改进措施完成情况，已完成，符合要求。</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改进总则</w:t>
            </w:r>
          </w:p>
        </w:tc>
        <w:tc>
          <w:tcPr>
            <w:tcW w:w="960" w:type="dxa"/>
            <w:vAlign w:val="center"/>
          </w:tcPr>
          <w:p>
            <w:pPr>
              <w:spacing w:line="360" w:lineRule="auto"/>
              <w:rPr>
                <w:rFonts w:asciiTheme="minorEastAsia" w:hAnsiTheme="minorEastAsia" w:eastAsiaTheme="minorEastAsia"/>
                <w:szCs w:val="21"/>
              </w:rPr>
            </w:pPr>
            <w:r>
              <w:rPr>
                <w:rFonts w:asciiTheme="minorEastAsia" w:hAnsiTheme="minorEastAsia" w:eastAsiaTheme="minorEastAsia"/>
                <w:szCs w:val="21"/>
              </w:rPr>
              <w:t>10.1</w:t>
            </w:r>
          </w:p>
          <w:p>
            <w:pPr>
              <w:spacing w:line="360" w:lineRule="auto"/>
              <w:rPr>
                <w:rFonts w:asciiTheme="minorEastAsia" w:hAnsiTheme="minorEastAsia" w:eastAsiaTheme="minorEastAsia"/>
                <w:szCs w:val="21"/>
              </w:rPr>
            </w:pPr>
            <w:r>
              <w:rPr>
                <w:rFonts w:asciiTheme="minorEastAsia" w:hAnsiTheme="minorEastAsia" w:eastAsiaTheme="minorEastAsia"/>
                <w:szCs w:val="21"/>
              </w:rPr>
              <w:t>10.3</w:t>
            </w:r>
          </w:p>
        </w:tc>
        <w:tc>
          <w:tcPr>
            <w:tcW w:w="10004"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总经理：公司为不断改进体系、产品和服务创造氛围，使每个员工都有参与改进的意识和机会，通过使用质量方针、质量目标、审核结果、数据分析、纠正措施以及管理评审等提高QMS的有效性。</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资质验证</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顾客投诉</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国家抽检</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法律法规文件</w:t>
            </w:r>
          </w:p>
        </w:tc>
        <w:tc>
          <w:tcPr>
            <w:tcW w:w="960" w:type="dxa"/>
            <w:vAlign w:val="center"/>
          </w:tcPr>
          <w:p>
            <w:pPr>
              <w:spacing w:line="360" w:lineRule="auto"/>
              <w:rPr>
                <w:rFonts w:asciiTheme="minorEastAsia" w:hAnsiTheme="minorEastAsia" w:eastAsiaTheme="minorEastAsia"/>
                <w:szCs w:val="21"/>
              </w:rPr>
            </w:pPr>
          </w:p>
        </w:tc>
        <w:tc>
          <w:tcPr>
            <w:tcW w:w="10004" w:type="dxa"/>
            <w:vAlign w:val="center"/>
          </w:tcPr>
          <w:p>
            <w:pPr>
              <w:adjustRightInd w:val="0"/>
              <w:snapToGrid w:val="0"/>
              <w:spacing w:line="360" w:lineRule="auto"/>
              <w:rPr>
                <w:rFonts w:ascii="宋体" w:hAnsi="宋体"/>
              </w:rPr>
            </w:pPr>
            <w:r>
              <w:rPr>
                <w:rFonts w:hint="eastAsia" w:ascii="宋体" w:hAnsi="宋体"/>
              </w:rPr>
              <w:t>提供营业执照原件真实可信.</w:t>
            </w:r>
          </w:p>
          <w:p>
            <w:pPr>
              <w:adjustRightInd w:val="0"/>
              <w:snapToGrid w:val="0"/>
              <w:spacing w:line="360" w:lineRule="auto"/>
              <w:rPr>
                <w:rFonts w:ascii="宋体" w:hAnsi="宋体"/>
              </w:rPr>
            </w:pPr>
            <w:r>
              <w:rPr>
                <w:rFonts w:hint="eastAsia" w:ascii="宋体" w:hAnsi="宋体"/>
              </w:rPr>
              <w:t>顾客投诉情况：未发生</w:t>
            </w:r>
          </w:p>
          <w:p>
            <w:pPr>
              <w:adjustRightInd w:val="0"/>
              <w:snapToGrid w:val="0"/>
              <w:spacing w:line="360" w:lineRule="auto"/>
              <w:rPr>
                <w:rFonts w:ascii="宋体" w:hAnsi="宋体"/>
              </w:rPr>
            </w:pPr>
            <w:r>
              <w:rPr>
                <w:rFonts w:hint="eastAsia" w:ascii="宋体" w:hAnsi="宋体"/>
              </w:rPr>
              <w:t>提供营业执照原件真实可信.</w:t>
            </w:r>
          </w:p>
          <w:p>
            <w:pPr>
              <w:adjustRightInd w:val="0"/>
              <w:snapToGrid w:val="0"/>
              <w:spacing w:line="360" w:lineRule="auto"/>
              <w:rPr>
                <w:rFonts w:ascii="宋体" w:hAnsi="宋体"/>
              </w:rPr>
            </w:pPr>
            <w:r>
              <w:rPr>
                <w:rFonts w:hint="eastAsia" w:ascii="宋体" w:hAnsi="宋体"/>
              </w:rPr>
              <w:t>法律法规：符合要求</w:t>
            </w:r>
          </w:p>
          <w:p>
            <w:pPr>
              <w:adjustRightInd w:val="0"/>
              <w:snapToGrid w:val="0"/>
              <w:spacing w:line="360" w:lineRule="auto"/>
              <w:rPr>
                <w:rFonts w:ascii="宋体" w:hAnsi="宋体"/>
              </w:rPr>
            </w:pPr>
            <w:r>
              <w:rPr>
                <w:rFonts w:hint="eastAsia" w:ascii="宋体" w:hAnsi="宋体"/>
              </w:rPr>
              <w:t>顾客投诉情况：未发生</w:t>
            </w:r>
          </w:p>
          <w:p>
            <w:pPr>
              <w:adjustRightInd w:val="0"/>
              <w:snapToGrid w:val="0"/>
              <w:spacing w:line="360" w:lineRule="auto"/>
              <w:rPr>
                <w:rFonts w:ascii="宋体" w:hAnsi="宋体"/>
              </w:rPr>
            </w:pPr>
            <w:r>
              <w:rPr>
                <w:rFonts w:hint="eastAsia" w:ascii="宋体" w:hAnsi="宋体"/>
              </w:rPr>
              <w:t>上级检查情况：未发生</w:t>
            </w:r>
          </w:p>
          <w:p>
            <w:pPr>
              <w:adjustRightInd w:val="0"/>
              <w:snapToGrid w:val="0"/>
              <w:spacing w:line="360" w:lineRule="auto"/>
              <w:rPr>
                <w:rFonts w:ascii="宋体" w:hAnsi="宋体"/>
              </w:rPr>
            </w:pPr>
            <w:r>
              <w:rPr>
                <w:rFonts w:hint="eastAsia" w:ascii="宋体" w:hAnsi="宋体"/>
              </w:rPr>
              <w:t>主要用于投标，未发现违规使用证据</w:t>
            </w:r>
          </w:p>
          <w:p>
            <w:pPr>
              <w:adjustRightInd w:val="0"/>
              <w:snapToGrid w:val="0"/>
              <w:spacing w:line="360" w:lineRule="auto"/>
              <w:rPr>
                <w:rFonts w:ascii="宋体" w:hAnsi="宋体"/>
              </w:rPr>
            </w:pPr>
            <w:r>
              <w:rPr>
                <w:rFonts w:hint="eastAsia" w:ascii="宋体" w:hAnsi="宋体"/>
              </w:rPr>
              <w:t>质量抽查：体系运行期间未进行抽查情况。</w:t>
            </w:r>
          </w:p>
          <w:p>
            <w:pPr>
              <w:adjustRightInd w:val="0"/>
              <w:snapToGrid w:val="0"/>
              <w:spacing w:line="360" w:lineRule="auto"/>
              <w:rPr>
                <w:rFonts w:ascii="宋体" w:hAnsi="宋体"/>
              </w:rPr>
            </w:pPr>
            <w:r>
              <w:rPr>
                <w:rFonts w:hint="eastAsia" w:ascii="宋体" w:hAnsi="宋体"/>
              </w:rPr>
              <w:t>在体系运行期间未发生重大质量安全事故。</w:t>
            </w:r>
          </w:p>
          <w:p>
            <w:pPr>
              <w:adjustRightInd w:val="0"/>
              <w:snapToGrid w:val="0"/>
              <w:spacing w:line="360" w:lineRule="auto"/>
            </w:pPr>
            <w:r>
              <w:rPr>
                <w:rFonts w:hint="eastAsia" w:ascii="宋体" w:hAnsi="宋体"/>
              </w:rPr>
              <w:t>变更：无</w:t>
            </w:r>
            <w:r>
              <w:rPr>
                <w:rFonts w:hint="eastAsia"/>
              </w:rPr>
              <w:t xml:space="preserve"> </w:t>
            </w:r>
          </w:p>
          <w:p>
            <w:pPr>
              <w:adjustRightInd w:val="0"/>
              <w:snapToGrid w:val="0"/>
              <w:spacing w:line="360" w:lineRule="auto"/>
              <w:rPr>
                <w:rFonts w:ascii="宋体" w:hAnsi="宋体"/>
              </w:rPr>
            </w:pPr>
            <w:r>
              <w:rPr>
                <w:rFonts w:hint="eastAsia" w:ascii="宋体" w:hAnsi="宋体"/>
              </w:rPr>
              <w:t>上年度不符合：不符合已整改，符合要求</w:t>
            </w:r>
          </w:p>
          <w:p>
            <w:pPr>
              <w:adjustRightInd w:val="0"/>
              <w:snapToGrid w:val="0"/>
              <w:spacing w:line="360" w:lineRule="auto"/>
              <w:rPr>
                <w:rFonts w:asciiTheme="minorEastAsia" w:hAnsiTheme="minorEastAsia" w:eastAsiaTheme="minorEastAsia"/>
                <w:szCs w:val="21"/>
              </w:rPr>
            </w:pPr>
            <w:r>
              <w:rPr>
                <w:rFonts w:hint="eastAsia" w:ascii="宋体" w:hAnsi="宋体"/>
              </w:rPr>
              <w:t>暂停恢复审核：因疫情原因企业为按期进行监督审核，目前暂停原因已消除，机构安排远程审核，建议审核完成后恢复证书状态</w:t>
            </w:r>
          </w:p>
        </w:tc>
        <w:tc>
          <w:tcPr>
            <w:tcW w:w="1585" w:type="dxa"/>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1A9437E4"/>
    <w:rsid w:val="307355F9"/>
    <w:rsid w:val="344A47EA"/>
    <w:rsid w:val="44F52628"/>
    <w:rsid w:val="487D4DCB"/>
    <w:rsid w:val="5B4B0C82"/>
    <w:rsid w:val="66E557FD"/>
    <w:rsid w:val="6E637175"/>
    <w:rsid w:val="70E470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2022-12-02T07:08:35Z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