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0006-2020-F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厦门市安吉利特贸易有限公司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CI-1,CII-1,CIII</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厦门市安吉利特贸易有限公司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厦门市同安区洪塘路788-1号二楼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361100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厦门市同安区洪塘路788-1号二楼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361100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董素娥</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13859956661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陈梁峰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董素娥</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农副产品（水果、蔬菜、畜禽肉、水产品）的初加工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CI-1;CII-1;CIII</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