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河北竹九路桥科技有限公司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衡水市冀州区滏阳西路1368号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衡水市冀州区滏阳西路1368号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陈玉良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15931381665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1256665397@qq.com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司振伟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1011-2021-O-2022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公路桥梁支座、桥梁伸缩缝装置、止水带的生产所涉及场所的相关职业健康安全管理活动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14.01.02;17.06.01;17.12.05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32"/>
              </w:rPr>
              <w:t>HBZJ/SC</w:t>
            </w:r>
            <w:r>
              <w:rPr>
                <w:sz w:val="32"/>
              </w:rPr>
              <w:t>-</w:t>
            </w:r>
            <w:r>
              <w:rPr>
                <w:rFonts w:hint="eastAsia"/>
                <w:sz w:val="32"/>
              </w:rPr>
              <w:t>202</w:t>
            </w: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2022年11月04日 上午至2022年11月04日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▇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14.01.02,17.06.01,17.12.05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736600" cy="2603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.11.3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  <w:bookmarkStart w:id="34" w:name="_GoBack"/>
      <w:r>
        <w:drawing>
          <wp:inline distT="0" distB="0" distL="114300" distR="114300">
            <wp:extent cx="6358890" cy="6583680"/>
            <wp:effectExtent l="0" t="0" r="381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8890" cy="658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34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450"/>
        <w:gridCol w:w="1070"/>
        <w:gridCol w:w="3990"/>
        <w:gridCol w:w="166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远程审核：通过微信传输、视频、语音等方式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11-04</w:t>
            </w:r>
          </w:p>
        </w:tc>
        <w:tc>
          <w:tcPr>
            <w:tcW w:w="14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07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9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66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107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管理层</w:t>
            </w:r>
          </w:p>
        </w:tc>
        <w:tc>
          <w:tcPr>
            <w:tcW w:w="3990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组织及其环境；相关方的需求和希望；管理体系的范围；管理体系及其过程；领导作用和承诺；管理方针；组织的岗位、职责权限；应对风险和机会的策划；目标和实现计划；资源提供；危险源辨识、风险评价；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法律法规；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沟通、参与、协商；合规性评价；监视和测量总则；管理评审；总则；持续改进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专项审核：初审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问题整改情况的确认；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验证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被暂停客户进行跟踪审核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事故事件及起处理情况，安全监测情况、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使用情况等</w:t>
            </w:r>
          </w:p>
        </w:tc>
        <w:tc>
          <w:tcPr>
            <w:tcW w:w="1660" w:type="dxa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OHS：4.1/4.2/4.3/4.4/5.1/5.2/5.3/6.1/6.2/6.3/7.1/9.1.1/9.3/10.1/10.3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0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办公室/财务部</w:t>
            </w:r>
          </w:p>
        </w:tc>
        <w:tc>
          <w:tcPr>
            <w:tcW w:w="3990" w:type="dxa"/>
            <w:shd w:val="clear" w:color="auto" w:fill="F2DCDC" w:themeFill="accent2" w:themeFillTint="32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组织的岗位、职责权限；目标、指标管理方案；危险源识别评价；运行控制；应急准备和响应；法律法规要求；绩效的监视和测量；合规性评价；事件、不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及纠正措施；内部审核</w:t>
            </w:r>
          </w:p>
        </w:tc>
        <w:tc>
          <w:tcPr>
            <w:tcW w:w="166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OHS：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5.3/5.4/6.2/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6.1.2/6.1.3/8.1/8.2/9.1/9.2/10.2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  <w:lang w:val="en-US" w:eastAsia="zh-CN"/>
              </w:rPr>
              <w:t>00-13:00</w:t>
            </w:r>
          </w:p>
        </w:tc>
        <w:tc>
          <w:tcPr>
            <w:tcW w:w="107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99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13:00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1070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3990" w:type="dxa"/>
            <w:shd w:val="clear" w:color="auto" w:fill="C7DAF1" w:themeFill="text2" w:themeFillTint="32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组织的岗位、职责权限；目标；危险源辨识、风险评价和控制措施的确定；运行控制；应急准备和响应</w:t>
            </w:r>
          </w:p>
        </w:tc>
        <w:tc>
          <w:tcPr>
            <w:tcW w:w="166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5.3/6.2/6.1.2/8.1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1070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990" w:type="dxa"/>
            <w:shd w:val="clear" w:color="auto" w:fill="C7DAF1" w:themeFill="text2" w:themeFillTint="32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组织的岗位、职责权限；目标；危险源辨识、风险评价和控制措施的确定；运行控制；应急准备和响应</w:t>
            </w:r>
          </w:p>
        </w:tc>
        <w:tc>
          <w:tcPr>
            <w:tcW w:w="166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5.3/6.2/6.1.2/8.1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7:00-17:30</w:t>
            </w:r>
          </w:p>
        </w:tc>
        <w:tc>
          <w:tcPr>
            <w:tcW w:w="107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99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66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（远程）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34B55"/>
    <w:rsid w:val="1DDC0C83"/>
    <w:rsid w:val="3F8C5447"/>
    <w:rsid w:val="5F830A3C"/>
    <w:rsid w:val="61AF0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2022-11-04T22:59:33Z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