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3" w:afterLines="30"/>
        <w:jc w:val="center"/>
        <w:rPr>
          <w:rFonts w:ascii="楷体" w:hAnsi="楷体" w:eastAsia="楷体"/>
          <w:b/>
          <w:color w:val="000000" w:themeColor="text1"/>
          <w:sz w:val="84"/>
          <w:szCs w:val="84"/>
        </w:rPr>
      </w:pPr>
      <w:r>
        <w:rPr>
          <w:szCs w:val="21"/>
        </w:rPr>
        <w:drawing>
          <wp:anchor distT="0" distB="0" distL="114300" distR="114300" simplePos="0" relativeHeight="251666432" behindDoc="1" locked="0" layoutInCell="1" allowOverlap="1">
            <wp:simplePos x="0" y="0"/>
            <wp:positionH relativeFrom="column">
              <wp:posOffset>1732915</wp:posOffset>
            </wp:positionH>
            <wp:positionV relativeFrom="paragraph">
              <wp:posOffset>167640</wp:posOffset>
            </wp:positionV>
            <wp:extent cx="1724025" cy="1490345"/>
            <wp:effectExtent l="0" t="0" r="0" b="0"/>
            <wp:wrapTight wrapText="bothSides">
              <wp:wrapPolygon>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4" cstate="print"/>
                    <a:stretch>
                      <a:fillRect/>
                    </a:stretch>
                  </pic:blipFill>
                  <pic:spPr>
                    <a:xfrm>
                      <a:off x="0" y="0"/>
                      <a:ext cx="1724025" cy="1490345"/>
                    </a:xfrm>
                    <a:prstGeom prst="rect">
                      <a:avLst/>
                    </a:prstGeom>
                    <a:noFill/>
                    <a:ln w="9525">
                      <a:noFill/>
                    </a:ln>
                  </pic:spPr>
                </pic:pic>
              </a:graphicData>
            </a:graphic>
          </wp:anchor>
        </w:drawing>
      </w: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2"/>
          <w:szCs w:val="32"/>
        </w:rPr>
      </w:pPr>
    </w:p>
    <w:p>
      <w:pPr>
        <w:snapToGrid w:val="0"/>
        <w:spacing w:after="93"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受审核方：</w:t>
      </w:r>
      <w:bookmarkStart w:id="0" w:name="组织名称"/>
      <w:r>
        <w:rPr>
          <w:rFonts w:hint="eastAsia" w:ascii="楷体" w:hAnsi="楷体" w:eastAsia="楷体"/>
          <w:b/>
          <w:color w:val="000000" w:themeColor="text1"/>
          <w:sz w:val="32"/>
          <w:szCs w:val="32"/>
        </w:rPr>
        <w:t>乐生活智慧社区服务集团股份有限公司</w:t>
      </w:r>
      <w:bookmarkEnd w:id="0"/>
    </w:p>
    <w:p>
      <w:pPr>
        <w:snapToGrid w:val="0"/>
        <w:spacing w:after="93" w:afterLines="30"/>
        <w:ind w:firstLine="1928" w:firstLineChars="600"/>
        <w:rPr>
          <w:rFonts w:ascii="楷体" w:hAnsi="楷体" w:eastAsia="楷体"/>
          <w:b/>
          <w:color w:val="000000" w:themeColor="text1"/>
          <w:sz w:val="32"/>
          <w:szCs w:val="32"/>
        </w:rPr>
      </w:pPr>
    </w:p>
    <w:p>
      <w:pPr>
        <w:snapToGrid w:val="0"/>
        <w:spacing w:after="93"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3" w:afterLines="30"/>
        <w:ind w:firstLine="957" w:firstLineChars="298"/>
        <w:rPr>
          <w:rFonts w:ascii="楷体" w:hAnsi="楷体" w:eastAsia="楷体"/>
          <w:b/>
          <w:color w:val="000000" w:themeColor="text1"/>
          <w:sz w:val="32"/>
          <w:szCs w:val="32"/>
        </w:rPr>
      </w:pPr>
      <w:r>
        <w:rPr>
          <w:rFonts w:hint="eastAsia" w:ascii="宋体" w:hAnsi="宋体" w:cs="宋体"/>
          <w:b/>
          <w:color w:val="000000" w:themeColor="text1"/>
          <w:sz w:val="32"/>
          <w:szCs w:val="32"/>
        </w:rPr>
        <w:t>█</w:t>
      </w:r>
      <w:r>
        <w:rPr>
          <w:rFonts w:hint="eastAsia" w:ascii="楷体" w:hAnsi="楷体" w:eastAsia="楷体"/>
          <w:b/>
          <w:color w:val="000000" w:themeColor="text1"/>
          <w:sz w:val="32"/>
          <w:szCs w:val="32"/>
        </w:rPr>
        <w:t>质量管理体系（QMS）</w:t>
      </w:r>
    </w:p>
    <w:p>
      <w:pPr>
        <w:snapToGrid w:val="0"/>
        <w:spacing w:after="93" w:afterLines="30"/>
        <w:ind w:firstLine="957" w:firstLineChars="298"/>
        <w:rPr>
          <w:rFonts w:ascii="楷体" w:hAnsi="楷体" w:eastAsia="楷体"/>
          <w:b/>
          <w:color w:val="000000" w:themeColor="text1"/>
          <w:sz w:val="32"/>
          <w:szCs w:val="32"/>
        </w:rPr>
      </w:pPr>
      <w:r>
        <w:rPr>
          <w:rFonts w:hint="eastAsia" w:ascii="宋体" w:hAnsi="宋体" w:cs="宋体"/>
          <w:b/>
          <w:color w:val="000000" w:themeColor="text1"/>
          <w:sz w:val="32"/>
          <w:szCs w:val="32"/>
        </w:rPr>
        <w:t>█</w:t>
      </w:r>
      <w:r>
        <w:rPr>
          <w:rFonts w:hint="eastAsia" w:ascii="楷体" w:hAnsi="楷体" w:eastAsia="楷体"/>
          <w:b/>
          <w:color w:val="000000" w:themeColor="text1"/>
          <w:sz w:val="32"/>
          <w:szCs w:val="32"/>
        </w:rPr>
        <w:t>环境管理体系（EMS）</w:t>
      </w:r>
    </w:p>
    <w:p>
      <w:pPr>
        <w:snapToGrid w:val="0"/>
        <w:spacing w:after="93" w:afterLines="30"/>
        <w:ind w:firstLine="957" w:firstLineChars="298"/>
        <w:rPr>
          <w:rFonts w:ascii="楷体" w:hAnsi="楷体" w:eastAsia="楷体"/>
          <w:b/>
          <w:color w:val="000000" w:themeColor="text1"/>
          <w:sz w:val="32"/>
          <w:szCs w:val="32"/>
        </w:rPr>
      </w:pPr>
      <w:r>
        <w:rPr>
          <w:rFonts w:hint="eastAsia" w:ascii="宋体" w:hAnsi="宋体" w:cs="宋体"/>
          <w:b/>
          <w:color w:val="000000" w:themeColor="text1"/>
          <w:sz w:val="32"/>
          <w:szCs w:val="32"/>
        </w:rPr>
        <w:t>█</w:t>
      </w:r>
      <w:r>
        <w:rPr>
          <w:rFonts w:hint="eastAsia" w:ascii="楷体" w:hAnsi="楷体" w:eastAsia="楷体"/>
          <w:b/>
          <w:color w:val="000000" w:themeColor="text1"/>
          <w:sz w:val="32"/>
          <w:szCs w:val="32"/>
        </w:rPr>
        <w:t>职业健康安全管理体系（OHSMS）</w:t>
      </w:r>
    </w:p>
    <w:p>
      <w:pPr>
        <w:snapToGrid w:val="0"/>
        <w:spacing w:after="93" w:afterLines="30"/>
        <w:jc w:val="center"/>
        <w:rPr>
          <w:rFonts w:ascii="楷体" w:hAnsi="楷体" w:eastAsia="楷体"/>
          <w:b/>
          <w:color w:val="000000" w:themeColor="text1"/>
          <w:sz w:val="84"/>
          <w:szCs w:val="84"/>
        </w:rPr>
      </w:pPr>
    </w:p>
    <w:p>
      <w:pPr>
        <w:snapToGrid w:val="0"/>
        <w:spacing w:after="93"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1"/>
          <w:rFonts w:hint="eastAsia" w:ascii="楷体" w:hAnsi="楷体" w:eastAsia="楷体"/>
          <w:b/>
          <w:sz w:val="36"/>
          <w:szCs w:val="36"/>
        </w:rPr>
        <w:t>www.china-isc.org.cn</w:t>
      </w:r>
      <w:r>
        <w:rPr>
          <w:rStyle w:val="11"/>
          <w:rFonts w:hint="eastAsia" w:ascii="楷体" w:hAnsi="楷体" w:eastAsia="楷体"/>
          <w:b/>
          <w:sz w:val="36"/>
          <w:szCs w:val="36"/>
        </w:rPr>
        <w:fldChar w:fldCharType="end"/>
      </w: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1086"/>
        <w:gridCol w:w="1527"/>
        <w:gridCol w:w="865"/>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pStyle w:val="12"/>
              <w:ind w:left="-142" w:firstLine="0" w:firstLineChars="0"/>
              <w:rPr>
                <w:b/>
                <w:color w:val="000000" w:themeColor="text1"/>
                <w:sz w:val="20"/>
                <w:szCs w:val="20"/>
                <w:lang w:val="de-DE"/>
              </w:rPr>
            </w:pPr>
            <w:r>
              <w:rPr>
                <w:rFonts w:hint="eastAsia"/>
                <w:b/>
                <w:color w:val="000000" w:themeColor="text1"/>
                <w:sz w:val="20"/>
                <w:szCs w:val="20"/>
              </w:rPr>
              <w:t>北京市朝阳区北苑路168号楼16层1603号</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pPr>
              <w:rPr>
                <w:b/>
                <w:color w:val="000000" w:themeColor="text1"/>
                <w:sz w:val="20"/>
                <w:szCs w:val="20"/>
              </w:rPr>
            </w:pPr>
            <w:r>
              <w:rPr>
                <w:rFonts w:hint="eastAsia"/>
                <w:b/>
                <w:color w:val="000000" w:themeColor="text1"/>
                <w:sz w:val="20"/>
                <w:szCs w:val="20"/>
              </w:rPr>
              <w:t>010-51095332</w:t>
            </w:r>
          </w:p>
        </w:tc>
        <w:tc>
          <w:tcPr>
            <w:tcW w:w="1086" w:type="dxa"/>
            <w:vAlign w:val="center"/>
          </w:tcPr>
          <w:p>
            <w:pPr>
              <w:rPr>
                <w:b/>
                <w:color w:val="000000" w:themeColor="text1"/>
                <w:sz w:val="20"/>
                <w:szCs w:val="20"/>
              </w:rPr>
            </w:pPr>
            <w:r>
              <w:rPr>
                <w:rFonts w:hint="eastAsia"/>
                <w:b/>
                <w:color w:val="000000" w:themeColor="text1"/>
                <w:sz w:val="20"/>
                <w:szCs w:val="20"/>
              </w:rPr>
              <w:t>传真</w:t>
            </w:r>
          </w:p>
        </w:tc>
        <w:tc>
          <w:tcPr>
            <w:tcW w:w="1527" w:type="dxa"/>
            <w:vAlign w:val="center"/>
          </w:tcPr>
          <w:p>
            <w:pPr>
              <w:rPr>
                <w:b/>
                <w:color w:val="000000" w:themeColor="text1"/>
                <w:sz w:val="20"/>
                <w:szCs w:val="20"/>
              </w:rPr>
            </w:pPr>
            <w:r>
              <w:rPr>
                <w:rFonts w:hint="eastAsia"/>
                <w:b/>
                <w:color w:val="000000" w:themeColor="text1"/>
                <w:sz w:val="20"/>
                <w:szCs w:val="20"/>
              </w:rPr>
              <w:t>51095332</w:t>
            </w:r>
          </w:p>
        </w:tc>
        <w:tc>
          <w:tcPr>
            <w:tcW w:w="865" w:type="dxa"/>
            <w:vAlign w:val="center"/>
          </w:tcPr>
          <w:p>
            <w:pPr>
              <w:rPr>
                <w:b/>
                <w:color w:val="000000" w:themeColor="text1"/>
                <w:sz w:val="20"/>
                <w:szCs w:val="20"/>
              </w:rPr>
            </w:pPr>
            <w:r>
              <w:rPr>
                <w:rFonts w:hint="eastAsia"/>
                <w:b/>
                <w:color w:val="000000" w:themeColor="text1"/>
                <w:sz w:val="20"/>
                <w:szCs w:val="20"/>
              </w:rPr>
              <w:t>邮箱</w:t>
            </w: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jc w:val="center"/>
              <w:rPr>
                <w:b/>
                <w:color w:val="000000" w:themeColor="text1"/>
                <w:sz w:val="20"/>
                <w:szCs w:val="20"/>
              </w:rPr>
            </w:pPr>
            <w:r>
              <w:rPr>
                <w:rFonts w:hint="eastAsia"/>
                <w:b/>
                <w:color w:val="000000" w:themeColor="text1"/>
                <w:sz w:val="20"/>
                <w:szCs w:val="20"/>
              </w:rPr>
              <w:t>姓名</w:t>
            </w:r>
          </w:p>
        </w:tc>
        <w:tc>
          <w:tcPr>
            <w:tcW w:w="992" w:type="dxa"/>
            <w:vAlign w:val="center"/>
          </w:tcPr>
          <w:p>
            <w:pPr>
              <w:jc w:val="center"/>
              <w:rPr>
                <w:b/>
                <w:color w:val="000000" w:themeColor="text1"/>
                <w:sz w:val="20"/>
                <w:szCs w:val="20"/>
              </w:rPr>
            </w:pPr>
            <w:r>
              <w:rPr>
                <w:rFonts w:hint="eastAsia"/>
                <w:b/>
                <w:color w:val="000000" w:themeColor="text1"/>
                <w:sz w:val="20"/>
                <w:szCs w:val="20"/>
              </w:rPr>
              <w:t>性别</w:t>
            </w:r>
          </w:p>
        </w:tc>
        <w:tc>
          <w:tcPr>
            <w:tcW w:w="1216" w:type="dxa"/>
            <w:vAlign w:val="center"/>
          </w:tcPr>
          <w:p>
            <w:pPr>
              <w:jc w:val="center"/>
              <w:rPr>
                <w:b/>
                <w:color w:val="000000" w:themeColor="text1"/>
                <w:sz w:val="20"/>
                <w:szCs w:val="20"/>
              </w:rPr>
            </w:pPr>
            <w:r>
              <w:rPr>
                <w:rFonts w:hint="eastAsia"/>
                <w:b/>
                <w:color w:val="000000" w:themeColor="text1"/>
                <w:sz w:val="20"/>
                <w:szCs w:val="20"/>
              </w:rPr>
              <w:t>职务</w:t>
            </w:r>
          </w:p>
        </w:tc>
        <w:tc>
          <w:tcPr>
            <w:tcW w:w="3478" w:type="dxa"/>
            <w:gridSpan w:val="3"/>
            <w:vAlign w:val="center"/>
          </w:tcPr>
          <w:p>
            <w:pPr>
              <w:jc w:val="center"/>
              <w:rPr>
                <w:b/>
                <w:color w:val="000000" w:themeColor="text1"/>
                <w:sz w:val="20"/>
                <w:szCs w:val="20"/>
              </w:rPr>
            </w:pPr>
            <w:r>
              <w:rPr>
                <w:rFonts w:hint="eastAsia"/>
                <w:b/>
                <w:color w:val="000000" w:themeColor="text1"/>
                <w:sz w:val="20"/>
                <w:szCs w:val="20"/>
              </w:rPr>
              <w:t>审核员注册号</w:t>
            </w:r>
          </w:p>
        </w:tc>
        <w:tc>
          <w:tcPr>
            <w:tcW w:w="2333" w:type="dxa"/>
            <w:gridSpan w:val="2"/>
            <w:vAlign w:val="center"/>
          </w:tcPr>
          <w:p>
            <w:pPr>
              <w:jc w:val="center"/>
              <w:rPr>
                <w:b/>
                <w:color w:val="000000" w:themeColor="text1"/>
                <w:sz w:val="20"/>
                <w:szCs w:val="20"/>
              </w:rPr>
            </w:pPr>
            <w:r>
              <w:rPr>
                <w:rFonts w:hint="eastAsia"/>
                <w:b/>
                <w:color w:val="000000" w:themeColor="text1"/>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rPr>
                <w:b/>
                <w:color w:val="000000" w:themeColor="text1"/>
                <w:sz w:val="20"/>
                <w:szCs w:val="20"/>
              </w:rPr>
            </w:pPr>
            <w:r>
              <w:rPr>
                <w:rFonts w:hint="eastAsia"/>
                <w:sz w:val="18"/>
                <w:szCs w:val="18"/>
              </w:rPr>
              <w:t>李京田</w:t>
            </w:r>
          </w:p>
        </w:tc>
        <w:tc>
          <w:tcPr>
            <w:tcW w:w="992" w:type="dxa"/>
            <w:vAlign w:val="center"/>
          </w:tcPr>
          <w:p>
            <w:pPr>
              <w:spacing w:line="240" w:lineRule="exact"/>
              <w:jc w:val="center"/>
              <w:rPr>
                <w:b/>
                <w:color w:val="000000" w:themeColor="text1"/>
                <w:sz w:val="20"/>
                <w:szCs w:val="20"/>
              </w:rPr>
            </w:pPr>
            <w:r>
              <w:rPr>
                <w:rFonts w:hint="eastAsia"/>
                <w:sz w:val="18"/>
                <w:szCs w:val="18"/>
              </w:rPr>
              <w:t>女</w:t>
            </w:r>
          </w:p>
        </w:tc>
        <w:tc>
          <w:tcPr>
            <w:tcW w:w="1216" w:type="dxa"/>
            <w:vAlign w:val="center"/>
          </w:tcPr>
          <w:p>
            <w:pPr>
              <w:spacing w:line="240" w:lineRule="exact"/>
              <w:rPr>
                <w:b/>
                <w:color w:val="000000" w:themeColor="text1"/>
                <w:sz w:val="20"/>
                <w:szCs w:val="20"/>
              </w:rPr>
            </w:pPr>
            <w:r>
              <w:rPr>
                <w:rFonts w:hint="eastAsia"/>
                <w:szCs w:val="21"/>
              </w:rPr>
              <w:t>☆</w:t>
            </w:r>
          </w:p>
        </w:tc>
        <w:tc>
          <w:tcPr>
            <w:tcW w:w="3478" w:type="dxa"/>
            <w:gridSpan w:val="3"/>
          </w:tcPr>
          <w:p>
            <w:pPr>
              <w:spacing w:line="240" w:lineRule="exact"/>
              <w:rPr>
                <w:sz w:val="18"/>
                <w:szCs w:val="18"/>
              </w:rPr>
            </w:pPr>
            <w:r>
              <w:rPr>
                <w:sz w:val="18"/>
                <w:szCs w:val="18"/>
              </w:rPr>
              <w:t>2018-N1QMS-3014142</w:t>
            </w:r>
          </w:p>
          <w:p>
            <w:pPr>
              <w:spacing w:line="240" w:lineRule="exact"/>
              <w:rPr>
                <w:sz w:val="18"/>
                <w:szCs w:val="18"/>
              </w:rPr>
            </w:pPr>
            <w:r>
              <w:rPr>
                <w:sz w:val="18"/>
                <w:szCs w:val="18"/>
              </w:rPr>
              <w:t>2017-N1EMS-2014142</w:t>
            </w:r>
          </w:p>
          <w:p>
            <w:pPr>
              <w:spacing w:line="240" w:lineRule="exact"/>
              <w:rPr>
                <w:b/>
                <w:color w:val="000000" w:themeColor="text1"/>
                <w:sz w:val="20"/>
                <w:szCs w:val="20"/>
              </w:rPr>
            </w:pPr>
            <w:r>
              <w:rPr>
                <w:sz w:val="18"/>
                <w:szCs w:val="18"/>
              </w:rPr>
              <w:t>2017-N1OHSMS-2014142</w:t>
            </w:r>
          </w:p>
        </w:tc>
        <w:tc>
          <w:tcPr>
            <w:tcW w:w="2333" w:type="dxa"/>
            <w:gridSpan w:val="2"/>
            <w:vAlign w:val="center"/>
          </w:tcPr>
          <w:p>
            <w:pPr>
              <w:spacing w:line="240" w:lineRule="exact"/>
              <w:rPr>
                <w:b/>
                <w:szCs w:val="21"/>
              </w:rPr>
            </w:pPr>
            <w:r>
              <w:rPr>
                <w:rFonts w:hint="eastAsia"/>
                <w:b/>
                <w:szCs w:val="21"/>
              </w:rPr>
              <w:t>Q:35.15.00</w:t>
            </w:r>
          </w:p>
          <w:p>
            <w:pPr>
              <w:spacing w:line="240" w:lineRule="exact"/>
              <w:rPr>
                <w:b/>
                <w:szCs w:val="21"/>
              </w:rPr>
            </w:pPr>
            <w:r>
              <w:rPr>
                <w:rFonts w:hint="eastAsia"/>
                <w:b/>
                <w:szCs w:val="21"/>
              </w:rPr>
              <w:t>E:35.15.00</w:t>
            </w:r>
          </w:p>
          <w:p>
            <w:pPr>
              <w:spacing w:line="240" w:lineRule="exact"/>
              <w:rPr>
                <w:b/>
                <w:color w:val="000000" w:themeColor="text1"/>
                <w:sz w:val="20"/>
                <w:szCs w:val="20"/>
              </w:rPr>
            </w:pPr>
            <w:r>
              <w:rPr>
                <w:rFonts w:hint="eastAsia"/>
                <w:b/>
                <w:szCs w:val="21"/>
              </w:rPr>
              <w:t>O:35.15.00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spacing w:line="240" w:lineRule="exact"/>
              <w:rPr>
                <w:b/>
                <w:color w:val="000000" w:themeColor="text1"/>
                <w:sz w:val="20"/>
                <w:szCs w:val="20"/>
              </w:rPr>
            </w:pPr>
            <w:r>
              <w:rPr>
                <w:rFonts w:hint="eastAsia"/>
                <w:sz w:val="18"/>
                <w:szCs w:val="18"/>
              </w:rPr>
              <w:t>吉洁</w:t>
            </w:r>
          </w:p>
        </w:tc>
        <w:tc>
          <w:tcPr>
            <w:tcW w:w="992" w:type="dxa"/>
            <w:vAlign w:val="center"/>
          </w:tcPr>
          <w:p>
            <w:pPr>
              <w:spacing w:line="240" w:lineRule="exact"/>
              <w:jc w:val="center"/>
              <w:rPr>
                <w:b/>
                <w:color w:val="000000" w:themeColor="text1"/>
                <w:sz w:val="20"/>
                <w:szCs w:val="20"/>
              </w:rPr>
            </w:pPr>
            <w:r>
              <w:rPr>
                <w:rFonts w:hint="eastAsia"/>
                <w:sz w:val="18"/>
                <w:szCs w:val="18"/>
              </w:rPr>
              <w:t>女</w:t>
            </w:r>
          </w:p>
        </w:tc>
        <w:tc>
          <w:tcPr>
            <w:tcW w:w="1216" w:type="dxa"/>
            <w:vAlign w:val="center"/>
          </w:tcPr>
          <w:p>
            <w:pPr>
              <w:spacing w:line="240" w:lineRule="exact"/>
              <w:rPr>
                <w:b/>
                <w:color w:val="000000" w:themeColor="text1"/>
                <w:sz w:val="20"/>
                <w:szCs w:val="20"/>
              </w:rPr>
            </w:pPr>
            <w:r>
              <w:rPr>
                <w:rFonts w:hint="eastAsia"/>
                <w:sz w:val="18"/>
                <w:szCs w:val="18"/>
              </w:rPr>
              <w:t>组员</w:t>
            </w:r>
          </w:p>
        </w:tc>
        <w:tc>
          <w:tcPr>
            <w:tcW w:w="3478" w:type="dxa"/>
            <w:gridSpan w:val="3"/>
          </w:tcPr>
          <w:p>
            <w:pPr>
              <w:spacing w:line="240" w:lineRule="exact"/>
              <w:rPr>
                <w:sz w:val="18"/>
                <w:szCs w:val="18"/>
              </w:rPr>
            </w:pPr>
            <w:r>
              <w:rPr>
                <w:sz w:val="18"/>
                <w:szCs w:val="18"/>
              </w:rPr>
              <w:t>Q:审核员</w:t>
            </w:r>
          </w:p>
          <w:p>
            <w:pPr>
              <w:spacing w:line="240" w:lineRule="exact"/>
              <w:rPr>
                <w:sz w:val="18"/>
                <w:szCs w:val="18"/>
              </w:rPr>
            </w:pPr>
            <w:r>
              <w:rPr>
                <w:sz w:val="18"/>
                <w:szCs w:val="18"/>
              </w:rPr>
              <w:t>E:审核员</w:t>
            </w:r>
          </w:p>
          <w:p>
            <w:pPr>
              <w:spacing w:line="240" w:lineRule="exact"/>
              <w:rPr>
                <w:b/>
                <w:color w:val="000000" w:themeColor="text1"/>
                <w:sz w:val="20"/>
                <w:szCs w:val="20"/>
              </w:rPr>
            </w:pPr>
            <w:r>
              <w:rPr>
                <w:sz w:val="18"/>
                <w:szCs w:val="18"/>
              </w:rPr>
              <w:t>O:审核员</w:t>
            </w:r>
          </w:p>
        </w:tc>
        <w:tc>
          <w:tcPr>
            <w:tcW w:w="2333" w:type="dxa"/>
            <w:gridSpan w:val="2"/>
            <w:vAlign w:val="center"/>
          </w:tcPr>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hAnsi="宋体" w:cs="宋体"/>
                <w:color w:val="000000" w:themeColor="text1"/>
                <w:kern w:val="0"/>
                <w:sz w:val="20"/>
                <w:szCs w:val="20"/>
              </w:rPr>
              <w:t>█</w:t>
            </w:r>
            <w:r>
              <w:rPr>
                <w:rFonts w:ascii="宋体" w:cs="宋体" w:hAnsiTheme="minorHAnsi"/>
                <w:color w:val="000000" w:themeColor="text1"/>
                <w:kern w:val="0"/>
                <w:sz w:val="20"/>
                <w:szCs w:val="20"/>
              </w:rPr>
              <w:t>QMS/</w:t>
            </w:r>
            <w:r>
              <w:rPr>
                <w:rFonts w:hint="eastAsia" w:ascii="宋体" w:hAnsi="宋体" w:cs="宋体"/>
                <w:color w:val="000000" w:themeColor="text1"/>
                <w:kern w:val="0"/>
                <w:sz w:val="20"/>
                <w:szCs w:val="20"/>
              </w:rPr>
              <w:t>█</w:t>
            </w:r>
            <w:r>
              <w:rPr>
                <w:rFonts w:ascii="宋体" w:cs="宋体" w:hAnsiTheme="minorHAnsi"/>
                <w:color w:val="000000" w:themeColor="text1"/>
                <w:kern w:val="0"/>
                <w:sz w:val="20"/>
                <w:szCs w:val="20"/>
              </w:rPr>
              <w:t>EMS/</w:t>
            </w:r>
            <w:r>
              <w:rPr>
                <w:rFonts w:hint="eastAsia" w:ascii="宋体" w:hAnsi="宋体" w:cs="宋体"/>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pStyle w:val="12"/>
        <w:ind w:left="-142" w:firstLine="0" w:firstLineChars="0"/>
        <w:rPr>
          <w:rFonts w:ascii="宋体" w:hAnsi="宋体"/>
          <w:b/>
          <w:color w:val="000000" w:themeColor="text1"/>
          <w:spacing w:val="-10"/>
          <w:sz w:val="20"/>
          <w:szCs w:val="20"/>
          <w:lang w:val="de-DE"/>
        </w:rPr>
      </w:pPr>
      <w:r>
        <w:rPr>
          <w:rFonts w:hint="eastAsia" w:ascii="宋体" w:hAnsi="宋体" w:cs="宋体"/>
          <w:b/>
          <w:color w:val="000000" w:themeColor="text1"/>
          <w:spacing w:val="-10"/>
          <w:sz w:val="20"/>
          <w:szCs w:val="20"/>
        </w:rPr>
        <w:t>█</w:t>
      </w:r>
      <w:r>
        <w:rPr>
          <w:rFonts w:hint="eastAsia" w:ascii="宋体" w:hAnsi="宋体"/>
          <w:b/>
          <w:color w:val="000000" w:themeColor="text1"/>
          <w:sz w:val="20"/>
          <w:szCs w:val="20"/>
          <w:lang w:val="de-DE"/>
        </w:rPr>
        <w:t xml:space="preserve">ISO9001:2015    </w:t>
      </w:r>
      <w:r>
        <w:rPr>
          <w:rFonts w:hint="eastAsia" w:ascii="宋体" w:hAnsi="宋体" w:cs="宋体"/>
          <w:b/>
          <w:color w:val="000000" w:themeColor="text1"/>
          <w:spacing w:val="-10"/>
          <w:sz w:val="20"/>
          <w:szCs w:val="20"/>
          <w:lang w:val="de-DE"/>
        </w:rPr>
        <w:t>█</w:t>
      </w:r>
      <w:r>
        <w:rPr>
          <w:rFonts w:hint="eastAsia" w:ascii="宋体" w:hAnsi="宋体"/>
          <w:b/>
          <w:color w:val="000000" w:themeColor="text1"/>
          <w:spacing w:val="-10"/>
          <w:sz w:val="20"/>
          <w:szCs w:val="20"/>
          <w:lang w:val="de-DE"/>
        </w:rPr>
        <w:t xml:space="preserve">ISO14001:2015       </w:t>
      </w:r>
      <w:r>
        <w:rPr>
          <w:rFonts w:hint="eastAsia" w:ascii="宋体" w:hAnsi="宋体" w:cs="宋体"/>
          <w:b/>
          <w:color w:val="000000" w:themeColor="text1"/>
          <w:spacing w:val="-10"/>
          <w:sz w:val="20"/>
          <w:szCs w:val="20"/>
          <w:lang w:val="de-DE"/>
        </w:rPr>
        <w:t xml:space="preserve">█ </w:t>
      </w:r>
      <w:r>
        <w:rPr>
          <w:rFonts w:hint="eastAsia" w:ascii="宋体" w:hAnsi="宋体"/>
          <w:snapToGrid w:val="0"/>
          <w:color w:val="000000"/>
          <w:kern w:val="0"/>
          <w:sz w:val="18"/>
          <w:szCs w:val="21"/>
        </w:rPr>
        <w:t>GB/T 28001-2011idtOHSAS 18001:2007</w:t>
      </w:r>
      <w:r>
        <w:rPr>
          <w:rFonts w:hint="eastAsia" w:ascii="宋体" w:hAnsi="宋体"/>
          <w:b/>
          <w:color w:val="000000" w:themeColor="text1"/>
          <w:spacing w:val="-10"/>
          <w:sz w:val="20"/>
          <w:szCs w:val="20"/>
          <w:lang w:val="de-DE"/>
        </w:rPr>
        <w:t xml:space="preserve">         </w:t>
      </w:r>
    </w:p>
    <w:p>
      <w:pPr>
        <w:pStyle w:val="12"/>
        <w:ind w:left="-142" w:firstLine="0" w:firstLineChars="0"/>
        <w:rPr>
          <w:rFonts w:ascii="宋体" w:hAnsi="宋体"/>
          <w:b/>
          <w:color w:val="000000" w:themeColor="text1"/>
          <w:sz w:val="20"/>
          <w:szCs w:val="20"/>
        </w:rPr>
      </w:pPr>
      <w:r>
        <w:rPr>
          <w:rFonts w:hint="eastAsia" w:ascii="宋体" w:hAnsi="宋体"/>
          <w:b/>
          <w:color w:val="000000" w:themeColor="text1"/>
          <w:spacing w:val="-10"/>
          <w:sz w:val="20"/>
          <w:szCs w:val="20"/>
          <w:lang w:val="de-DE"/>
        </w:rPr>
        <w:t xml:space="preserve"> </w:t>
      </w:r>
      <w:r>
        <w:rPr>
          <w:rFonts w:hint="eastAsia" w:ascii="宋体" w:hAnsi="宋体" w:cs="宋体"/>
          <w:b/>
          <w:color w:val="000000" w:themeColor="text1"/>
          <w:spacing w:val="-10"/>
          <w:sz w:val="20"/>
          <w:szCs w:val="20"/>
          <w:lang w:val="de-DE"/>
        </w:rPr>
        <w:t>█</w:t>
      </w:r>
      <w:r>
        <w:rPr>
          <w:rFonts w:hint="eastAsia" w:ascii="宋体" w:hAnsi="宋体"/>
          <w:b/>
          <w:color w:val="000000" w:themeColor="text1"/>
          <w:sz w:val="20"/>
          <w:szCs w:val="20"/>
        </w:rPr>
        <w:t>受审核方管理体系文件</w:t>
      </w:r>
    </w:p>
    <w:p>
      <w:pPr>
        <w:pStyle w:val="12"/>
        <w:ind w:left="-142" w:firstLine="0" w:firstLineChars="0"/>
        <w:rPr>
          <w:rFonts w:ascii="宋体" w:hAnsi="宋体"/>
          <w:b/>
          <w:color w:val="000000" w:themeColor="text1"/>
          <w:sz w:val="26"/>
          <w:szCs w:val="26"/>
        </w:rPr>
      </w:pPr>
      <w:r>
        <w:rPr>
          <w:rFonts w:hint="eastAsia" w:ascii="宋体" w:hAnsi="宋体"/>
          <w:b/>
          <w:color w:val="000000" w:themeColor="text1"/>
          <w:spacing w:val="-10"/>
          <w:sz w:val="20"/>
          <w:szCs w:val="20"/>
          <w:lang w:val="de-DE"/>
        </w:rPr>
        <w:t xml:space="preserve"> </w:t>
      </w:r>
      <w:r>
        <w:rPr>
          <w:rFonts w:hint="eastAsia" w:ascii="宋体" w:hAnsi="宋体" w:cs="宋体"/>
          <w:b/>
          <w:color w:val="000000" w:themeColor="text1"/>
          <w:spacing w:val="-10"/>
          <w:sz w:val="20"/>
          <w:szCs w:val="20"/>
          <w:lang w:val="de-DE"/>
        </w:rPr>
        <w:t>█</w:t>
      </w:r>
      <w:r>
        <w:rPr>
          <w:rFonts w:hint="eastAsia" w:ascii="宋体" w:hAnsi="宋体"/>
          <w:b/>
          <w:color w:val="000000" w:themeColor="text1"/>
          <w:sz w:val="20"/>
          <w:szCs w:val="20"/>
        </w:rPr>
        <w:t>适用的法律、法规、标准。</w:t>
      </w:r>
      <w:r>
        <w:rPr>
          <w:rFonts w:hint="eastAsia" w:ascii="宋体" w:hAnsi="宋体"/>
          <w:b/>
          <w:color w:val="000000" w:themeColor="text1"/>
          <w:spacing w:val="-10"/>
          <w:sz w:val="20"/>
          <w:szCs w:val="20"/>
          <w:lang w:val="de-DE"/>
        </w:rPr>
        <w:t xml:space="preserve"> </w:t>
      </w:r>
      <w:r>
        <w:rPr>
          <w:rFonts w:hint="eastAsia" w:ascii="宋体" w:hAnsi="宋体" w:cs="宋体"/>
          <w:b/>
          <w:color w:val="000000" w:themeColor="text1"/>
          <w:spacing w:val="-10"/>
          <w:sz w:val="20"/>
          <w:szCs w:val="20"/>
          <w:lang w:val="de-DE"/>
        </w:rPr>
        <w:t>█</w:t>
      </w:r>
      <w:r>
        <w:rPr>
          <w:rFonts w:hint="eastAsia" w:ascii="宋体" w:hAnsi="宋体"/>
          <w:b/>
          <w:color w:val="000000" w:themeColor="text1"/>
          <w:spacing w:val="-10"/>
          <w:sz w:val="20"/>
          <w:szCs w:val="20"/>
        </w:rPr>
        <w:t>合同要求</w:t>
      </w:r>
      <w:r>
        <w:rPr>
          <w:rFonts w:hint="eastAsia" w:ascii="宋体" w:hAnsi="宋体"/>
          <w:b/>
          <w:color w:val="000000" w:themeColor="text1"/>
          <w:spacing w:val="-10"/>
          <w:sz w:val="22"/>
          <w:szCs w:val="22"/>
        </w:rPr>
        <w:t xml:space="preserve"> </w:t>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r>
              <w:rPr>
                <w:color w:val="000000"/>
                <w:szCs w:val="21"/>
              </w:rPr>
              <w:t>乐生活智慧社区服务集团股份有限公司</w:t>
            </w:r>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1" w:name="企业人数"/>
            <w:r>
              <w:rPr>
                <w:rFonts w:hint="eastAsia" w:ascii="宋体"/>
                <w:b/>
              </w:rPr>
              <w:t>275</w:t>
            </w:r>
            <w:bookmarkEnd w:id="1"/>
            <w:r>
              <w:rPr>
                <w:rFonts w:hint="eastAsia" w:ascii="宋体"/>
                <w:b/>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2" w:name="注册地址"/>
            <w:r>
              <w:t>北京市石景山区实兴东街8号院1号楼（京汉大厦）104-107号</w:t>
            </w:r>
            <w:bookmarkEnd w:id="2"/>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jc w:val="center"/>
              <w:rPr>
                <w:rFonts w:ascii="宋体" w:hAnsi="宋体"/>
                <w:b/>
                <w:color w:val="000000" w:themeColor="text1"/>
                <w:spacing w:val="-2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r>
              <w:t>北京市石景山区实兴东街8号院1号楼（京汉大厦）104-107号</w:t>
            </w: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3" w:name="联系人"/>
            <w:r>
              <w:t>刘惠敏</w:t>
            </w:r>
            <w:bookmarkEnd w:id="3"/>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r>
              <w:rPr>
                <w:rFonts w:ascii="宋体" w:hAnsi="宋体"/>
              </w:rPr>
              <w:t xml:space="preserve"> </w:t>
            </w:r>
            <w:bookmarkStart w:id="4" w:name="联系人手机"/>
            <w:r>
              <w:t>13126824080</w:t>
            </w:r>
            <w:bookmarkEnd w:id="4"/>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5" w:name="法人"/>
            <w:r>
              <w:t>段亚娟</w:t>
            </w:r>
            <w:bookmarkEnd w:id="5"/>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r>
              <w:t>段亚娟</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r>
              <w:rPr>
                <w:rFonts w:hint="eastAsia"/>
              </w:rPr>
              <w:t>杜凌云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rPr>
                <w:color w:val="000000"/>
                <w:szCs w:val="21"/>
              </w:rPr>
            </w:pPr>
            <w:bookmarkStart w:id="6" w:name="审核范围"/>
            <w:r>
              <w:rPr>
                <w:rFonts w:hint="eastAsia" w:ascii="宋体" w:hAnsi="宋体"/>
                <w:szCs w:val="21"/>
              </w:rPr>
              <w:t>Q：物业管理</w:t>
            </w:r>
          </w:p>
          <w:p>
            <w:pPr>
              <w:rPr>
                <w:rFonts w:ascii="宋体" w:hAnsi="宋体"/>
                <w:szCs w:val="21"/>
              </w:rPr>
            </w:pPr>
            <w:r>
              <w:rPr>
                <w:rFonts w:hint="eastAsia" w:ascii="宋体" w:hAnsi="宋体"/>
                <w:szCs w:val="21"/>
              </w:rPr>
              <w:t>E：物业管理及相关环境管理活动</w:t>
            </w:r>
          </w:p>
          <w:p>
            <w:pPr>
              <w:spacing w:line="320" w:lineRule="exact"/>
              <w:rPr>
                <w:rFonts w:ascii="宋体" w:hAnsi="宋体"/>
                <w:b/>
                <w:color w:val="000000" w:themeColor="text1"/>
                <w:sz w:val="20"/>
                <w:szCs w:val="20"/>
                <w:u w:val="single"/>
                <w:lang w:val="en-GB"/>
              </w:rPr>
            </w:pPr>
            <w:r>
              <w:rPr>
                <w:rFonts w:hint="eastAsia" w:ascii="宋体" w:hAnsi="宋体"/>
                <w:szCs w:val="21"/>
              </w:rPr>
              <w:t>O：物业管理及相关职业健康安全管理活动</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rPr>
                <w:b/>
                <w:szCs w:val="21"/>
              </w:rPr>
            </w:pPr>
            <w:bookmarkStart w:id="7" w:name="专业代码"/>
            <w:r>
              <w:rPr>
                <w:rFonts w:hint="eastAsia"/>
                <w:b/>
                <w:szCs w:val="21"/>
              </w:rPr>
              <w:t>Q：35.15.00</w:t>
            </w:r>
          </w:p>
          <w:p>
            <w:pPr>
              <w:rPr>
                <w:b/>
                <w:szCs w:val="21"/>
              </w:rPr>
            </w:pPr>
            <w:r>
              <w:rPr>
                <w:rFonts w:hint="eastAsia"/>
                <w:b/>
                <w:szCs w:val="21"/>
              </w:rPr>
              <w:t>E：35.15.00</w:t>
            </w:r>
          </w:p>
          <w:p>
            <w:pPr>
              <w:spacing w:line="320" w:lineRule="exact"/>
              <w:rPr>
                <w:rFonts w:ascii="宋体" w:hAnsi="宋体"/>
                <w:b/>
                <w:color w:val="000000" w:themeColor="text1"/>
                <w:sz w:val="20"/>
                <w:szCs w:val="20"/>
              </w:rPr>
            </w:pPr>
            <w:r>
              <w:rPr>
                <w:rFonts w:hint="eastAsia"/>
                <w:b/>
                <w:szCs w:val="21"/>
              </w:rPr>
              <w:t>O：35.15.00</w:t>
            </w:r>
            <w:bookmarkEnd w:id="7"/>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cs="宋体"/>
                <w:b/>
                <w:color w:val="000000" w:themeColor="text1"/>
                <w:sz w:val="20"/>
                <w:szCs w:val="20"/>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2</w:t>
            </w:r>
            <w:r>
              <w:rPr>
                <w:rFonts w:ascii="宋体" w:hAnsi="宋体"/>
                <w:b/>
                <w:color w:val="000000" w:themeColor="text1"/>
                <w:sz w:val="20"/>
                <w:szCs w:val="20"/>
              </w:rPr>
              <w:t>019.</w:t>
            </w:r>
            <w:r>
              <w:rPr>
                <w:rFonts w:hint="eastAsia" w:ascii="宋体" w:hAnsi="宋体"/>
                <w:b/>
                <w:color w:val="000000" w:themeColor="text1"/>
                <w:sz w:val="20"/>
                <w:szCs w:val="20"/>
              </w:rPr>
              <w:t>6.13</w:t>
            </w:r>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3"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p>
            <w:pPr>
              <w:jc w:val="center"/>
              <w:rPr>
                <w:rFonts w:ascii="宋体" w:hAnsi="宋体"/>
                <w:b/>
                <w:color w:val="000000" w:themeColor="text1"/>
                <w:sz w:val="20"/>
                <w:szCs w:val="20"/>
              </w:rPr>
            </w:pPr>
            <w:r>
              <w:rPr>
                <w:rFonts w:hint="eastAsia" w:ascii="宋体" w:hAnsi="宋体"/>
                <w:b/>
                <w:color w:val="000000" w:themeColor="text1"/>
                <w:sz w:val="20"/>
                <w:szCs w:val="20"/>
              </w:rPr>
              <w:t>办公室</w:t>
            </w:r>
          </w:p>
        </w:tc>
        <w:tc>
          <w:tcPr>
            <w:tcW w:w="6804" w:type="dxa"/>
          </w:tcPr>
          <w:p>
            <w:pPr>
              <w:ind w:firstLine="420" w:firstLineChars="200"/>
              <w:rPr>
                <w:rFonts w:ascii="宋体" w:hAnsi="宋体" w:cs="宋体"/>
                <w:szCs w:val="21"/>
              </w:rPr>
            </w:pPr>
            <w:r>
              <w:rPr>
                <w:rFonts w:hint="eastAsia" w:ascii="宋体" w:hAnsi="宋体" w:cs="宋体"/>
                <w:szCs w:val="21"/>
              </w:rPr>
              <w:t>人力资源管理过程</w:t>
            </w:r>
          </w:p>
          <w:p>
            <w:pPr>
              <w:ind w:firstLine="420" w:firstLineChars="200"/>
              <w:rPr>
                <w:rFonts w:ascii="宋体" w:hAnsi="宋体" w:cs="宋体"/>
                <w:szCs w:val="21"/>
              </w:rPr>
            </w:pPr>
            <w:r>
              <w:rPr>
                <w:rFonts w:hint="eastAsia" w:ascii="宋体" w:hAnsi="宋体" w:cs="宋体"/>
                <w:szCs w:val="21"/>
              </w:rPr>
              <w:t>资源提供与管理过程控制；</w:t>
            </w:r>
          </w:p>
          <w:p>
            <w:pPr>
              <w:ind w:firstLine="420" w:firstLineChars="200"/>
              <w:rPr>
                <w:rFonts w:ascii="宋体" w:hAnsi="宋体" w:cs="宋体"/>
                <w:szCs w:val="21"/>
              </w:rPr>
            </w:pPr>
            <w:r>
              <w:rPr>
                <w:rFonts w:hint="eastAsia" w:ascii="宋体" w:hAnsi="宋体" w:cs="宋体"/>
                <w:szCs w:val="21"/>
              </w:rPr>
              <w:t>内外部信息交流过程；</w:t>
            </w:r>
          </w:p>
          <w:p>
            <w:pPr>
              <w:ind w:firstLine="420" w:firstLineChars="200"/>
              <w:rPr>
                <w:rFonts w:ascii="宋体" w:hAnsi="宋体" w:cs="宋体"/>
                <w:szCs w:val="21"/>
              </w:rPr>
            </w:pPr>
            <w:r>
              <w:rPr>
                <w:rFonts w:hint="eastAsia" w:ascii="宋体" w:hAnsi="宋体" w:cs="宋体"/>
                <w:szCs w:val="21"/>
              </w:rPr>
              <w:t>环境、职业健康安全体系运行过程；</w:t>
            </w:r>
          </w:p>
          <w:p>
            <w:pPr>
              <w:ind w:firstLine="420" w:firstLineChars="200"/>
              <w:rPr>
                <w:rFonts w:ascii="宋体" w:hAnsi="宋体" w:cs="宋体"/>
                <w:szCs w:val="21"/>
              </w:rPr>
            </w:pPr>
            <w:r>
              <w:rPr>
                <w:rFonts w:hint="eastAsia" w:ascii="宋体" w:hAnsi="宋体" w:cs="宋体"/>
                <w:szCs w:val="21"/>
              </w:rPr>
              <w:t>负责绩效评价过程等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项目部</w:t>
            </w:r>
          </w:p>
        </w:tc>
        <w:tc>
          <w:tcPr>
            <w:tcW w:w="6804" w:type="dxa"/>
          </w:tcPr>
          <w:p>
            <w:pPr>
              <w:ind w:firstLine="210" w:firstLineChars="100"/>
              <w:rPr>
                <w:rFonts w:ascii="宋体" w:hAnsi="宋体" w:cs="宋体"/>
                <w:szCs w:val="21"/>
              </w:rPr>
            </w:pPr>
            <w:r>
              <w:rPr>
                <w:rFonts w:hint="eastAsia" w:ascii="宋体" w:hAnsi="宋体" w:cs="宋体"/>
                <w:szCs w:val="21"/>
              </w:rPr>
              <w:t>负责公司</w:t>
            </w:r>
            <w:r>
              <w:rPr>
                <w:rFonts w:hint="eastAsia" w:ascii="宋体" w:hAnsi="宋体"/>
                <w:szCs w:val="21"/>
              </w:rPr>
              <w:t>物业管理</w:t>
            </w:r>
            <w:r>
              <w:rPr>
                <w:rFonts w:hint="eastAsia" w:ascii="宋体" w:hAnsi="宋体" w:cs="宋体"/>
                <w:szCs w:val="21"/>
              </w:rPr>
              <w:t>的实施、负责</w:t>
            </w:r>
            <w:r>
              <w:rPr>
                <w:rFonts w:hint="eastAsia" w:ascii="宋体" w:hAnsi="宋体"/>
                <w:szCs w:val="21"/>
              </w:rPr>
              <w:t>物业管理</w:t>
            </w:r>
            <w:r>
              <w:rPr>
                <w:rFonts w:hint="eastAsia" w:ascii="宋体" w:hAnsi="宋体" w:cs="宋体"/>
                <w:szCs w:val="21"/>
              </w:rPr>
              <w:t>方案等技术文件的编制、修订</w:t>
            </w:r>
          </w:p>
          <w:p>
            <w:pPr>
              <w:ind w:firstLine="420" w:firstLineChars="200"/>
              <w:rPr>
                <w:rFonts w:ascii="宋体" w:hAnsi="宋体" w:cs="宋体"/>
                <w:szCs w:val="21"/>
              </w:rPr>
            </w:pPr>
            <w:r>
              <w:rPr>
                <w:rFonts w:hint="eastAsia" w:ascii="宋体" w:hAnsi="宋体" w:cs="宋体"/>
                <w:szCs w:val="21"/>
              </w:rPr>
              <w:t>负责</w:t>
            </w:r>
            <w:r>
              <w:rPr>
                <w:rFonts w:hint="eastAsia" w:ascii="宋体" w:hAnsi="宋体"/>
                <w:szCs w:val="21"/>
              </w:rPr>
              <w:t>物业管理</w:t>
            </w:r>
            <w:r>
              <w:rPr>
                <w:rFonts w:hint="eastAsia" w:ascii="宋体" w:hAnsi="宋体" w:cs="宋体"/>
                <w:szCs w:val="21"/>
              </w:rPr>
              <w:t>项目进度和工作质量的把控、负责</w:t>
            </w:r>
            <w:r>
              <w:rPr>
                <w:rFonts w:hint="eastAsia" w:ascii="宋体" w:hAnsi="宋体"/>
                <w:szCs w:val="21"/>
              </w:rPr>
              <w:t>物业管理</w:t>
            </w:r>
            <w:r>
              <w:rPr>
                <w:rFonts w:hint="eastAsia" w:ascii="宋体" w:hAnsi="宋体" w:cs="宋体"/>
                <w:szCs w:val="21"/>
              </w:rPr>
              <w:t>反馈问题的汇总、跟踪及解决</w:t>
            </w:r>
          </w:p>
          <w:p>
            <w:pPr>
              <w:ind w:firstLine="420" w:firstLineChars="200"/>
              <w:rPr>
                <w:rFonts w:ascii="宋体" w:hAnsi="宋体" w:cs="宋体"/>
                <w:szCs w:val="21"/>
              </w:rPr>
            </w:pPr>
            <w:r>
              <w:rPr>
                <w:rFonts w:hint="eastAsia" w:ascii="宋体" w:hAnsi="宋体" w:cs="宋体"/>
                <w:szCs w:val="21"/>
              </w:rPr>
              <w:t>负责客户关系协调及客户人员培训、根据相关政策法规的规定，负责对相关</w:t>
            </w:r>
            <w:r>
              <w:rPr>
                <w:rFonts w:hint="eastAsia" w:ascii="宋体" w:hAnsi="宋体"/>
                <w:szCs w:val="21"/>
              </w:rPr>
              <w:t>物业管理</w:t>
            </w:r>
            <w:r>
              <w:rPr>
                <w:rFonts w:hint="eastAsia" w:ascii="宋体" w:hAnsi="宋体" w:cs="宋体"/>
                <w:szCs w:val="21"/>
              </w:rPr>
              <w:t>文件进行调整和完善、.完成领导交办的其他任务</w:t>
            </w:r>
          </w:p>
          <w:p>
            <w:pPr>
              <w:ind w:firstLine="420" w:firstLineChars="200"/>
              <w:rPr>
                <w:rFonts w:ascii="宋体" w:hAnsi="宋体" w:cs="宋体"/>
                <w:szCs w:val="21"/>
              </w:rPr>
            </w:pPr>
            <w:r>
              <w:rPr>
                <w:rFonts w:hint="eastAsia" w:ascii="宋体" w:hAnsi="宋体" w:cs="宋体"/>
                <w:szCs w:val="21"/>
              </w:rPr>
              <w:t>环境、职业健康安全体系运行过程；</w:t>
            </w:r>
          </w:p>
          <w:p>
            <w:pPr>
              <w:ind w:firstLine="420" w:firstLineChars="200"/>
              <w:rPr>
                <w:rFonts w:ascii="宋体" w:hAnsi="宋体" w:cs="宋体"/>
                <w:szCs w:val="21"/>
              </w:rPr>
            </w:pPr>
            <w:r>
              <w:rPr>
                <w:rFonts w:hint="eastAsia" w:ascii="宋体" w:hAnsi="宋体" w:cs="宋体"/>
                <w:szCs w:val="21"/>
              </w:rPr>
              <w:t>环境因素、危险源的识别和评价及管理控制</w:t>
            </w:r>
          </w:p>
          <w:p>
            <w:pPr>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业务部</w:t>
            </w:r>
          </w:p>
        </w:tc>
        <w:tc>
          <w:tcPr>
            <w:tcW w:w="6804" w:type="dxa"/>
          </w:tcPr>
          <w:p>
            <w:pPr>
              <w:ind w:firstLine="420" w:firstLineChars="200"/>
              <w:rPr>
                <w:rFonts w:ascii="宋体" w:hAnsi="宋体" w:cs="宋体"/>
                <w:szCs w:val="21"/>
              </w:rPr>
            </w:pPr>
            <w:r>
              <w:rPr>
                <w:rFonts w:hint="eastAsia" w:ascii="宋体" w:hAnsi="宋体" w:cs="宋体"/>
                <w:szCs w:val="21"/>
              </w:rPr>
              <w:t>负责</w:t>
            </w:r>
            <w:r>
              <w:rPr>
                <w:rFonts w:hint="eastAsia" w:ascii="宋体" w:hAnsi="宋体"/>
                <w:szCs w:val="21"/>
              </w:rPr>
              <w:t>物业管理相关的客户反映的问题</w:t>
            </w:r>
            <w:r>
              <w:rPr>
                <w:rFonts w:hint="eastAsia" w:ascii="宋体" w:hAnsi="宋体" w:cs="宋体"/>
                <w:szCs w:val="21"/>
              </w:rPr>
              <w:t>跟踪及解决</w:t>
            </w:r>
          </w:p>
          <w:p>
            <w:pPr>
              <w:ind w:firstLine="420" w:firstLineChars="200"/>
              <w:rPr>
                <w:rFonts w:ascii="宋体" w:hAnsi="宋体" w:cs="宋体"/>
                <w:szCs w:val="21"/>
              </w:rPr>
            </w:pPr>
            <w:r>
              <w:rPr>
                <w:rFonts w:hint="eastAsia" w:ascii="宋体" w:hAnsi="宋体" w:cs="宋体"/>
                <w:szCs w:val="21"/>
              </w:rPr>
              <w:t>负责客户关系协调及客户人员培训、根据相关政策法规的规定，负责对相关</w:t>
            </w:r>
            <w:r>
              <w:rPr>
                <w:rFonts w:hint="eastAsia" w:ascii="宋体" w:hAnsi="宋体"/>
                <w:szCs w:val="21"/>
              </w:rPr>
              <w:t>物业管理</w:t>
            </w:r>
            <w:r>
              <w:rPr>
                <w:rFonts w:hint="eastAsia" w:ascii="宋体" w:hAnsi="宋体" w:cs="宋体"/>
                <w:szCs w:val="21"/>
              </w:rPr>
              <w:t>文件进行调整和完善、.完成领导交办的其他任务</w:t>
            </w:r>
          </w:p>
          <w:p>
            <w:pPr>
              <w:ind w:firstLine="420" w:firstLineChars="200"/>
              <w:rPr>
                <w:rFonts w:ascii="宋体" w:hAnsi="宋体" w:cs="宋体"/>
                <w:szCs w:val="21"/>
              </w:rPr>
            </w:pPr>
            <w:r>
              <w:rPr>
                <w:rFonts w:hint="eastAsia" w:ascii="宋体" w:hAnsi="宋体" w:cs="宋体"/>
                <w:szCs w:val="21"/>
              </w:rPr>
              <w:t>本部门环境、职业健康安全体系运行过程；</w:t>
            </w:r>
          </w:p>
          <w:p>
            <w:pPr>
              <w:ind w:firstLine="420" w:firstLineChars="200"/>
              <w:rPr>
                <w:rFonts w:ascii="宋体" w:hAnsi="宋体" w:cs="宋体"/>
                <w:szCs w:val="21"/>
              </w:rPr>
            </w:pPr>
            <w:r>
              <w:rPr>
                <w:rFonts w:hint="eastAsia" w:ascii="宋体" w:hAnsi="宋体" w:cs="宋体"/>
                <w:szCs w:val="21"/>
              </w:rPr>
              <w:t>本部门环境因素、危险源的识别和评价及管理控制</w:t>
            </w:r>
          </w:p>
          <w:p>
            <w:pPr>
              <w:ind w:firstLine="420" w:firstLineChars="200"/>
              <w:rPr>
                <w:rFonts w:ascii="宋体" w:hAnsi="宋体" w:cs="宋体"/>
                <w:szCs w:val="21"/>
              </w:rPr>
            </w:pPr>
            <w:r>
              <w:rPr>
                <w:rFonts w:hint="eastAsia" w:ascii="宋体" w:hAnsi="宋体" w:cs="宋体"/>
                <w:szCs w:val="21"/>
              </w:rPr>
              <w:t>顾客满意度调查</w:t>
            </w:r>
          </w:p>
          <w:p>
            <w:pPr>
              <w:ind w:firstLine="210" w:firstLineChars="100"/>
              <w:rPr>
                <w:rFonts w:ascii="宋体" w:hAnsi="宋体" w:cs="宋体"/>
                <w:szCs w:val="21"/>
              </w:rPr>
            </w:pPr>
            <w:r>
              <w:rPr>
                <w:rFonts w:hint="eastAsia" w:ascii="宋体" w:hAnsi="宋体" w:cs="宋体"/>
                <w:szCs w:val="21"/>
              </w:rPr>
              <w:t>内外部信息交流过程；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职业健康安全事务代表</w:t>
            </w:r>
          </w:p>
        </w:tc>
        <w:tc>
          <w:tcPr>
            <w:tcW w:w="6804" w:type="dxa"/>
          </w:tcPr>
          <w:p>
            <w:pPr>
              <w:rPr>
                <w:rFonts w:ascii="宋体" w:hAnsi="宋体"/>
                <w:b/>
                <w:color w:val="000000" w:themeColor="text1"/>
                <w:spacing w:val="-20"/>
                <w:sz w:val="20"/>
                <w:szCs w:val="20"/>
                <w:u w:val="single"/>
              </w:rPr>
            </w:pPr>
            <w:r>
              <w:rPr>
                <w:rFonts w:hint="eastAsia" w:ascii="宋体" w:hAnsi="宋体"/>
                <w:color w:val="000000" w:themeColor="text1"/>
                <w:spacing w:val="-20"/>
                <w:sz w:val="20"/>
                <w:szCs w:val="20"/>
              </w:rPr>
              <w:t>与员工利益有关的管理活动。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Cs w:val="21"/>
              </w:rPr>
            </w:pPr>
            <w:r>
              <w:rPr>
                <w:rFonts w:hint="eastAsia" w:ascii="宋体" w:hAnsi="宋体"/>
                <w:b/>
                <w:color w:val="000000" w:themeColor="text1"/>
                <w:sz w:val="20"/>
                <w:szCs w:val="20"/>
              </w:rPr>
              <w:t>管理层</w:t>
            </w:r>
          </w:p>
        </w:tc>
        <w:tc>
          <w:tcPr>
            <w:tcW w:w="6804" w:type="dxa"/>
          </w:tcPr>
          <w:p>
            <w:pPr>
              <w:rPr>
                <w:rFonts w:ascii="宋体" w:hAnsi="宋体"/>
                <w:b/>
                <w:color w:val="000000" w:themeColor="text1"/>
                <w:spacing w:val="-20"/>
                <w:szCs w:val="21"/>
                <w:u w:val="single"/>
              </w:rPr>
            </w:pPr>
            <w:r>
              <w:rPr>
                <w:rFonts w:hint="eastAsia" w:ascii="宋体" w:hAnsi="宋体"/>
                <w:sz w:val="18"/>
                <w:szCs w:val="18"/>
              </w:rPr>
              <w:t>与管理层有关的管理活动</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37" w:leftChars="-337" w:hanging="571" w:hangingChars="271"/>
        <w:rPr>
          <w:b/>
          <w:color w:val="000000" w:themeColor="text1"/>
          <w:szCs w:val="21"/>
          <w:u w:val="single"/>
        </w:rPr>
      </w:pPr>
    </w:p>
    <w:p>
      <w:pPr>
        <w:spacing w:line="360" w:lineRule="auto"/>
        <w:ind w:left="-137" w:leftChars="-337" w:hanging="571" w:hangingChars="271"/>
        <w:rPr>
          <w:b/>
          <w:color w:val="000000" w:themeColor="text1"/>
          <w:szCs w:val="21"/>
        </w:rPr>
      </w:pPr>
      <w:r>
        <w:rPr>
          <w:rFonts w:hint="eastAsia"/>
          <w:b/>
          <w:color w:val="000000" w:themeColor="text1"/>
          <w:szCs w:val="21"/>
        </w:rPr>
        <w:t>4. 本次审核覆盖时期：</w:t>
      </w:r>
    </w:p>
    <w:p>
      <w:pPr>
        <w:spacing w:line="360" w:lineRule="auto"/>
        <w:ind w:left="-191" w:leftChars="-337" w:hanging="517" w:hangingChars="271"/>
        <w:rPr>
          <w:b/>
          <w:color w:val="000000" w:themeColor="text1"/>
          <w:spacing w:val="-10"/>
          <w:szCs w:val="21"/>
        </w:rPr>
      </w:pPr>
      <w:r>
        <w:rPr>
          <w:rFonts w:hint="eastAsia" w:ascii="宋体" w:hAnsi="宋体" w:cs="宋体"/>
          <w:b/>
          <w:color w:val="000000" w:themeColor="text1"/>
          <w:spacing w:val="-10"/>
          <w:szCs w:val="21"/>
        </w:rPr>
        <w:t>█</w:t>
      </w:r>
      <w:r>
        <w:rPr>
          <w:rFonts w:hint="eastAsia"/>
          <w:b/>
          <w:color w:val="000000" w:themeColor="text1"/>
          <w:spacing w:val="-10"/>
          <w:szCs w:val="21"/>
        </w:rPr>
        <w:t>体系运行时间</w:t>
      </w:r>
      <w:r>
        <w:rPr>
          <w:rFonts w:hint="eastAsia"/>
          <w:b/>
          <w:color w:val="000000" w:themeColor="text1"/>
          <w:spacing w:val="-10"/>
          <w:szCs w:val="21"/>
          <w:u w:val="single"/>
        </w:rPr>
        <w:t xml:space="preserve">   2019     </w:t>
      </w:r>
      <w:r>
        <w:rPr>
          <w:rFonts w:hint="eastAsia"/>
          <w:b/>
          <w:color w:val="000000" w:themeColor="text1"/>
          <w:spacing w:val="-10"/>
          <w:szCs w:val="21"/>
        </w:rPr>
        <w:t>年</w:t>
      </w:r>
      <w:r>
        <w:rPr>
          <w:rFonts w:hint="eastAsia"/>
          <w:b/>
          <w:color w:val="000000" w:themeColor="text1"/>
          <w:spacing w:val="-10"/>
          <w:szCs w:val="21"/>
          <w:u w:val="single"/>
        </w:rPr>
        <w:t xml:space="preserve">6 </w:t>
      </w:r>
      <w:r>
        <w:rPr>
          <w:rFonts w:hint="eastAsia"/>
          <w:b/>
          <w:color w:val="000000" w:themeColor="text1"/>
          <w:spacing w:val="-10"/>
          <w:szCs w:val="21"/>
        </w:rPr>
        <w:t>月</w:t>
      </w:r>
      <w:bookmarkStart w:id="8" w:name="OLE_LINK1"/>
      <w:r>
        <w:rPr>
          <w:rFonts w:hint="eastAsia"/>
          <w:b/>
          <w:color w:val="000000" w:themeColor="text1"/>
          <w:spacing w:val="-10"/>
          <w:szCs w:val="21"/>
          <w:u w:val="single"/>
        </w:rPr>
        <w:t xml:space="preserve">  13  </w:t>
      </w:r>
      <w:r>
        <w:rPr>
          <w:rFonts w:hint="eastAsia"/>
          <w:b/>
          <w:color w:val="000000" w:themeColor="text1"/>
          <w:spacing w:val="-10"/>
          <w:szCs w:val="21"/>
        </w:rPr>
        <w:t>日</w:t>
      </w:r>
      <w:bookmarkEnd w:id="8"/>
      <w:r>
        <w:rPr>
          <w:rFonts w:hint="eastAsia"/>
          <w:b/>
          <w:color w:val="000000" w:themeColor="text1"/>
          <w:spacing w:val="-10"/>
          <w:szCs w:val="21"/>
        </w:rPr>
        <w:t>至</w:t>
      </w:r>
      <w:r>
        <w:rPr>
          <w:rFonts w:hint="eastAsia"/>
          <w:b/>
          <w:color w:val="000000" w:themeColor="text1"/>
          <w:spacing w:val="-10"/>
          <w:szCs w:val="21"/>
          <w:u w:val="single"/>
        </w:rPr>
        <w:t xml:space="preserve">  2020 </w:t>
      </w:r>
      <w:r>
        <w:rPr>
          <w:rFonts w:hint="eastAsia"/>
          <w:b/>
          <w:color w:val="000000" w:themeColor="text1"/>
          <w:spacing w:val="-10"/>
          <w:szCs w:val="21"/>
        </w:rPr>
        <w:t>年</w:t>
      </w:r>
      <w:r>
        <w:rPr>
          <w:rFonts w:hint="eastAsia"/>
          <w:b/>
          <w:color w:val="000000" w:themeColor="text1"/>
          <w:spacing w:val="-10"/>
          <w:szCs w:val="21"/>
          <w:u w:val="single"/>
        </w:rPr>
        <w:t xml:space="preserve"> 1</w:t>
      </w:r>
      <w:r>
        <w:rPr>
          <w:rFonts w:hint="eastAsia"/>
          <w:b/>
          <w:color w:val="000000" w:themeColor="text1"/>
          <w:spacing w:val="-10"/>
          <w:szCs w:val="21"/>
        </w:rPr>
        <w:t>月</w:t>
      </w:r>
      <w:r>
        <w:rPr>
          <w:rFonts w:hint="eastAsia"/>
          <w:b/>
          <w:color w:val="000000" w:themeColor="text1"/>
          <w:spacing w:val="-10"/>
          <w:szCs w:val="21"/>
          <w:u w:val="single"/>
        </w:rPr>
        <w:t xml:space="preserve"> 20  </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 xml:space="preserve">日至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5. 完成情况说明:</w:t>
      </w:r>
    </w:p>
    <w:p>
      <w:pPr>
        <w:spacing w:line="360" w:lineRule="auto"/>
        <w:ind w:left="-191" w:leftChars="-337" w:hanging="517" w:hangingChars="271"/>
        <w:rPr>
          <w:b/>
          <w:color w:val="000000" w:themeColor="text1"/>
          <w:spacing w:val="-10"/>
          <w:szCs w:val="21"/>
        </w:rPr>
      </w:pPr>
      <w:r>
        <w:rPr>
          <w:rFonts w:hint="eastAsia" w:ascii="宋体" w:hAnsi="宋体" w:cs="宋体"/>
          <w:b/>
          <w:color w:val="000000" w:themeColor="text1"/>
          <w:spacing w:val="-10"/>
          <w:szCs w:val="21"/>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pPr>
            <w:r>
              <w:t>1、</w:t>
            </w:r>
            <w:r>
              <w:rPr>
                <w:rFonts w:hint="eastAsia"/>
              </w:rPr>
              <w:t>组织及其环境的识别情况</w:t>
            </w:r>
          </w:p>
          <w:p>
            <w:pPr>
              <w:spacing w:line="400" w:lineRule="exact"/>
              <w:rPr>
                <w:rStyle w:val="17"/>
                <w:rFonts w:ascii="Arial" w:hAnsi="Arial" w:cs="Arial"/>
                <w:color w:val="333333"/>
                <w:szCs w:val="22"/>
                <w:shd w:val="clear" w:color="auto" w:fill="FFFFFF"/>
              </w:rPr>
            </w:pPr>
            <w:bookmarkStart w:id="9" w:name="_Hlk26211546"/>
            <w:r>
              <w:rPr>
                <w:rStyle w:val="17"/>
                <w:rFonts w:hint="eastAsia" w:ascii="Arial" w:hAnsi="Arial" w:cs="Arial"/>
                <w:color w:val="333333"/>
                <w:szCs w:val="22"/>
                <w:shd w:val="clear" w:color="auto" w:fill="FFFFFF"/>
              </w:rPr>
              <w:t>乐生活智慧社区服务集团股份有限公司，成立2003-02-13 - 2023-02-13，注册资金：5436万，企业信用代码：91110107747544508R，注册地址：北京市石景山区实兴东街8号院1号楼(京汉大厦)104-107号，经营范围包括物业管理；送水服务（纯净水）；项目投资；投资管理；接受委托从事物业管理；房地产信息咨询；家居装饰；装饰设计；从事房地产经纪；机动车停车场；保洁服务；家政服务；餐饮管理；医院管理；从事商业经纪业务；代理发布广告；销售服装服饰、体育用品、五金交电；技术开发、技术转让、技术服务、技术咨询；经济信息咨询；出租商业用房；热力供应；供暖设备维修及租赁。（“1、未经有关部门批准，不得以公开方式募集资金；2、不得公开开展证券类产品和金融衍生品交易活动；3、不得发放贷款；4、不得对所投资企业以外的其他企业提供担保；5、不得向投资者承诺投资本金不受损失或者承诺最低收益”；企业依法自主选择经营项目，开展经营活动；依法须经批准的项目，经相关部门批准后依批准的内容开展经营活动；不得从事本市产业政策禁止和限制类项目的经营活动。） ，公司的主要客户群为全国各地的企业、机关等；公司采用总经理负责制，层层把关，让用户真正放心</w:t>
            </w:r>
          </w:p>
          <w:bookmarkEnd w:id="9"/>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pPr>
            <w:r>
              <w:rPr>
                <w:rFonts w:hint="eastAsia"/>
              </w:rPr>
              <w:t>相关方需求和期望识别情况</w:t>
            </w:r>
          </w:p>
          <w:p>
            <w:r>
              <w:rPr>
                <w:rFonts w:hint="eastAsia"/>
              </w:rPr>
              <w:t>在公司运营过程中充分考虑相关方方面的期望或要求，识别的相关方有：顾客、最终用户或受益人、业主，股东、员工等。物业部门和相关职能部门通过日常例会、市场活动、现场拜访、产品展销会、客户调查等多种渠道和方式方法随时了解相关方的需求和期望。做为公司经营风险分析和发展机遇的可利用资源。</w:t>
            </w:r>
          </w:p>
          <w:p>
            <w:r>
              <w:rPr>
                <w:rFonts w:hint="eastAsia"/>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质量/</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环境/</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480" w:lineRule="exact"/>
              <w:rPr>
                <w:rFonts w:ascii="楷体" w:hAnsi="楷体" w:eastAsia="楷体"/>
                <w:sz w:val="24"/>
              </w:rPr>
            </w:pPr>
            <w:r>
              <w:rPr>
                <w:rFonts w:hint="eastAsia" w:ascii="楷体" w:hAnsi="楷体" w:eastAsia="楷体"/>
                <w:sz w:val="24"/>
              </w:rPr>
              <w:t>公司的管理方针是：</w:t>
            </w:r>
          </w:p>
          <w:p>
            <w:pPr>
              <w:rPr>
                <w:b/>
                <w:bCs/>
              </w:rPr>
            </w:pPr>
            <w:r>
              <w:rPr>
                <w:rFonts w:hint="eastAsia"/>
                <w:b/>
                <w:bCs/>
              </w:rPr>
              <w:t>顾客至上、强化服务</w:t>
            </w:r>
          </w:p>
          <w:p>
            <w:pPr>
              <w:rPr>
                <w:b/>
                <w:bCs/>
              </w:rPr>
            </w:pPr>
            <w:r>
              <w:rPr>
                <w:rFonts w:hint="eastAsia"/>
                <w:b/>
                <w:bCs/>
              </w:rPr>
              <w:t>以人为本、顾客满意</w:t>
            </w:r>
          </w:p>
          <w:p>
            <w:pPr>
              <w:rPr>
                <w:b/>
                <w:bCs/>
              </w:rPr>
            </w:pPr>
            <w:r>
              <w:rPr>
                <w:rFonts w:hint="eastAsia"/>
                <w:b/>
                <w:bCs/>
              </w:rPr>
              <w:t>节能降耗、安全第一</w:t>
            </w:r>
          </w:p>
          <w:p>
            <w:pPr>
              <w:rPr>
                <w:b/>
                <w:bCs/>
              </w:rPr>
            </w:pPr>
            <w:r>
              <w:rPr>
                <w:rFonts w:hint="eastAsia"/>
                <w:b/>
                <w:bCs/>
              </w:rPr>
              <w:t>珍惜环境、和谐发展</w:t>
            </w:r>
          </w:p>
          <w:p>
            <w:pPr>
              <w:pStyle w:val="2"/>
            </w:pPr>
            <w:r>
              <w:rPr>
                <w:rFonts w:hint="eastAsia"/>
                <w:color w:val="000000"/>
              </w:rPr>
              <w:t>通过管理手册的分发使全体员工理解方针，通过内审和管理评审保持方针的适宜性。</w:t>
            </w:r>
          </w:p>
          <w:p>
            <w:pPr>
              <w:spacing w:line="240" w:lineRule="exact"/>
              <w:ind w:left="199" w:leftChars="95"/>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pPr>
            <w:r>
              <w:rPr>
                <w:rFonts w:hint="eastAsia"/>
              </w:rPr>
              <w:t>风险识别与控制策划</w:t>
            </w:r>
          </w:p>
          <w:p>
            <w:r>
              <w:rPr>
                <w:rFonts w:hint="eastAsia"/>
              </w:rPr>
              <w:t>制定了《风险和机遇的应对控制程序》，明确风险和机遇事件的识别方法/途径、风险和机遇事件的评估方式、制定主要风险和机遇事件的应对措施的要求、评价这些措施有效性的方法。</w:t>
            </w:r>
          </w:p>
          <w:p>
            <w:pPr>
              <w:spacing w:line="240" w:lineRule="exact"/>
            </w:pPr>
            <w:r>
              <w:rPr>
                <w:rFonts w:hint="eastAsia"/>
              </w:rPr>
              <w:t>提供了“2019年度 SWOT经营环境分析及对策报告”，对影响公司经营和发展的各种因素（内外部环境、相关方要求等）进行分析，确定需要应对的风险和机遇</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pStyle w:val="2"/>
            </w:pPr>
          </w:p>
          <w:p>
            <w:pPr>
              <w:tabs>
                <w:tab w:val="left" w:pos="540"/>
              </w:tabs>
              <w:spacing w:line="300" w:lineRule="exact"/>
              <w:ind w:left="201" w:hanging="201" w:hangingChars="100"/>
              <w:rPr>
                <w:rFonts w:ascii="宋体" w:hAnsi="宋体"/>
                <w:b/>
                <w:color w:val="000000" w:themeColor="text1"/>
                <w:sz w:val="20"/>
                <w:szCs w:val="20"/>
              </w:rPr>
            </w:pPr>
            <w:r>
              <w:rPr>
                <w:rFonts w:hint="eastAsia" w:ascii="宋体" w:hAnsi="宋体"/>
                <w:b/>
                <w:color w:val="000000" w:themeColor="text1"/>
                <w:sz w:val="20"/>
                <w:szCs w:val="20"/>
              </w:rPr>
              <w:t>质量管理体系过程有：</w:t>
            </w:r>
          </w:p>
          <w:p>
            <w:pPr>
              <w:rPr>
                <w:bCs/>
              </w:rPr>
            </w:pPr>
            <w:bookmarkStart w:id="10" w:name="_Hlk21459827"/>
            <w:r>
              <w:rPr>
                <w:rFonts w:hint="eastAsia"/>
                <w:bCs/>
              </w:rPr>
              <w:t>客户开发---项目评估---合同签订---进驻项目现场---物业管理</w:t>
            </w:r>
            <w:r>
              <w:rPr>
                <w:rFonts w:hint="eastAsia" w:ascii="宋体" w:hAnsi="宋体"/>
              </w:rPr>
              <w:t>（保安服务、保洁服务、配电、电梯运维等）-----服务检查</w:t>
            </w:r>
            <w:r>
              <w:rPr>
                <w:rFonts w:hint="eastAsia"/>
                <w:bCs/>
              </w:rPr>
              <w:t>---客户满意调查---回访</w:t>
            </w:r>
          </w:p>
          <w:bookmarkEnd w:id="10"/>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物业管理服务过程      </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需要确认过程  物业管理服务过程</w:t>
            </w:r>
          </w:p>
          <w:p>
            <w:pPr>
              <w:tabs>
                <w:tab w:val="left" w:pos="540"/>
              </w:tabs>
              <w:spacing w:line="300" w:lineRule="exact"/>
              <w:ind w:left="201" w:hanging="201" w:hangingChars="100"/>
              <w:rPr>
                <w:rFonts w:ascii="宋体" w:hAnsi="宋体"/>
                <w:b/>
                <w:color w:val="000000" w:themeColor="text1"/>
                <w:sz w:val="20"/>
                <w:szCs w:val="20"/>
              </w:rPr>
            </w:pPr>
            <w:r>
              <w:rPr>
                <w:b/>
                <w:color w:val="000000" w:themeColor="text1"/>
                <w:sz w:val="20"/>
                <w:szCs w:val="20"/>
              </w:rPr>
              <w:pict>
                <v:shape id="_x0000_s1026" o:spid="_x0000_s1026" o:spt="32" type="#_x0000_t32" style="position:absolute;left:0pt;margin-left:157.9pt;margin-top:12.75pt;height:0pt;width:261.75pt;z-index:251673600;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1027" o:spid="_x0000_s1027" o:spt="32" type="#_x0000_t32" style="position:absolute;left:0pt;margin-left:55.15pt;margin-top:12.75pt;height:0pt;width:42pt;z-index:251672576;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8.3     ，不适用理由：   公司的物业管理服务不涉及设计开发                                               </w:t>
            </w:r>
          </w:p>
          <w:p>
            <w:pPr>
              <w:tabs>
                <w:tab w:val="left" w:pos="540"/>
              </w:tabs>
              <w:spacing w:line="300" w:lineRule="exact"/>
              <w:ind w:left="201" w:hanging="201" w:hangingChars="100"/>
              <w:rPr>
                <w:rFonts w:ascii="宋体" w:hAnsi="宋体"/>
                <w:b/>
                <w:color w:val="000000" w:themeColor="text1"/>
                <w:sz w:val="20"/>
                <w:szCs w:val="20"/>
              </w:rPr>
            </w:pPr>
          </w:p>
          <w:p>
            <w:pPr>
              <w:tabs>
                <w:tab w:val="left" w:pos="540"/>
              </w:tabs>
              <w:spacing w:line="300" w:lineRule="exact"/>
              <w:ind w:left="21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94" w:lineRule="exact"/>
              <w:ind w:firstLine="420" w:firstLineChars="200"/>
              <w:rPr>
                <w:szCs w:val="21"/>
              </w:rPr>
            </w:pPr>
            <w:r>
              <w:rPr>
                <w:rFonts w:hint="eastAsia"/>
                <w:szCs w:val="21"/>
              </w:rPr>
              <w:t>编制了</w:t>
            </w:r>
            <w:r>
              <w:rPr>
                <w:szCs w:val="21"/>
              </w:rPr>
              <w:t>《环境因素的识别与评价控制程序》</w:t>
            </w:r>
            <w:r>
              <w:rPr>
                <w:rFonts w:hint="eastAsia"/>
                <w:szCs w:val="21"/>
              </w:rPr>
              <w:t>符合标准要求.</w:t>
            </w:r>
          </w:p>
          <w:p>
            <w:pPr>
              <w:ind w:firstLine="420" w:firstLineChars="200"/>
            </w:pPr>
            <w:r>
              <w:rPr>
                <w:rFonts w:hint="eastAsia"/>
                <w:szCs w:val="21"/>
              </w:rPr>
              <w:t>提供的“环境因素识别评价表”“重要环境因素清单”， 评价考虑了三种时态现在、过去、将来、三种状态、异常、正常、紧急考虑了法律法规，并进行了评价，针对</w:t>
            </w:r>
            <w:r>
              <w:rPr>
                <w:rFonts w:hint="eastAsia" w:ascii="宋体" w:hAnsi="宋体" w:cs="宋体"/>
                <w:kern w:val="0"/>
                <w:szCs w:val="21"/>
              </w:rPr>
              <w:t>服装机械设备及零配件的物业管理</w:t>
            </w:r>
            <w:r>
              <w:rPr>
                <w:rFonts w:hint="eastAsia"/>
                <w:szCs w:val="21"/>
              </w:rPr>
              <w:t>过程，用打分法考虑了法规符合性、发生频次、影响范围等, 通过定性判断法，共识别出重大环境因素</w:t>
            </w:r>
            <w:r>
              <w:rPr>
                <w:szCs w:val="21"/>
              </w:rPr>
              <w:t>2</w:t>
            </w:r>
            <w:r>
              <w:rPr>
                <w:rFonts w:hint="eastAsia"/>
                <w:szCs w:val="21"/>
              </w:rPr>
              <w:t>项：固废排放、火灾，评价符合程序要求及公司的实际情况。</w:t>
            </w:r>
          </w:p>
          <w:p>
            <w:pPr>
              <w:spacing w:line="300" w:lineRule="exact"/>
              <w:rPr>
                <w:b/>
                <w:color w:val="000000" w:themeColor="text1"/>
                <w:sz w:val="20"/>
                <w:szCs w:val="20"/>
              </w:rPr>
            </w:pPr>
            <w:r>
              <w:rPr>
                <w:rFonts w:hint="eastAsia"/>
                <w:szCs w:val="21"/>
              </w:rPr>
              <w:t>根据组织经营性质，识别了各部门和场所的环境因素，并对环境因素进行了评价，评价出了重要环境因素，识别基本齐全无遗漏；评价合理。基本了解评价动态变更的及时性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pPr>
            <w:r>
              <w:rPr>
                <w:rFonts w:hint="eastAsia"/>
              </w:rPr>
              <w:t xml:space="preserve">7. </w:t>
            </w:r>
            <w:r>
              <w:t>OHSMS</w:t>
            </w:r>
            <w:r>
              <w:rPr>
                <w:rFonts w:hint="eastAsia"/>
              </w:rPr>
              <w:t>职业健康安全危险源</w:t>
            </w:r>
          </w:p>
          <w:p>
            <w:pPr>
              <w:spacing w:line="300" w:lineRule="exact"/>
            </w:pPr>
            <w:r>
              <w:rPr>
                <w:rFonts w:hint="eastAsia"/>
              </w:rPr>
              <w:t>（职业健康安全危险源辨识是否充分、风险评价合理性，以及风险评价动态变更的及时性等）</w:t>
            </w:r>
          </w:p>
          <w:p>
            <w:pPr>
              <w:ind w:firstLine="420" w:firstLineChars="200"/>
              <w:rPr>
                <w:szCs w:val="21"/>
              </w:rPr>
            </w:pPr>
            <w:r>
              <w:rPr>
                <w:rFonts w:hint="eastAsia"/>
                <w:szCs w:val="21"/>
              </w:rPr>
              <w:t>编制《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szCs w:val="21"/>
              </w:rPr>
            </w:pPr>
            <w:r>
              <w:rPr>
                <w:rFonts w:hint="eastAsia"/>
                <w:szCs w:val="21"/>
              </w:rPr>
              <w:t>提供的：“危险源识别与风险评价表”“不可接受风险源清单”， 评价考虑了将来、状态、可能导致的事件，并进行了评价，用打分法考虑了法规符合性、发生频次、影响范围等, 通过是非法，共识别出不可接受风险3项，涉及：火灾、触电和意外伤害，评价符合程序要求及公司的实际情况。对危险源的控制措施包括制定管理制度、监督检查、应急预案、培训等。</w:t>
            </w:r>
          </w:p>
          <w:p>
            <w:pPr>
              <w:pStyle w:val="2"/>
            </w:pPr>
            <w:r>
              <w:rPr>
                <w:rFonts w:hint="eastAsia"/>
                <w:bCs w:val="0"/>
                <w:spacing w:val="0"/>
                <w:szCs w:val="21"/>
              </w:rPr>
              <w:t>根据组织经营性质，识别了各部门和场所的危险源，并对危险源进行了评价，评价出不可接受风险，识别基本齐全无遗漏；评价合理。基本了解评价动态变更的及时性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获取法律法规100项，■法律法规获取充分，□法律法规获取有遗漏，缺少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6"/>
              <w:numPr>
                <w:ilvl w:val="0"/>
                <w:numId w:val="3"/>
              </w:numPr>
              <w:tabs>
                <w:tab w:val="left" w:pos="540"/>
              </w:tabs>
              <w:spacing w:line="300" w:lineRule="exact"/>
              <w:ind w:firstLineChars="0"/>
              <w:rPr>
                <w:rFonts w:ascii="宋体" w:hAnsi="宋体"/>
                <w:szCs w:val="21"/>
              </w:rPr>
            </w:pPr>
            <w:r>
              <w:rPr>
                <w:rFonts w:hint="eastAsia" w:ascii="宋体" w:hAnsi="宋体"/>
                <w:b/>
                <w:color w:val="000000" w:themeColor="text1"/>
                <w:szCs w:val="21"/>
              </w:rPr>
              <w:t>法律法规的宣传方式：</w:t>
            </w:r>
            <w:r>
              <w:rPr>
                <w:rFonts w:hint="eastAsia" w:ascii="宋体" w:hAnsi="宋体"/>
                <w:szCs w:val="21"/>
              </w:rPr>
              <w:t>进行发放纸质文件、电子文件的形式</w:t>
            </w:r>
          </w:p>
          <w:p>
            <w:pPr>
              <w:pStyle w:val="16"/>
              <w:numPr>
                <w:ilvl w:val="0"/>
                <w:numId w:val="3"/>
              </w:numPr>
              <w:tabs>
                <w:tab w:val="left" w:pos="540"/>
              </w:tabs>
              <w:spacing w:line="300" w:lineRule="exact"/>
              <w:ind w:firstLineChars="0"/>
              <w:rPr>
                <w:rFonts w:ascii="宋体" w:hAnsi="宋体"/>
                <w:b/>
                <w:szCs w:val="21"/>
              </w:rPr>
            </w:pPr>
            <w:r>
              <w:rPr>
                <w:rFonts w:hint="eastAsia" w:ascii="宋体" w:hAnsi="宋体"/>
                <w:b/>
                <w:color w:val="000000" w:themeColor="text1"/>
                <w:szCs w:val="21"/>
              </w:rPr>
              <w:t>法律法规要求及时更新了</w:t>
            </w:r>
            <w:r>
              <w:rPr>
                <w:rFonts w:hint="eastAsia" w:ascii="宋体" w:hAnsi="宋体"/>
                <w:szCs w:val="21"/>
              </w:rPr>
              <w:t>每年一次</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pStyle w:val="2"/>
            </w:pPr>
          </w:p>
          <w:p>
            <w:pPr>
              <w:spacing w:line="240" w:lineRule="exact"/>
              <w:ind w:firstLine="420" w:firstLineChars="200"/>
              <w:rPr>
                <w:rFonts w:ascii="宋体" w:hAnsi="宋体"/>
                <w:b/>
                <w:color w:val="000000" w:themeColor="text1"/>
              </w:rPr>
            </w:pPr>
            <w:r>
              <w:rPr>
                <w:rFonts w:hint="eastAsia"/>
                <w:bCs/>
                <w:szCs w:val="21"/>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pPr>
            <w:r>
              <w:rPr>
                <w:rFonts w:hint="eastAsia"/>
              </w:rPr>
              <w:t>6. 文件与记录控制 (文审修订后文件与标准的符合程度评价、文件控制管理等)</w:t>
            </w:r>
          </w:p>
          <w:p>
            <w:pPr>
              <w:tabs>
                <w:tab w:val="left" w:pos="540"/>
              </w:tabs>
              <w:spacing w:line="240" w:lineRule="exact"/>
            </w:pPr>
          </w:p>
          <w:p>
            <w:pPr>
              <w:pStyle w:val="2"/>
            </w:pPr>
            <w:r>
              <w:rPr>
                <w:rFonts w:hint="eastAsia"/>
                <w:szCs w:val="21"/>
              </w:rPr>
              <w:t>文审修订后文件符合标准要求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rFonts w:ascii="宋体" w:hAnsi="宋体"/>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pStyle w:val="2"/>
            </w:pPr>
          </w:p>
          <w:p>
            <w:pPr>
              <w:spacing w:line="300" w:lineRule="exact"/>
              <w:rPr>
                <w:rFonts w:ascii="宋体" w:hAnsi="宋体"/>
                <w:b/>
                <w:color w:val="000000" w:themeColor="text1"/>
                <w:sz w:val="20"/>
                <w:szCs w:val="20"/>
              </w:rPr>
            </w:pPr>
            <w:r>
              <w:rPr>
                <w:rFonts w:hint="eastAsia"/>
                <w:bCs/>
                <w:szCs w:val="21"/>
              </w:rPr>
              <w:t>该公司员工共275人，管理人20人。有专业的物业管理人员，能满足</w:t>
            </w:r>
            <w:r>
              <w:rPr>
                <w:rFonts w:hint="eastAsia" w:ascii="宋体" w:hAnsi="宋体" w:cs="宋体"/>
                <w:kern w:val="0"/>
                <w:szCs w:val="21"/>
              </w:rPr>
              <w:t>物业管理</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rPr>
                <w:rStyle w:val="17"/>
                <w:rFonts w:ascii="Arial" w:hAnsi="Arial" w:cs="Arial"/>
                <w:color w:val="333333"/>
                <w:shd w:val="clear" w:color="auto" w:fill="FFFFFF"/>
              </w:rPr>
            </w:pPr>
            <w:r>
              <w:rPr>
                <w:rStyle w:val="17"/>
                <w:rFonts w:hint="eastAsia" w:ascii="Arial" w:hAnsi="Arial" w:cs="Arial"/>
                <w:color w:val="333333"/>
                <w:shd w:val="clear" w:color="auto" w:fill="FFFFFF"/>
              </w:rPr>
              <w:t>物业管理设备：无绳电话、拖把、抹布、扫帚、手电办公设备：电脑、电话、打印机等</w:t>
            </w:r>
          </w:p>
          <w:p>
            <w:pPr>
              <w:pStyle w:val="2"/>
              <w:rPr>
                <w:rStyle w:val="17"/>
                <w:rFonts w:ascii="Arial" w:hAnsi="Arial" w:cs="Arial"/>
                <w:bCs w:val="0"/>
                <w:color w:val="333333"/>
                <w:spacing w:val="0"/>
                <w:shd w:val="clear" w:color="auto" w:fill="FFFFFF"/>
              </w:rPr>
            </w:pPr>
            <w:r>
              <w:rPr>
                <w:rStyle w:val="17"/>
                <w:rFonts w:hint="eastAsia" w:ascii="Arial" w:hAnsi="Arial" w:cs="Arial"/>
                <w:bCs w:val="0"/>
                <w:color w:val="333333"/>
                <w:spacing w:val="0"/>
                <w:shd w:val="clear" w:color="auto" w:fill="FFFFFF"/>
              </w:rPr>
              <w:t>环保设备：垃圾桶、灭火器</w:t>
            </w:r>
          </w:p>
          <w:p>
            <w:pPr>
              <w:pStyle w:val="2"/>
              <w:rPr>
                <w:rStyle w:val="17"/>
                <w:rFonts w:ascii="Arial" w:hAnsi="Arial" w:cs="Arial"/>
                <w:bCs w:val="0"/>
                <w:color w:val="333333"/>
                <w:spacing w:val="0"/>
                <w:shd w:val="clear" w:color="auto" w:fill="FFFFFF"/>
              </w:rPr>
            </w:pPr>
            <w:r>
              <w:rPr>
                <w:rStyle w:val="17"/>
                <w:rFonts w:hint="eastAsia" w:ascii="Arial" w:hAnsi="Arial" w:cs="Arial"/>
                <w:bCs w:val="0"/>
                <w:color w:val="333333"/>
                <w:spacing w:val="0"/>
                <w:shd w:val="clear" w:color="auto" w:fill="FFFFFF"/>
              </w:rPr>
              <w:t>消防设施：消防栓、灭火器、应急灯等</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r>
              <w:rPr>
                <w:rFonts w:hint="eastAsia"/>
              </w:rPr>
              <w:t>现场观察办公区域环境卫生管理，工作场所布局合理，温湿度适宜，照明良好，满足办公需求。</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rPr>
                <w:rFonts w:hint="default" w:ascii="Arial" w:hAnsi="Arial" w:eastAsia="宋体" w:cs="Arial"/>
                <w:color w:val="333333"/>
                <w:shd w:val="clear" w:color="auto" w:fill="FFFFFF"/>
                <w:lang w:val="en-US" w:eastAsia="zh-CN"/>
              </w:rPr>
            </w:pPr>
            <w:r>
              <w:rPr>
                <w:rStyle w:val="17"/>
                <w:rFonts w:hint="eastAsia" w:ascii="Arial" w:hAnsi="Arial" w:cs="Arial"/>
                <w:color w:val="333333"/>
                <w:shd w:val="clear" w:color="auto" w:fill="FFFFFF"/>
                <w:lang w:val="en-US" w:eastAsia="zh-CN"/>
              </w:rPr>
              <w:t>监视资源有万用表、压力表，均提供有检验报告，报告在有效期内，见附件</w:t>
            </w:r>
          </w:p>
          <w:p>
            <w:pPr>
              <w:spacing w:line="240" w:lineRule="exact"/>
              <w:rPr>
                <w:rFonts w:ascii="宋体" w:hAnsi="宋体"/>
                <w:b/>
                <w:color w:val="000000" w:themeColor="text1"/>
                <w:sz w:val="20"/>
                <w:szCs w:val="20"/>
              </w:rPr>
            </w:pPr>
            <w:r>
              <w:rPr>
                <w:rFonts w:hint="eastAsia"/>
                <w:lang w:val="en-US" w:eastAsia="zh-CN"/>
              </w:rPr>
              <w:t>同时</w:t>
            </w:r>
            <w:r>
              <w:rPr>
                <w:rFonts w:hint="eastAsia"/>
              </w:rPr>
              <w:t>编制有</w:t>
            </w:r>
            <w:r>
              <w:rPr>
                <w:rFonts w:hint="eastAsia"/>
                <w:lang w:val="en-US" w:eastAsia="zh-CN"/>
              </w:rPr>
              <w:t>物业管理</w:t>
            </w:r>
            <w:r>
              <w:rPr>
                <w:rFonts w:hint="eastAsia"/>
              </w:rPr>
              <w:t>服务检查记录，能不定期对服务进行检查。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r>
              <w:rPr>
                <w:rFonts w:hint="eastAsia"/>
              </w:rPr>
              <w:t>公司确定运行过程所需的知识，内部来源包括公司运作准则（管理制度、工作记录等）等。外部来源包括外来资料如认证标准、法律法规、市场信息等。</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000000" w:themeColor="text1"/>
                <w:sz w:val="20"/>
                <w:szCs w:val="20"/>
              </w:rPr>
            </w:pPr>
            <w:r>
              <w:rPr>
                <w:rFonts w:hint="eastAsia"/>
              </w:rPr>
              <w:t>配备有消防栓、灭火器等环保设施。</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b/>
                <w:bCs/>
              </w:rPr>
            </w:pPr>
            <w:r>
              <w:rPr>
                <w:rFonts w:hint="eastAsia"/>
                <w:b/>
                <w:bCs/>
              </w:rPr>
              <w:t>职业健康安全设施：</w:t>
            </w:r>
          </w:p>
          <w:p>
            <w:pPr>
              <w:spacing w:line="240" w:lineRule="exact"/>
            </w:pPr>
            <w:r>
              <w:rPr>
                <w:rFonts w:hint="eastAsia"/>
              </w:rPr>
              <w:t>配备有灭火器等环保设施。</w:t>
            </w:r>
          </w:p>
          <w:p>
            <w:pPr>
              <w:pStyle w:val="2"/>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bCs/>
              </w:rPr>
            </w:pPr>
            <w:r>
              <w:rPr>
                <w:rFonts w:hint="eastAsia"/>
                <w:b/>
                <w:bCs/>
              </w:rPr>
              <w:t>1. 针对方针的管理职责评审</w:t>
            </w:r>
          </w:p>
          <w:p>
            <w:pPr>
              <w:spacing w:line="300" w:lineRule="exact"/>
              <w:ind w:left="1"/>
              <w:rPr>
                <w:b/>
                <w:bCs/>
              </w:rPr>
            </w:pPr>
            <w:r>
              <w:rPr>
                <w:rFonts w:hint="eastAsia"/>
                <w:b/>
                <w:bCs/>
              </w:rPr>
              <w:t>（包括针对组织宗旨，制定相关管理方针政策、确保方针为员工理解并在运营中实施，监视方针的实施并评审方针的适宜性）</w:t>
            </w:r>
          </w:p>
          <w:p>
            <w:pPr>
              <w:pStyle w:val="2"/>
              <w:rPr>
                <w:b/>
                <w:color w:val="000000" w:themeColor="text1"/>
                <w:sz w:val="20"/>
                <w:szCs w:val="20"/>
              </w:rPr>
            </w:pPr>
          </w:p>
          <w:p>
            <w:pPr>
              <w:spacing w:line="300" w:lineRule="exact"/>
              <w:ind w:left="1"/>
              <w:rPr>
                <w:b/>
                <w:color w:val="000000" w:themeColor="text1"/>
                <w:sz w:val="20"/>
                <w:szCs w:val="20"/>
              </w:rPr>
            </w:pPr>
            <w:r>
              <w:rPr>
                <w:rFonts w:hint="eastAsia"/>
                <w:bCs/>
                <w:szCs w:val="21"/>
              </w:rPr>
              <w:t>制定的方针符合组织宗旨，对方针进行宣传和传达学习，可以确保方针为员工理解。在管理评审中对方针进行了评价，目前基本适宜。</w:t>
            </w:r>
          </w:p>
          <w:p>
            <w:pPr>
              <w:pStyle w:val="2"/>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bCs/>
                <w:szCs w:val="21"/>
              </w:rPr>
            </w:pPr>
            <w:r>
              <w:rPr>
                <w:rFonts w:hint="eastAsia" w:ascii="楷体_GB2312" w:eastAsia="楷体_GB2312"/>
                <w:b/>
                <w:szCs w:val="21"/>
              </w:rPr>
              <w:t>组织对外联络，关注顾客的感受情况（QMS）：</w:t>
            </w:r>
            <w:r>
              <w:rPr>
                <w:rFonts w:hint="eastAsia"/>
                <w:bCs/>
                <w:szCs w:val="21"/>
              </w:rPr>
              <w:t>顾客满意度调查表的发放、电话回访、到顾客现场进行询问、相关方告知书等形式</w:t>
            </w:r>
          </w:p>
          <w:p>
            <w:pPr>
              <w:spacing w:line="240" w:lineRule="exact"/>
              <w:rPr>
                <w:bCs/>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外部信息的接收、成文并答复的情况（E、S填写）：</w:t>
            </w:r>
            <w:r>
              <w:rPr>
                <w:rFonts w:hint="eastAsia"/>
                <w:bCs/>
                <w:szCs w:val="21"/>
              </w:rPr>
              <w:t>进行接收、答复，但未进行记录</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重要环境因素信息对外交流情况（EMS填写）：</w:t>
            </w:r>
            <w:r>
              <w:rPr>
                <w:rFonts w:hint="eastAsia"/>
                <w:bCs/>
                <w:szCs w:val="21"/>
              </w:rPr>
              <w:t>对相关方进行了书面告知，见到相关方告知书。内容符合标准要求</w:t>
            </w:r>
          </w:p>
          <w:p>
            <w:pPr>
              <w:spacing w:line="240" w:lineRule="exact"/>
              <w:rPr>
                <w:rFonts w:ascii="楷体_GB2312" w:eastAsia="楷体_GB2312"/>
                <w:b/>
                <w:szCs w:val="21"/>
              </w:rPr>
            </w:pPr>
          </w:p>
          <w:p>
            <w:pPr>
              <w:spacing w:line="240" w:lineRule="exact"/>
              <w:rPr>
                <w:bCs/>
                <w:szCs w:val="21"/>
              </w:rPr>
            </w:pPr>
            <w:r>
              <w:rPr>
                <w:rFonts w:hint="eastAsia" w:ascii="楷体_GB2312" w:eastAsia="楷体_GB2312"/>
                <w:b/>
                <w:szCs w:val="21"/>
              </w:rPr>
              <w:t>OHSMS事务代表协商和交流的情况（OHSMS填写）：</w:t>
            </w:r>
            <w:r>
              <w:rPr>
                <w:rFonts w:hint="eastAsia"/>
                <w:bCs/>
                <w:szCs w:val="21"/>
              </w:rPr>
              <w:t>，参与了体系文件的制定，每年召开一次员工代表会议。但未保留记录</w:t>
            </w:r>
          </w:p>
          <w:p>
            <w:pPr>
              <w:spacing w:line="240" w:lineRule="exact"/>
              <w:rPr>
                <w:rFonts w:ascii="楷体_GB2312" w:eastAsia="楷体_GB2312"/>
                <w:b/>
                <w:szCs w:val="21"/>
              </w:rPr>
            </w:pPr>
          </w:p>
          <w:p>
            <w:pPr>
              <w:spacing w:line="240" w:lineRule="exact"/>
              <w:rPr>
                <w:rFonts w:ascii="楷体_GB2312" w:eastAsia="楷体_GB2312"/>
                <w:b/>
                <w:color w:val="000000" w:themeColor="text1"/>
                <w:szCs w:val="21"/>
              </w:rPr>
            </w:pPr>
            <w:r>
              <w:rPr>
                <w:rFonts w:hint="eastAsia" w:ascii="楷体_GB2312" w:eastAsia="楷体_GB2312"/>
                <w:b/>
                <w:szCs w:val="21"/>
              </w:rPr>
              <w:t>与相关方协商的情况（OHSMS填写）：</w:t>
            </w:r>
            <w:r>
              <w:rPr>
                <w:rFonts w:hint="eastAsia"/>
                <w:bCs/>
                <w:szCs w:val="21"/>
              </w:rPr>
              <w:t>对相关方进行了书面告知，见到相关方告知书。内容符合标准要求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r>
              <w:rPr>
                <w:rFonts w:hint="eastAsia"/>
              </w:rPr>
              <w:t xml:space="preserve">提供《物业管理服务过程确认记录表》，确认内容包括：服务方法和程序、设备工具的认可、人员资格的鉴定、记录要求等。评审结论：根据公司实际情况，物业管理实现过程按照公司质量控制管理制度进行，过程所用基础设施均处在完好状态，从业人员经过培训，胜任本职工作，可以提供满足顾客要求、法律法规要求的服务。 </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b/>
                <w:color w:val="000000" w:themeColor="text1"/>
                <w:sz w:val="20"/>
                <w:szCs w:val="20"/>
              </w:rPr>
            </w:pPr>
          </w:p>
          <w:p>
            <w:pPr>
              <w:spacing w:line="300" w:lineRule="exact"/>
              <w:rPr>
                <w:b/>
                <w:color w:val="000000" w:themeColor="text1"/>
                <w:sz w:val="20"/>
                <w:szCs w:val="20"/>
              </w:rPr>
            </w:pPr>
          </w:p>
          <w:p>
            <w:pPr>
              <w:spacing w:line="240" w:lineRule="exact"/>
              <w:rPr>
                <w:bCs/>
                <w:szCs w:val="21"/>
              </w:rPr>
            </w:pPr>
            <w:r>
              <w:rPr>
                <w:rFonts w:hint="eastAsia"/>
                <w:bCs/>
                <w:szCs w:val="21"/>
              </w:rPr>
              <w:t>按照顾客和合同要求进行服务，能够稳定的向顾客提供合格的物业管理产品及服务。</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01" w:firstLineChars="100"/>
              <w:rPr>
                <w:rFonts w:hint="default" w:eastAsia="宋体"/>
                <w:b/>
                <w:color w:val="000000" w:themeColor="text1"/>
                <w:sz w:val="20"/>
                <w:szCs w:val="20"/>
                <w:lang w:val="en-US" w:eastAsia="zh-CN"/>
              </w:rPr>
            </w:pPr>
            <w:r>
              <w:rPr>
                <w:rFonts w:hint="eastAsia"/>
                <w:b/>
                <w:color w:val="000000" w:themeColor="text1"/>
                <w:sz w:val="20"/>
                <w:szCs w:val="20"/>
              </w:rPr>
              <w:t xml:space="preserve"> 压力表  </w:t>
            </w:r>
            <w:r>
              <w:rPr>
                <w:rFonts w:hint="eastAsia"/>
                <w:b/>
                <w:color w:val="000000" w:themeColor="text1"/>
                <w:sz w:val="20"/>
                <w:szCs w:val="20"/>
                <w:lang w:val="en-US" w:eastAsia="zh-CN"/>
              </w:rPr>
              <w:t>万用表</w:t>
            </w:r>
            <w:r>
              <w:rPr>
                <w:rFonts w:hint="eastAsia"/>
                <w:b/>
                <w:color w:val="000000" w:themeColor="text1"/>
                <w:sz w:val="20"/>
                <w:szCs w:val="20"/>
              </w:rPr>
              <w:t>（见附件）</w:t>
            </w:r>
            <w:r>
              <w:rPr>
                <w:rFonts w:hint="eastAsia"/>
                <w:b/>
                <w:color w:val="000000" w:themeColor="text1"/>
                <w:sz w:val="20"/>
                <w:szCs w:val="20"/>
                <w:lang w:val="en-US" w:eastAsia="zh-CN"/>
              </w:rPr>
              <w:t xml:space="preserve">  </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pPr>
            <w:r>
              <w:rPr>
                <w:rFonts w:hint="eastAsia"/>
              </w:rPr>
              <w:t>6. 不合格品/项的识别、控制;</w:t>
            </w:r>
          </w:p>
          <w:p>
            <w:pPr>
              <w:spacing w:line="240" w:lineRule="exact"/>
            </w:pPr>
          </w:p>
          <w:p>
            <w:pPr>
              <w:pStyle w:val="2"/>
            </w:pPr>
            <w:r>
              <w:rPr>
                <w:rFonts w:hint="eastAsia"/>
                <w:szCs w:val="21"/>
              </w:rPr>
              <w:t>能对发现的不合格及时进行纠正和控制。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对重要环境因素（火灾、固体废弃物的排放）进行了识别和控制。目前公司重大环境因素对周边环境影响不大，可得到有效控制。对相关方进行了必要告知。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对不可接受风险（火灾</w:t>
            </w:r>
            <w:r>
              <w:rPr>
                <w:rFonts w:hint="eastAsia"/>
                <w:bCs/>
                <w:szCs w:val="21"/>
                <w:lang w:eastAsia="zh-CN"/>
              </w:rPr>
              <w:t>、</w:t>
            </w:r>
            <w:r>
              <w:rPr>
                <w:rFonts w:hint="eastAsia"/>
                <w:bCs/>
                <w:szCs w:val="21"/>
                <w:lang w:val="en-US" w:eastAsia="zh-CN"/>
              </w:rPr>
              <w:t>触电、意外伤害、高处坠落</w:t>
            </w:r>
            <w:bookmarkStart w:id="11" w:name="_GoBack"/>
            <w:bookmarkEnd w:id="11"/>
            <w:r>
              <w:rPr>
                <w:rFonts w:hint="eastAsia"/>
                <w:bCs/>
                <w:szCs w:val="21"/>
              </w:rPr>
              <w:t>）进行了识别和控制。目前公司不可接受风险对公司及周边环境影响不大，可得到有效控制。对相关方进行了必要告知。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p>
          <w:p>
            <w:pPr>
              <w:spacing w:line="240" w:lineRule="exact"/>
              <w:rPr>
                <w:b/>
                <w:color w:val="000000" w:themeColor="text1"/>
                <w:spacing w:val="-4"/>
                <w:sz w:val="20"/>
                <w:szCs w:val="20"/>
              </w:rPr>
            </w:pPr>
            <w:r>
              <w:rPr>
                <w:rFonts w:hint="eastAsia"/>
                <w:bCs/>
                <w:szCs w:val="21"/>
              </w:rPr>
              <w:t>对火灾等制定了应急预案，并按要求进行了演练和评审，对演练效果进行了评价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电梯检验报告（见附件）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bCs/>
              </w:rPr>
            </w:pPr>
            <w:r>
              <w:rPr>
                <w:rFonts w:hint="eastAsia"/>
                <w:b/>
                <w:bCs/>
              </w:rPr>
              <w:t>11 .对危险化学品物业管理、使用、储存、运输处置，规定的执行力度(必要时); （适用时）</w:t>
            </w:r>
          </w:p>
          <w:p>
            <w:pPr>
              <w:pStyle w:val="2"/>
              <w:rPr>
                <w:b/>
                <w:sz w:val="20"/>
                <w:szCs w:val="20"/>
              </w:rPr>
            </w:pPr>
          </w:p>
          <w:p>
            <w:pPr>
              <w:pStyle w:val="2"/>
              <w:rPr>
                <w:b/>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b/>
                <w:color w:val="000000" w:themeColor="text1"/>
                <w:sz w:val="20"/>
                <w:szCs w:val="20"/>
              </w:rPr>
            </w:pPr>
          </w:p>
          <w:p>
            <w:pPr>
              <w:spacing w:line="240" w:lineRule="exact"/>
              <w:ind w:firstLine="105" w:firstLineChars="50"/>
              <w:rPr>
                <w:bCs/>
                <w:szCs w:val="21"/>
              </w:rPr>
            </w:pPr>
            <w:r>
              <w:rPr>
                <w:rFonts w:hint="eastAsia"/>
                <w:bCs/>
                <w:szCs w:val="21"/>
              </w:rPr>
              <w:t>对质量/环境/安全目标指标进行了考核，各部门基本可以完成质量/环境/安全目标要求。目标具备可测量性</w:t>
            </w:r>
          </w:p>
          <w:p>
            <w:pPr>
              <w:spacing w:line="240" w:lineRule="exact"/>
              <w:ind w:firstLine="100" w:firstLineChars="50"/>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0" w:hanging="100" w:hangingChars="50"/>
              <w:rPr>
                <w:b/>
                <w:color w:val="000000" w:themeColor="text1"/>
                <w:sz w:val="20"/>
                <w:szCs w:val="20"/>
              </w:rPr>
            </w:pPr>
          </w:p>
          <w:p>
            <w:pPr>
              <w:spacing w:line="240" w:lineRule="exact"/>
              <w:ind w:left="105" w:hanging="105" w:hangingChars="50"/>
              <w:rPr>
                <w:b/>
                <w:color w:val="000000" w:themeColor="text1"/>
                <w:sz w:val="20"/>
                <w:szCs w:val="20"/>
              </w:rPr>
            </w:pPr>
            <w:r>
              <w:rPr>
                <w:rFonts w:hint="eastAsia"/>
                <w:bCs/>
                <w:szCs w:val="21"/>
              </w:rPr>
              <w:t>对顾客进行满意度调查，并进行了分析。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b/>
                <w:color w:val="000000" w:themeColor="text1"/>
                <w:spacing w:val="-8"/>
                <w:sz w:val="20"/>
                <w:szCs w:val="20"/>
              </w:rPr>
            </w:pPr>
          </w:p>
          <w:p>
            <w:pPr>
              <w:spacing w:line="240" w:lineRule="exact"/>
              <w:rPr>
                <w:b/>
                <w:color w:val="000000" w:themeColor="text1"/>
                <w:sz w:val="20"/>
                <w:szCs w:val="20"/>
              </w:rPr>
            </w:pPr>
            <w:r>
              <w:rPr>
                <w:rFonts w:hint="eastAsia"/>
                <w:bCs/>
                <w:szCs w:val="21"/>
              </w:rPr>
              <w:t>本年度内审已按计划实施，内审策划审核方案中考虑了拟审核的过程和区域的状况和重要性，内审结论：体系运行有效。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本年度管理评审已按计划实施，管理评审考虑了体系变更需求，制定了纠正或预防措施，体系运行基本有效。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对发现的不合格产品和服务进行了分析、制定了纠正措施，进行了整改，对整改效果进行了追踪验证，结论合格，对不合格品可以进行有效控制。对内审中发现的不合格已制定纠正措施。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p>
          <w:p>
            <w:pPr>
              <w:spacing w:line="240" w:lineRule="exact"/>
              <w:rPr>
                <w:b/>
                <w:color w:val="000000" w:themeColor="text1"/>
                <w:spacing w:val="-20"/>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体系运行至今无创新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1028"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rPr>
        <w:t>严重不符合项，一般不符合</w:t>
      </w:r>
      <w:r>
        <w:rPr>
          <w:rFonts w:hint="eastAsia"/>
          <w:b/>
          <w:color w:val="FF0000"/>
        </w:rPr>
        <w:t>5</w:t>
      </w:r>
      <w:r>
        <w:rPr>
          <w:rFonts w:hint="eastAsia"/>
          <w:b/>
          <w:color w:val="000000" w:themeColor="text1"/>
        </w:rPr>
        <w:t>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ascii="宋体" w:hAnsi="宋体" w:cs="宋体"/>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ascii="宋体" w:hAnsi="宋体" w:cs="宋体"/>
          <w:b/>
          <w:color w:val="000000" w:themeColor="text1"/>
          <w:spacing w:val="-10"/>
          <w:szCs w:val="21"/>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2" w:hRule="atLeast"/>
        </w:trPr>
        <w:tc>
          <w:tcPr>
            <w:tcW w:w="10080" w:type="dxa"/>
          </w:tcPr>
          <w:p>
            <w:pPr>
              <w:spacing w:line="280" w:lineRule="exact"/>
            </w:pPr>
            <w:r>
              <w:rPr>
                <w:rFonts w:hint="eastAsia"/>
              </w:rPr>
              <w:t>1. ■QMS     ■EMS ■OHSMS的适宜性、充分性、运行有效性，自我完善机制等。管理体系满足适用要求和实现预期结果的能力。</w:t>
            </w:r>
          </w:p>
          <w:p>
            <w:pPr>
              <w:spacing w:line="280" w:lineRule="exact"/>
              <w:ind w:left="210" w:hanging="210" w:hangingChars="100"/>
            </w:pPr>
            <w:r>
              <w:rPr>
                <w:rFonts w:hint="eastAsia"/>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pPr>
            <w:r>
              <w:rPr>
                <w:rFonts w:hint="eastAsia"/>
              </w:rPr>
              <w:t>■QMS  ■EMS  ■OHSMS持续的符合性及运行的有效性，以及与认证范围的持续相关性和适宜性及自我完善机制等。</w:t>
            </w:r>
          </w:p>
          <w:p>
            <w:pPr>
              <w:spacing w:line="240" w:lineRule="exact"/>
            </w:pPr>
          </w:p>
          <w:p>
            <w:pPr>
              <w:spacing w:line="240" w:lineRule="exact"/>
            </w:pPr>
          </w:p>
          <w:p>
            <w:pPr>
              <w:spacing w:line="240" w:lineRule="exact"/>
            </w:pPr>
            <w:r>
              <w:rPr>
                <w:rFonts w:hint="eastAsia"/>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p>
            <w:pPr>
              <w:spacing w:line="240" w:lineRule="exact"/>
            </w:pPr>
          </w:p>
          <w:p>
            <w:pPr>
              <w:pStyle w:val="2"/>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ascii="宋体" w:hAnsi="宋体" w:cs="宋体"/>
                <w:b/>
                <w:color w:val="000000" w:themeColor="text1"/>
                <w:spacing w:val="-10"/>
                <w:szCs w:val="21"/>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r>
              <w:rPr>
                <w:rFonts w:hint="eastAsia" w:ascii="宋体" w:hAnsi="宋体"/>
                <w:b/>
                <w:color w:val="000000" w:themeColor="text1"/>
              </w:rPr>
              <w:t xml:space="preserve"> </w:t>
            </w:r>
            <w:r>
              <w:rPr>
                <w:rFonts w:hint="eastAsia" w:ascii="宋体" w:hAnsi="宋体"/>
                <w:b/>
                <w:color w:val="000000" w:themeColor="text1"/>
                <w:u w:val="single"/>
              </w:rPr>
              <w:t xml:space="preserve">                                                                    </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ascii="宋体" w:hAnsi="宋体" w:cs="宋体"/>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ascii="宋体" w:hAnsi="宋体" w:cs="宋体"/>
                <w:b/>
                <w:color w:val="000000" w:themeColor="text1"/>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ascii="宋体" w:hAnsi="宋体" w:cs="宋体"/>
                <w:b/>
                <w:color w:val="000000" w:themeColor="text1"/>
                <w:spacing w:val="-10"/>
                <w:szCs w:val="21"/>
              </w:rPr>
              <w:t>█</w:t>
            </w:r>
            <w:r>
              <w:rPr>
                <w:rFonts w:hint="eastAsia"/>
                <w:b/>
                <w:color w:val="000000" w:themeColor="text1"/>
                <w:szCs w:val="21"/>
              </w:rPr>
              <w:t xml:space="preserve">EMS   </w:t>
            </w:r>
            <w:r>
              <w:rPr>
                <w:rFonts w:hint="eastAsia" w:ascii="宋体" w:hAnsi="宋体" w:cs="宋体"/>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16"/>
          <w:szCs w:val="1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rPr>
      </w:pPr>
      <w:r>
        <w:rPr>
          <w:rFonts w:hint="eastAsia"/>
          <w:b/>
          <w:color w:val="000000" w:themeColor="text1"/>
          <w:sz w:val="26"/>
          <w:szCs w:val="26"/>
        </w:rPr>
        <w:t>审核组组长（签名）：</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 xml:space="preserve">日期    2020 </w:t>
      </w:r>
      <w:r>
        <w:rPr>
          <w:rFonts w:hint="eastAsia" w:asciiTheme="minorEastAsia" w:hAnsiTheme="minorEastAsia" w:eastAsiaTheme="minorEastAsia"/>
          <w:b/>
          <w:color w:val="000000" w:themeColor="text1"/>
        </w:rPr>
        <w:t>年 1月 20日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Chars="-202" w:hanging="424" w:hangingChars="201"/>
        <w:rPr>
          <w:b/>
          <w:color w:val="000000" w:themeColor="text1"/>
          <w:sz w:val="26"/>
          <w:szCs w:val="26"/>
        </w:rPr>
      </w:pPr>
      <w:r>
        <w:rPr>
          <w:rFonts w:hint="eastAsia"/>
          <w:b/>
          <w:bCs/>
          <w:color w:val="000000" w:themeColor="text1"/>
          <w:szCs w:val="21"/>
        </w:rPr>
        <w:t>1.  审核中发现的</w:t>
      </w:r>
      <w:r>
        <w:rPr>
          <w:rFonts w:hint="eastAsia" w:ascii="宋体" w:hAnsi="宋体"/>
          <w:b/>
          <w:color w:val="000000" w:themeColor="text1"/>
          <w:spacing w:val="-10"/>
          <w:szCs w:val="21"/>
        </w:rPr>
        <w:t>□</w:t>
      </w:r>
      <w:r>
        <w:rPr>
          <w:rFonts w:hint="eastAsia"/>
          <w:b/>
          <w:color w:val="000000" w:themeColor="text1"/>
          <w:szCs w:val="21"/>
        </w:rPr>
        <w:t>QMS(</w:t>
      </w:r>
      <w:r>
        <w:rPr>
          <w:b/>
          <w:color w:val="000000" w:themeColor="text1"/>
          <w:szCs w:val="21"/>
        </w:rPr>
        <w:t xml:space="preserve">  </w:t>
      </w:r>
      <w:r>
        <w:rPr>
          <w:rFonts w:hint="eastAsia"/>
          <w:b/>
          <w:color w:val="000000" w:themeColor="text1"/>
          <w:szCs w:val="21"/>
        </w:rPr>
        <w:t>)个一般不符合，(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ascii="宋体" w:hAnsi="宋体" w:cs="宋体"/>
          <w:b/>
          <w:color w:val="000000" w:themeColor="text1"/>
          <w:spacing w:val="-10"/>
          <w:szCs w:val="21"/>
        </w:rPr>
        <w:t>█</w:t>
      </w:r>
      <w:r>
        <w:rPr>
          <w:rFonts w:hint="eastAsia"/>
          <w:b/>
          <w:color w:val="000000" w:themeColor="text1"/>
          <w:szCs w:val="21"/>
        </w:rPr>
        <w:t xml:space="preserve">EMS( </w:t>
      </w:r>
      <w:r>
        <w:rPr>
          <w:b/>
          <w:color w:val="000000" w:themeColor="text1"/>
          <w:szCs w:val="21"/>
        </w:rPr>
        <w:t xml:space="preserve">1 </w:t>
      </w:r>
      <w:r>
        <w:rPr>
          <w:rFonts w:hint="eastAsia"/>
          <w:b/>
          <w:color w:val="000000" w:themeColor="text1"/>
          <w:szCs w:val="21"/>
        </w:rPr>
        <w:t xml:space="preserve"> )个一般不符合，(  )个严重不符合，</w:t>
      </w:r>
      <w:r>
        <w:rPr>
          <w:rFonts w:hint="eastAsia" w:ascii="宋体" w:hAnsi="宋体" w:cs="宋体"/>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ascii="宋体" w:hAnsi="宋体" w:cs="宋体"/>
          <w:b/>
          <w:bCs/>
          <w:color w:val="000000" w:themeColor="text1"/>
          <w:szCs w:val="21"/>
        </w:rPr>
        <w:t>█</w:t>
      </w:r>
      <w:r>
        <w:rPr>
          <w:rFonts w:hint="eastAsia"/>
          <w:b/>
          <w:color w:val="000000" w:themeColor="text1"/>
          <w:szCs w:val="21"/>
        </w:rPr>
        <w:t xml:space="preserve">OHSMS(  </w:t>
      </w:r>
      <w:r>
        <w:rPr>
          <w:b/>
          <w:color w:val="000000" w:themeColor="text1"/>
          <w:szCs w:val="21"/>
        </w:rPr>
        <w:t>1</w:t>
      </w:r>
      <w:r>
        <w:rPr>
          <w:rFonts w:hint="eastAsia"/>
          <w:b/>
          <w:color w:val="000000" w:themeColor="text1"/>
          <w:szCs w:val="21"/>
        </w:rPr>
        <w:t>)个一般不符合，(  )个严重不符合，</w:t>
      </w:r>
      <w:r>
        <w:rPr>
          <w:rFonts w:hint="eastAsia" w:ascii="宋体" w:hAnsi="宋体" w:cs="宋体"/>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ascii="宋体" w:hAnsi="宋体" w:cs="宋体"/>
          <w:b/>
          <w:color w:val="000000" w:themeColor="text1"/>
          <w:spacing w:val="-10"/>
          <w:szCs w:val="21"/>
        </w:rPr>
        <w:t>█</w:t>
      </w:r>
      <w:r>
        <w:rPr>
          <w:rFonts w:hint="eastAsia"/>
          <w:b/>
          <w:color w:val="000000" w:themeColor="text1"/>
          <w:szCs w:val="21"/>
        </w:rPr>
        <w:t xml:space="preserve">推荐注册      □不推荐注册     </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组长签字:                               日期:    2020  年 1 月 20 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Chars="-405" w:hanging="850" w:hangingChars="403"/>
        <w:rPr>
          <w:b/>
          <w:color w:val="000000" w:themeColor="text1"/>
          <w:szCs w:val="21"/>
          <w:u w:val="single"/>
        </w:rPr>
      </w:pPr>
    </w:p>
    <w:p>
      <w:pPr>
        <w:snapToGrid w:val="0"/>
        <w:spacing w:line="360" w:lineRule="auto"/>
        <w:ind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144" w:leftChars="-405" w:hanging="706" w:hangingChars="335"/>
        <w:rPr>
          <w:b/>
          <w:bCs/>
          <w:color w:val="000000" w:themeColor="text1"/>
          <w:szCs w:val="21"/>
        </w:rPr>
      </w:pPr>
      <w:r>
        <w:rPr>
          <w:rFonts w:hint="eastAsia"/>
          <w:b/>
          <w:bCs/>
          <w:color w:val="000000" w:themeColor="text1"/>
          <w:szCs w:val="21"/>
        </w:rPr>
        <w:t>6. 对同时申请CNAS标志证书的组织，应注意两种证书的注册范围可能不同。</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6EA223"/>
    <w:multiLevelType w:val="singleLevel"/>
    <w:tmpl w:val="406EA223"/>
    <w:lvl w:ilvl="0" w:tentative="0">
      <w:start w:val="2"/>
      <w:numFmt w:val="decimal"/>
      <w:suff w:val="nothing"/>
      <w:lvlText w:val="%1、"/>
      <w:lvlJc w:val="left"/>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1113C"/>
    <w:rsid w:val="000247CC"/>
    <w:rsid w:val="000443F0"/>
    <w:rsid w:val="00075C70"/>
    <w:rsid w:val="0008517E"/>
    <w:rsid w:val="000F2F8F"/>
    <w:rsid w:val="00197C64"/>
    <w:rsid w:val="001A108D"/>
    <w:rsid w:val="001C19E2"/>
    <w:rsid w:val="001D5696"/>
    <w:rsid w:val="00250BBA"/>
    <w:rsid w:val="00266840"/>
    <w:rsid w:val="002B120A"/>
    <w:rsid w:val="002B1290"/>
    <w:rsid w:val="002C24DB"/>
    <w:rsid w:val="002D1483"/>
    <w:rsid w:val="002F549E"/>
    <w:rsid w:val="00304003"/>
    <w:rsid w:val="00341103"/>
    <w:rsid w:val="00373391"/>
    <w:rsid w:val="00376915"/>
    <w:rsid w:val="003D3F5A"/>
    <w:rsid w:val="003E3D4F"/>
    <w:rsid w:val="003F74C1"/>
    <w:rsid w:val="004100EA"/>
    <w:rsid w:val="00464786"/>
    <w:rsid w:val="00484B0B"/>
    <w:rsid w:val="004B0C57"/>
    <w:rsid w:val="004C1602"/>
    <w:rsid w:val="004D3E71"/>
    <w:rsid w:val="005164BD"/>
    <w:rsid w:val="00584F23"/>
    <w:rsid w:val="00592421"/>
    <w:rsid w:val="005B46F0"/>
    <w:rsid w:val="005B675E"/>
    <w:rsid w:val="005E1CBB"/>
    <w:rsid w:val="00603285"/>
    <w:rsid w:val="00606760"/>
    <w:rsid w:val="00610FA8"/>
    <w:rsid w:val="006306D9"/>
    <w:rsid w:val="00632A83"/>
    <w:rsid w:val="006360D1"/>
    <w:rsid w:val="0063633F"/>
    <w:rsid w:val="00664382"/>
    <w:rsid w:val="006818B0"/>
    <w:rsid w:val="006C6F24"/>
    <w:rsid w:val="00712F52"/>
    <w:rsid w:val="00745B30"/>
    <w:rsid w:val="00770469"/>
    <w:rsid w:val="00775D3A"/>
    <w:rsid w:val="00784CC6"/>
    <w:rsid w:val="007C4DD7"/>
    <w:rsid w:val="008030AC"/>
    <w:rsid w:val="0084337B"/>
    <w:rsid w:val="00845D78"/>
    <w:rsid w:val="00850E86"/>
    <w:rsid w:val="00853D8C"/>
    <w:rsid w:val="00857EF7"/>
    <w:rsid w:val="008648E8"/>
    <w:rsid w:val="00874DEC"/>
    <w:rsid w:val="00877EB8"/>
    <w:rsid w:val="008A4F66"/>
    <w:rsid w:val="008A6929"/>
    <w:rsid w:val="008B07CC"/>
    <w:rsid w:val="008C5C47"/>
    <w:rsid w:val="009203AC"/>
    <w:rsid w:val="0092740B"/>
    <w:rsid w:val="00932B07"/>
    <w:rsid w:val="009604BC"/>
    <w:rsid w:val="00986C4E"/>
    <w:rsid w:val="009958FB"/>
    <w:rsid w:val="009A7BA8"/>
    <w:rsid w:val="009E496A"/>
    <w:rsid w:val="009E741A"/>
    <w:rsid w:val="00A02276"/>
    <w:rsid w:val="00A057D9"/>
    <w:rsid w:val="00A112DB"/>
    <w:rsid w:val="00A771F4"/>
    <w:rsid w:val="00AB1797"/>
    <w:rsid w:val="00AB688A"/>
    <w:rsid w:val="00AC3F5D"/>
    <w:rsid w:val="00AE71F3"/>
    <w:rsid w:val="00AF66F6"/>
    <w:rsid w:val="00B1795A"/>
    <w:rsid w:val="00B34573"/>
    <w:rsid w:val="00BC3244"/>
    <w:rsid w:val="00BD2793"/>
    <w:rsid w:val="00C634D9"/>
    <w:rsid w:val="00C757A7"/>
    <w:rsid w:val="00D00BA6"/>
    <w:rsid w:val="00D1113C"/>
    <w:rsid w:val="00D40E52"/>
    <w:rsid w:val="00DD2268"/>
    <w:rsid w:val="00E148C5"/>
    <w:rsid w:val="00E255D2"/>
    <w:rsid w:val="00E32B36"/>
    <w:rsid w:val="00E9214A"/>
    <w:rsid w:val="00E95D39"/>
    <w:rsid w:val="00EC2388"/>
    <w:rsid w:val="00EF1481"/>
    <w:rsid w:val="00F326DC"/>
    <w:rsid w:val="00F64301"/>
    <w:rsid w:val="00F86288"/>
    <w:rsid w:val="00FA5C98"/>
    <w:rsid w:val="00FA70D9"/>
    <w:rsid w:val="00FB5192"/>
    <w:rsid w:val="00FD38F7"/>
    <w:rsid w:val="00FF14F7"/>
    <w:rsid w:val="00FF6078"/>
    <w:rsid w:val="02775545"/>
    <w:rsid w:val="130942A3"/>
    <w:rsid w:val="14C66DD5"/>
    <w:rsid w:val="14E11A4F"/>
    <w:rsid w:val="1C440198"/>
    <w:rsid w:val="21611269"/>
    <w:rsid w:val="21A15F24"/>
    <w:rsid w:val="28726A52"/>
    <w:rsid w:val="396D0590"/>
    <w:rsid w:val="3C6210A8"/>
    <w:rsid w:val="4B4A3A22"/>
    <w:rsid w:val="52EC0C88"/>
    <w:rsid w:val="5CDD1C2D"/>
    <w:rsid w:val="7A3A03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link w:val="18"/>
    <w:qFormat/>
    <w:uiPriority w:val="0"/>
    <w:pPr>
      <w:adjustRightInd w:val="0"/>
      <w:snapToGrid w:val="0"/>
      <w:spacing w:line="440" w:lineRule="atLeast"/>
    </w:pPr>
    <w:rPr>
      <w:rFonts w:asciiTheme="minorHAnsi" w:hAnsiTheme="minorHAnsi" w:eastAsiaTheme="minorEastAsia" w:cstheme="minorBidi"/>
      <w:snapToGrid w:val="0"/>
      <w:kern w:val="0"/>
      <w:sz w:val="24"/>
      <w:szCs w:val="22"/>
    </w:r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
    <w:basedOn w:val="10"/>
    <w:link w:val="6"/>
    <w:qFormat/>
    <w:uiPriority w:val="99"/>
    <w:rPr>
      <w:rFonts w:ascii="Times New Roman" w:hAnsi="Times New Roman" w:eastAsia="宋体" w:cs="Times New Roman"/>
      <w:sz w:val="18"/>
      <w:szCs w:val="18"/>
    </w:rPr>
  </w:style>
  <w:style w:type="character" w:customStyle="1" w:styleId="14">
    <w:name w:val="页脚 Char"/>
    <w:basedOn w:val="10"/>
    <w:link w:val="5"/>
    <w:qFormat/>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paragraph" w:customStyle="1" w:styleId="16">
    <w:name w:val="列出段落1"/>
    <w:basedOn w:val="1"/>
    <w:qFormat/>
    <w:uiPriority w:val="34"/>
    <w:pPr>
      <w:ind w:firstLine="420" w:firstLineChars="200"/>
    </w:pPr>
  </w:style>
  <w:style w:type="character" w:customStyle="1" w:styleId="17">
    <w:name w:val="info-content-text"/>
    <w:basedOn w:val="10"/>
    <w:qFormat/>
    <w:uiPriority w:val="0"/>
  </w:style>
  <w:style w:type="character" w:customStyle="1" w:styleId="18">
    <w:name w:val="正文文本 Char"/>
    <w:basedOn w:val="10"/>
    <w:link w:val="3"/>
    <w:qFormat/>
    <w:uiPriority w:val="0"/>
    <w:rPr>
      <w:rFonts w:asciiTheme="minorHAnsi" w:hAnsiTheme="minorHAnsi" w:eastAsiaTheme="minorEastAsia" w:cstheme="minorBidi"/>
      <w:snapToGrid w:val="0"/>
      <w:sz w:val="24"/>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C65E67-02B8-4FDF-B68A-8ACABE40049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1365</Words>
  <Characters>7787</Characters>
  <Lines>64</Lines>
  <Paragraphs>18</Paragraphs>
  <TotalTime>1</TotalTime>
  <ScaleCrop>false</ScaleCrop>
  <LinksUpToDate>false</LinksUpToDate>
  <CharactersWithSpaces>9134</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86136</cp:lastModifiedBy>
  <cp:lastPrinted>2020-01-16T01:47:00Z</cp:lastPrinted>
  <dcterms:modified xsi:type="dcterms:W3CDTF">2020-02-01T09:17:02Z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