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19"/>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319"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bookmarkStart w:id="0" w:name="管理者代表"/>
            <w:r>
              <w:rPr>
                <w:rFonts w:hint="eastAsia"/>
                <w:sz w:val="24"/>
                <w:szCs w:val="24"/>
              </w:rPr>
              <w:t>陈福东</w:t>
            </w:r>
            <w:bookmarkEnd w:id="0"/>
            <w:r>
              <w:rPr>
                <w:rFonts w:hint="eastAsia"/>
                <w:sz w:val="24"/>
                <w:szCs w:val="24"/>
                <w:lang w:val="en-US" w:eastAsia="zh-CN"/>
              </w:rPr>
              <w:t xml:space="preserve"> </w:t>
            </w:r>
          </w:p>
        </w:tc>
        <w:tc>
          <w:tcPr>
            <w:tcW w:w="127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319" w:type="dxa"/>
            <w:vAlign w:val="center"/>
          </w:tcPr>
          <w:p>
            <w:pPr>
              <w:spacing w:before="120"/>
              <w:rPr>
                <w:sz w:val="24"/>
                <w:szCs w:val="24"/>
              </w:rPr>
            </w:pPr>
            <w:r>
              <w:rPr>
                <w:rFonts w:hint="eastAsia"/>
                <w:sz w:val="24"/>
                <w:szCs w:val="24"/>
              </w:rPr>
              <w:t>审核员：</w:t>
            </w:r>
            <w:r>
              <w:rPr>
                <w:rFonts w:hint="eastAsia"/>
                <w:sz w:val="24"/>
                <w:szCs w:val="24"/>
                <w:lang w:val="en-US" w:eastAsia="zh-CN"/>
              </w:rPr>
              <w:t xml:space="preserve">张丽     </w:t>
            </w:r>
            <w:r>
              <w:rPr>
                <w:rFonts w:hint="eastAsia"/>
                <w:sz w:val="24"/>
                <w:szCs w:val="24"/>
              </w:rPr>
              <w:t>审核时间：</w:t>
            </w:r>
            <w:bookmarkStart w:id="1" w:name="审核日期"/>
            <w:r>
              <w:rPr>
                <w:sz w:val="24"/>
                <w:szCs w:val="24"/>
              </w:rPr>
              <w:t>2022年11月09日</w:t>
            </w:r>
            <w:bookmarkEnd w:id="1"/>
          </w:p>
        </w:tc>
        <w:tc>
          <w:tcPr>
            <w:tcW w:w="1270"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319" w:type="dxa"/>
            <w:vAlign w:val="center"/>
          </w:tcPr>
          <w:p>
            <w:pPr>
              <w:autoSpaceDE w:val="0"/>
              <w:autoSpaceDN w:val="0"/>
              <w:spacing w:before="72" w:line="240" w:lineRule="exact"/>
              <w:jc w:val="left"/>
              <w:rPr>
                <w:rFonts w:hint="eastAsia"/>
                <w:sz w:val="24"/>
                <w:szCs w:val="24"/>
              </w:rPr>
            </w:pPr>
            <w:r>
              <w:rPr>
                <w:rFonts w:hint="eastAsia"/>
                <w:sz w:val="24"/>
                <w:szCs w:val="24"/>
              </w:rPr>
              <w:t>审核条款：</w:t>
            </w:r>
          </w:p>
          <w:p>
            <w:pPr>
              <w:autoSpaceDE w:val="0"/>
              <w:autoSpaceDN w:val="0"/>
              <w:spacing w:before="72" w:line="240" w:lineRule="exact"/>
              <w:jc w:val="left"/>
              <w:rPr>
                <w:rFonts w:hint="default" w:ascii="宋体" w:hAnsi="宋体" w:eastAsia="宋体"/>
                <w:sz w:val="24"/>
                <w:szCs w:val="24"/>
                <w:highlight w:val="none"/>
                <w:lang w:val="en-US" w:eastAsia="zh-CN"/>
              </w:rPr>
            </w:pPr>
            <w:r>
              <w:rPr>
                <w:rFonts w:ascii="宋体" w:hAnsi="宋体" w:cs="宋体"/>
                <w:bCs/>
                <w:color w:val="000000"/>
                <w:spacing w:val="-4"/>
                <w:w w:val="104"/>
                <w:sz w:val="24"/>
                <w:szCs w:val="24"/>
                <w:highlight w:val="none"/>
              </w:rPr>
              <w:t>Q:4.1/4.2/4.3/4.4/5.1/5.2/5.3/6.1/6.2</w:t>
            </w:r>
            <w:r>
              <w:rPr>
                <w:rFonts w:hint="eastAsia" w:ascii="宋体" w:hAnsi="宋体" w:cs="宋体"/>
                <w:bCs/>
                <w:color w:val="000000"/>
                <w:spacing w:val="-4"/>
                <w:w w:val="104"/>
                <w:sz w:val="24"/>
                <w:szCs w:val="24"/>
                <w:highlight w:val="none"/>
              </w:rPr>
              <w:t>/</w:t>
            </w:r>
            <w:r>
              <w:rPr>
                <w:rFonts w:ascii="宋体" w:hAnsi="宋体" w:cs="宋体"/>
                <w:bCs/>
                <w:color w:val="000000"/>
                <w:spacing w:val="-4"/>
                <w:w w:val="104"/>
                <w:sz w:val="24"/>
                <w:szCs w:val="24"/>
                <w:highlight w:val="none"/>
              </w:rPr>
              <w:t>6.3/</w:t>
            </w:r>
            <w:r>
              <w:rPr>
                <w:rFonts w:hint="eastAsia" w:ascii="宋体" w:hAnsi="宋体" w:cs="宋体"/>
                <w:bCs/>
                <w:color w:val="000000"/>
                <w:spacing w:val="-4"/>
                <w:w w:val="104"/>
                <w:sz w:val="24"/>
                <w:szCs w:val="24"/>
                <w:highlight w:val="none"/>
                <w:lang w:val="en-US" w:eastAsia="zh-CN"/>
              </w:rPr>
              <w:t>7.1.6/9.1.1/9.1.3/9.2</w:t>
            </w:r>
            <w:r>
              <w:rPr>
                <w:rFonts w:hint="eastAsia" w:ascii="宋体" w:hAnsi="宋体" w:eastAsia="宋体"/>
                <w:sz w:val="24"/>
                <w:szCs w:val="24"/>
                <w:highlight w:val="none"/>
                <w:lang w:val="en-US" w:eastAsia="zh-CN"/>
              </w:rPr>
              <w:t>/</w:t>
            </w:r>
            <w:r>
              <w:rPr>
                <w:rFonts w:hint="eastAsia" w:ascii="宋体" w:hAnsi="宋体" w:cs="宋体"/>
                <w:bCs/>
                <w:color w:val="000000"/>
                <w:spacing w:val="-4"/>
                <w:w w:val="104"/>
                <w:sz w:val="24"/>
                <w:szCs w:val="24"/>
                <w:highlight w:val="none"/>
                <w:lang w:val="en-US" w:eastAsia="zh-CN"/>
              </w:rPr>
              <w:t>9.3</w:t>
            </w:r>
            <w:r>
              <w:rPr>
                <w:rFonts w:ascii="宋体" w:hAnsi="宋体" w:cs="宋体"/>
                <w:bCs/>
                <w:color w:val="000000"/>
                <w:spacing w:val="-4"/>
                <w:w w:val="104"/>
                <w:sz w:val="24"/>
                <w:szCs w:val="24"/>
                <w:highlight w:val="none"/>
              </w:rPr>
              <w:t>/</w:t>
            </w:r>
            <w:r>
              <w:rPr>
                <w:rFonts w:hint="eastAsia" w:ascii="宋体" w:hAnsi="宋体" w:cs="宋体"/>
                <w:bCs/>
                <w:color w:val="000000"/>
                <w:spacing w:val="-4"/>
                <w:w w:val="104"/>
                <w:sz w:val="24"/>
                <w:szCs w:val="24"/>
                <w:highlight w:val="none"/>
                <w:lang w:val="en-US" w:eastAsia="zh-CN"/>
              </w:rPr>
              <w:t>10.1</w:t>
            </w:r>
            <w:r>
              <w:rPr>
                <w:rFonts w:ascii="宋体" w:hAnsi="宋体" w:cs="宋体"/>
                <w:bCs/>
                <w:color w:val="000000"/>
                <w:spacing w:val="-4"/>
                <w:w w:val="104"/>
                <w:sz w:val="24"/>
                <w:szCs w:val="24"/>
                <w:highlight w:val="none"/>
              </w:rPr>
              <w:t>/</w:t>
            </w:r>
            <w:r>
              <w:rPr>
                <w:rFonts w:hint="eastAsia" w:ascii="宋体" w:hAnsi="宋体" w:cs="宋体"/>
                <w:bCs/>
                <w:color w:val="000000"/>
                <w:spacing w:val="-4"/>
                <w:w w:val="104"/>
                <w:sz w:val="24"/>
                <w:szCs w:val="24"/>
                <w:highlight w:val="none"/>
                <w:lang w:val="en-US" w:eastAsia="zh-CN"/>
              </w:rPr>
              <w:t>10.3</w:t>
            </w:r>
          </w:p>
          <w:p>
            <w:pPr>
              <w:autoSpaceDE w:val="0"/>
              <w:autoSpaceDN w:val="0"/>
              <w:spacing w:before="100" w:line="212" w:lineRule="exact"/>
              <w:jc w:val="left"/>
              <w:rPr>
                <w:rFonts w:hint="default" w:ascii="宋体" w:hAnsi="宋体" w:eastAsia="宋体"/>
                <w:sz w:val="24"/>
                <w:szCs w:val="24"/>
                <w:highlight w:val="none"/>
                <w:lang w:val="en-US" w:eastAsia="zh-CN"/>
              </w:rPr>
            </w:pPr>
            <w:r>
              <w:rPr>
                <w:rFonts w:ascii="宋体" w:hAnsi="宋体" w:cs="宋体"/>
                <w:bCs/>
                <w:color w:val="000000"/>
                <w:spacing w:val="-4"/>
                <w:w w:val="104"/>
                <w:sz w:val="24"/>
                <w:szCs w:val="24"/>
                <w:highlight w:val="none"/>
              </w:rPr>
              <w:t>E:4.1/4.2/4.3/4.4/5.1/5.2/5.3/6.1.1</w:t>
            </w:r>
            <w:r>
              <w:rPr>
                <w:rFonts w:hint="eastAsia" w:ascii="宋体" w:hAnsi="宋体" w:cs="宋体"/>
                <w:bCs/>
                <w:color w:val="000000"/>
                <w:spacing w:val="-4"/>
                <w:w w:val="104"/>
                <w:sz w:val="24"/>
                <w:szCs w:val="24"/>
                <w:highlight w:val="none"/>
                <w:lang w:val="en-US" w:eastAsia="zh-CN"/>
              </w:rPr>
              <w:t>/</w:t>
            </w:r>
            <w:r>
              <w:rPr>
                <w:rFonts w:ascii="宋体" w:hAnsi="宋体" w:cs="宋体"/>
                <w:bCs/>
                <w:color w:val="000000"/>
                <w:spacing w:val="-4"/>
                <w:w w:val="104"/>
                <w:sz w:val="24"/>
                <w:szCs w:val="24"/>
                <w:highlight w:val="none"/>
              </w:rPr>
              <w:t>6.2/7.1</w:t>
            </w:r>
            <w:r>
              <w:rPr>
                <w:rFonts w:hint="eastAsia" w:ascii="宋体" w:hAnsi="宋体" w:cs="宋体"/>
                <w:bCs/>
                <w:color w:val="000000"/>
                <w:spacing w:val="-4"/>
                <w:w w:val="104"/>
                <w:sz w:val="24"/>
                <w:szCs w:val="24"/>
                <w:highlight w:val="none"/>
                <w:lang w:val="en-US" w:eastAsia="zh-CN"/>
              </w:rPr>
              <w:t>/9.2/</w:t>
            </w:r>
            <w:r>
              <w:rPr>
                <w:rFonts w:ascii="宋体" w:hAnsi="宋体" w:cs="宋体"/>
                <w:bCs/>
                <w:color w:val="000000"/>
                <w:spacing w:val="-5"/>
                <w:w w:val="105"/>
                <w:sz w:val="24"/>
                <w:szCs w:val="24"/>
                <w:highlight w:val="none"/>
              </w:rPr>
              <w:t>9.3</w:t>
            </w:r>
            <w:r>
              <w:rPr>
                <w:rFonts w:hint="eastAsia" w:ascii="宋体" w:hAnsi="宋体" w:cs="宋体"/>
                <w:bCs/>
                <w:color w:val="000000"/>
                <w:spacing w:val="-5"/>
                <w:w w:val="105"/>
                <w:sz w:val="24"/>
                <w:szCs w:val="24"/>
                <w:highlight w:val="none"/>
                <w:lang w:val="en-US" w:eastAsia="zh-CN"/>
              </w:rPr>
              <w:t>/10.1</w:t>
            </w:r>
            <w:r>
              <w:rPr>
                <w:rFonts w:ascii="宋体" w:hAnsi="宋体" w:cs="宋体"/>
                <w:bCs/>
                <w:color w:val="000000"/>
                <w:spacing w:val="-5"/>
                <w:w w:val="105"/>
                <w:sz w:val="24"/>
                <w:szCs w:val="24"/>
                <w:highlight w:val="none"/>
              </w:rPr>
              <w:t>/10.3</w:t>
            </w:r>
          </w:p>
          <w:p>
            <w:pPr>
              <w:rPr>
                <w:sz w:val="24"/>
                <w:szCs w:val="24"/>
              </w:rPr>
            </w:pPr>
            <w:r>
              <w:rPr>
                <w:rFonts w:hint="eastAsia" w:ascii="宋体" w:hAnsi="宋体" w:cs="宋体"/>
                <w:bCs/>
                <w:color w:val="000000"/>
                <w:spacing w:val="-4"/>
                <w:w w:val="104"/>
                <w:sz w:val="24"/>
                <w:szCs w:val="24"/>
                <w:highlight w:val="none"/>
                <w:lang w:val="en-US" w:eastAsia="zh-CN"/>
              </w:rPr>
              <w:t>O:</w:t>
            </w:r>
            <w:r>
              <w:rPr>
                <w:rFonts w:ascii="宋体" w:hAnsi="宋体" w:cs="宋体"/>
                <w:bCs/>
                <w:color w:val="000000"/>
                <w:spacing w:val="-4"/>
                <w:w w:val="104"/>
                <w:sz w:val="24"/>
                <w:szCs w:val="24"/>
                <w:highlight w:val="none"/>
              </w:rPr>
              <w:t>4.1/4.2/4.3/4.4/5.1/5.2/5.3/5.4/6.1.1/6.2/7.1</w:t>
            </w:r>
            <w:r>
              <w:rPr>
                <w:rFonts w:hint="eastAsia" w:ascii="宋体" w:hAnsi="宋体" w:cs="宋体"/>
                <w:bCs/>
                <w:color w:val="000000"/>
                <w:spacing w:val="-4"/>
                <w:w w:val="104"/>
                <w:sz w:val="24"/>
                <w:szCs w:val="24"/>
                <w:highlight w:val="none"/>
                <w:lang w:val="en-US" w:eastAsia="zh-CN"/>
              </w:rPr>
              <w:t>/9.2/9.</w:t>
            </w:r>
            <w:r>
              <w:rPr>
                <w:rFonts w:ascii="宋体" w:hAnsi="宋体" w:cs="宋体"/>
                <w:bCs/>
                <w:color w:val="000000"/>
                <w:spacing w:val="-5"/>
                <w:w w:val="105"/>
                <w:sz w:val="24"/>
                <w:szCs w:val="24"/>
                <w:highlight w:val="none"/>
              </w:rPr>
              <w:t>3</w:t>
            </w:r>
            <w:r>
              <w:rPr>
                <w:rFonts w:hint="eastAsia" w:ascii="宋体" w:hAnsi="宋体" w:cs="宋体"/>
                <w:bCs/>
                <w:color w:val="000000"/>
                <w:spacing w:val="-5"/>
                <w:w w:val="105"/>
                <w:sz w:val="24"/>
                <w:szCs w:val="24"/>
                <w:highlight w:val="none"/>
                <w:lang w:val="en-US" w:eastAsia="zh-CN"/>
              </w:rPr>
              <w:t>/10.1</w:t>
            </w:r>
            <w:r>
              <w:rPr>
                <w:rFonts w:ascii="宋体" w:hAnsi="宋体" w:cs="宋体"/>
                <w:bCs/>
                <w:color w:val="000000"/>
                <w:spacing w:val="-5"/>
                <w:w w:val="105"/>
                <w:sz w:val="24"/>
                <w:szCs w:val="24"/>
                <w:highlight w:val="none"/>
              </w:rPr>
              <w:t>/10.3</w:t>
            </w:r>
          </w:p>
        </w:tc>
        <w:tc>
          <w:tcPr>
            <w:tcW w:w="1270"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0" w:lineRule="atLeas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企业介绍</w:t>
            </w:r>
          </w:p>
          <w:p>
            <w:pPr>
              <w:spacing w:line="0" w:lineRule="atLeast"/>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公司内外部环境</w:t>
            </w:r>
          </w:p>
        </w:tc>
        <w:tc>
          <w:tcPr>
            <w:tcW w:w="960" w:type="dxa"/>
            <w:vAlign w:val="center"/>
          </w:tcPr>
          <w:p>
            <w:pPr>
              <w:pStyle w:val="15"/>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Q：4.1 /7.1.1/7.1.2</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E：4.1/7.1</w:t>
            </w:r>
          </w:p>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S:4.1/7.1</w:t>
            </w:r>
          </w:p>
        </w:tc>
        <w:tc>
          <w:tcPr>
            <w:tcW w:w="10319" w:type="dxa"/>
            <w:vAlign w:val="center"/>
          </w:tcPr>
          <w:p>
            <w:pPr>
              <w:pStyle w:val="15"/>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rPr>
              <w:t>公司</w:t>
            </w:r>
            <w:r>
              <w:rPr>
                <w:rFonts w:hint="eastAsia" w:ascii="宋体" w:hAnsi="宋体" w:eastAsia="宋体" w:cs="宋体"/>
                <w:b w:val="0"/>
                <w:bCs w:val="0"/>
                <w:sz w:val="24"/>
                <w:szCs w:val="24"/>
                <w:highlight w:val="none"/>
                <w:lang w:val="en-US" w:eastAsia="zh-CN"/>
              </w:rPr>
              <w:t>总经理</w:t>
            </w:r>
            <w:r>
              <w:rPr>
                <w:rFonts w:hint="eastAsia" w:ascii="宋体" w:hAnsi="宋体" w:cs="宋体"/>
                <w:b w:val="0"/>
                <w:bCs w:val="0"/>
                <w:sz w:val="24"/>
                <w:szCs w:val="24"/>
                <w:highlight w:val="none"/>
                <w:lang w:val="en-US" w:eastAsia="zh-CN"/>
              </w:rPr>
              <w:t xml:space="preserve"> 陈福东</w:t>
            </w:r>
            <w:r>
              <w:rPr>
                <w:rFonts w:hint="eastAsia" w:ascii="宋体" w:hAnsi="宋体" w:eastAsia="宋体" w:cs="宋体"/>
                <w:b w:val="0"/>
                <w:bCs w:val="0"/>
                <w:sz w:val="24"/>
                <w:szCs w:val="24"/>
                <w:highlight w:val="none"/>
                <w:lang w:val="en-US" w:eastAsia="zh-CN"/>
              </w:rPr>
              <w:t xml:space="preserve"> 管理者代表：</w:t>
            </w:r>
            <w:r>
              <w:rPr>
                <w:sz w:val="24"/>
                <w:szCs w:val="24"/>
                <w:highlight w:val="none"/>
              </w:rPr>
              <w:t>郝玉坤</w:t>
            </w:r>
          </w:p>
          <w:p>
            <w:pPr>
              <w:spacing w:line="240" w:lineRule="auto"/>
              <w:rPr>
                <w:rFonts w:hint="eastAsia" w:ascii="宋体" w:hAnsi="宋体" w:eastAsia="宋体" w:cs="宋体"/>
                <w:b w:val="0"/>
                <w:bCs w:val="0"/>
                <w:sz w:val="24"/>
                <w:szCs w:val="24"/>
                <w:highlight w:val="none"/>
              </w:rPr>
            </w:pPr>
            <w:bookmarkStart w:id="2" w:name="组织名称"/>
            <w:r>
              <w:rPr>
                <w:sz w:val="24"/>
                <w:szCs w:val="24"/>
                <w:highlight w:val="none"/>
              </w:rPr>
              <w:t>北京东日德力工程技术有限公司</w:t>
            </w:r>
            <w:bookmarkEnd w:id="2"/>
            <w:r>
              <w:rPr>
                <w:rFonts w:hint="eastAsia" w:ascii="宋体" w:hAnsi="宋体" w:eastAsia="宋体" w:cs="宋体"/>
                <w:b w:val="0"/>
                <w:bCs w:val="0"/>
                <w:sz w:val="24"/>
                <w:szCs w:val="24"/>
                <w:highlight w:val="none"/>
              </w:rPr>
              <w:t>成立于</w:t>
            </w:r>
            <w:r>
              <w:rPr>
                <w:rFonts w:hint="eastAsia" w:ascii="宋体" w:hAnsi="宋体" w:cs="宋体"/>
                <w:b w:val="0"/>
                <w:bCs w:val="0"/>
                <w:sz w:val="24"/>
                <w:szCs w:val="24"/>
                <w:highlight w:val="none"/>
                <w:lang w:val="en-US" w:eastAsia="zh-CN"/>
              </w:rPr>
              <w:t>2003年</w:t>
            </w:r>
            <w:r>
              <w:rPr>
                <w:rFonts w:hint="eastAsia" w:ascii="宋体" w:hAnsi="宋体" w:eastAsia="宋体" w:cs="宋体"/>
                <w:b w:val="0"/>
                <w:bCs w:val="0"/>
                <w:sz w:val="24"/>
                <w:szCs w:val="24"/>
                <w:highlight w:val="none"/>
              </w:rPr>
              <w:t>，</w:t>
            </w:r>
            <w:r>
              <w:rPr>
                <w:rFonts w:hint="eastAsia"/>
                <w:sz w:val="24"/>
                <w:szCs w:val="24"/>
                <w:highlight w:val="none"/>
              </w:rPr>
              <w:t>，</w:t>
            </w:r>
            <w:r>
              <w:rPr>
                <w:sz w:val="24"/>
                <w:szCs w:val="24"/>
                <w:highlight w:val="none"/>
              </w:rPr>
              <w:t>是专业</w:t>
            </w:r>
            <w:r>
              <w:rPr>
                <w:rFonts w:hint="eastAsia"/>
                <w:sz w:val="24"/>
                <w:szCs w:val="24"/>
                <w:highlight w:val="none"/>
              </w:rPr>
              <w:t>的</w:t>
            </w:r>
            <w:r>
              <w:rPr>
                <w:sz w:val="24"/>
                <w:szCs w:val="24"/>
                <w:highlight w:val="none"/>
              </w:rPr>
              <w:t>水处理</w:t>
            </w:r>
            <w:r>
              <w:rPr>
                <w:rFonts w:hint="eastAsia"/>
                <w:sz w:val="24"/>
                <w:szCs w:val="24"/>
                <w:highlight w:val="none"/>
              </w:rPr>
              <w:t>技术、设备、服务提供商</w:t>
            </w:r>
            <w:r>
              <w:rPr>
                <w:sz w:val="24"/>
                <w:szCs w:val="24"/>
                <w:highlight w:val="none"/>
              </w:rPr>
              <w:t>。</w:t>
            </w:r>
          </w:p>
          <w:p>
            <w:pPr>
              <w:spacing w:before="120" w:beforeLines="50" w:after="120" w:afterLines="50" w:line="0" w:lineRule="atLeas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注册地址：</w:t>
            </w:r>
            <w:bookmarkStart w:id="3" w:name="生产地址"/>
            <w:r>
              <w:rPr>
                <w:rFonts w:asciiTheme="minorEastAsia" w:hAnsiTheme="minorEastAsia" w:eastAsiaTheme="minorEastAsia"/>
                <w:sz w:val="24"/>
                <w:szCs w:val="24"/>
                <w:highlight w:val="none"/>
              </w:rPr>
              <w:t>北京市石景山区古城西路113号3层318</w:t>
            </w:r>
            <w:bookmarkEnd w:id="3"/>
          </w:p>
          <w:p>
            <w:pPr>
              <w:spacing w:line="240" w:lineRule="auto"/>
              <w:rPr>
                <w:rFonts w:asciiTheme="minorEastAsia" w:hAnsiTheme="minorEastAsia" w:eastAsiaTheme="minorEastAsia"/>
                <w:sz w:val="24"/>
                <w:szCs w:val="24"/>
                <w:highlight w:val="none"/>
              </w:rPr>
            </w:pPr>
            <w:r>
              <w:rPr>
                <w:rFonts w:hint="eastAsia" w:ascii="宋体" w:hAnsi="宋体" w:eastAsia="宋体" w:cs="宋体"/>
                <w:b w:val="0"/>
                <w:bCs w:val="0"/>
                <w:sz w:val="24"/>
                <w:szCs w:val="24"/>
                <w:highlight w:val="none"/>
              </w:rPr>
              <w:t>经营地址：</w:t>
            </w:r>
            <w:r>
              <w:rPr>
                <w:rFonts w:asciiTheme="minorEastAsia" w:hAnsiTheme="minorEastAsia" w:eastAsiaTheme="minorEastAsia"/>
                <w:sz w:val="24"/>
                <w:szCs w:val="24"/>
                <w:highlight w:val="none"/>
              </w:rPr>
              <w:t>北京市石景山区古城西路113号3层318</w:t>
            </w:r>
          </w:p>
          <w:p>
            <w:pPr>
              <w:spacing w:line="240" w:lineRule="auto"/>
              <w:rPr>
                <w:rFonts w:hint="eastAsia" w:ascii="宋体" w:hAnsi="宋体" w:eastAsia="宋体" w:cs="宋体"/>
                <w:b w:val="0"/>
                <w:bCs w:val="0"/>
                <w:sz w:val="24"/>
                <w:szCs w:val="24"/>
                <w:highlight w:val="none"/>
              </w:rPr>
            </w:pPr>
          </w:p>
          <w:p>
            <w:pPr>
              <w:pStyle w:val="5"/>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公司经营范围：</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kern w:val="2"/>
                <w:sz w:val="24"/>
                <w:szCs w:val="24"/>
                <w:highlight w:val="none"/>
                <w:lang w:val="en-US" w:eastAsia="zh-CN" w:bidi="ar-SA"/>
              </w:rPr>
              <w:t xml:space="preserve"> 水处理设备的设计开发与销售</w:t>
            </w:r>
          </w:p>
          <w:p>
            <w:pPr>
              <w:adjustRightInd w:val="0"/>
              <w:snapToGrid w:val="0"/>
              <w:spacing w:line="312"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部门设置有：</w:t>
            </w:r>
            <w:r>
              <w:rPr>
                <w:rFonts w:hint="eastAsia" w:ascii="宋体" w:hAnsi="宋体" w:cs="宋体"/>
                <w:b w:val="0"/>
                <w:bCs w:val="0"/>
                <w:sz w:val="24"/>
                <w:szCs w:val="24"/>
                <w:highlight w:val="none"/>
                <w:lang w:val="en-US" w:eastAsia="zh-CN"/>
              </w:rPr>
              <w:t>办公室</w:t>
            </w:r>
            <w:r>
              <w:rPr>
                <w:rFonts w:hint="eastAsia" w:ascii="宋体" w:hAnsi="宋体" w:eastAsia="宋体" w:cs="宋体"/>
                <w:b w:val="0"/>
                <w:bCs w:val="0"/>
                <w:sz w:val="24"/>
                <w:szCs w:val="24"/>
                <w:highlight w:val="none"/>
                <w:lang w:val="en-US" w:eastAsia="zh-CN"/>
              </w:rPr>
              <w:t xml:space="preserve">（含财务）和 </w:t>
            </w:r>
            <w:r>
              <w:rPr>
                <w:rFonts w:hint="eastAsia" w:ascii="宋体" w:hAnsi="宋体" w:cs="宋体"/>
                <w:b w:val="0"/>
                <w:bCs w:val="0"/>
                <w:sz w:val="24"/>
                <w:szCs w:val="24"/>
                <w:highlight w:val="none"/>
                <w:lang w:val="en-US" w:eastAsia="zh-CN"/>
              </w:rPr>
              <w:t>营运</w:t>
            </w:r>
            <w:r>
              <w:rPr>
                <w:rFonts w:hint="eastAsia" w:ascii="宋体" w:hAnsi="宋体" w:eastAsia="宋体" w:cs="宋体"/>
                <w:b w:val="0"/>
                <w:bCs w:val="0"/>
                <w:sz w:val="24"/>
                <w:szCs w:val="24"/>
                <w:highlight w:val="none"/>
                <w:lang w:val="en-US" w:eastAsia="zh-CN"/>
              </w:rPr>
              <w:t>部</w:t>
            </w:r>
          </w:p>
          <w:p>
            <w:pPr>
              <w:pStyle w:val="15"/>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负责人说明公司共有员工</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人。</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公司配置的设施和资源基本满足质量、环境管理体系</w:t>
            </w:r>
            <w:r>
              <w:rPr>
                <w:rFonts w:hint="eastAsia" w:ascii="宋体" w:hAnsi="宋体" w:eastAsia="宋体" w:cs="宋体"/>
                <w:b w:val="0"/>
                <w:bCs w:val="0"/>
                <w:sz w:val="24"/>
                <w:szCs w:val="24"/>
                <w:highlight w:val="none"/>
                <w:lang w:val="en-US" w:eastAsia="zh-CN"/>
              </w:rPr>
              <w:t>及职业健康安全管理体系</w:t>
            </w:r>
            <w:r>
              <w:rPr>
                <w:rFonts w:hint="eastAsia" w:ascii="宋体" w:hAnsi="宋体" w:eastAsia="宋体" w:cs="宋体"/>
                <w:b w:val="0"/>
                <w:bCs w:val="0"/>
                <w:sz w:val="24"/>
                <w:szCs w:val="24"/>
                <w:highlight w:val="none"/>
              </w:rPr>
              <w:t>运行的要求；</w:t>
            </w:r>
          </w:p>
          <w:p>
            <w:pPr>
              <w:adjustRightInd w:val="0"/>
              <w:snapToGrid w:val="0"/>
              <w:spacing w:line="312"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办公环境较好。</w:t>
            </w:r>
          </w:p>
          <w:p>
            <w:pPr>
              <w:adjustRightInd w:val="0"/>
              <w:snapToGrid w:val="0"/>
              <w:spacing w:line="312"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企业明确了组织机构、职责、职能分配，并以管理手册形式形成成文信息。</w:t>
            </w:r>
          </w:p>
          <w:p>
            <w:pPr>
              <w:rPr>
                <w:rFonts w:hint="eastAsia" w:ascii="宋体" w:hAnsi="宋体" w:eastAsia="宋体" w:cs="宋体"/>
                <w:b w:val="0"/>
                <w:bCs w:val="0"/>
                <w:sz w:val="24"/>
                <w:szCs w:val="24"/>
                <w:highlight w:val="none"/>
                <w:lang w:val="en-US" w:eastAsia="zh-CN"/>
              </w:rPr>
            </w:pP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经识别，无外包过程</w:t>
            </w:r>
          </w:p>
          <w:p>
            <w:pPr>
              <w:pStyle w:val="5"/>
              <w:rPr>
                <w:rFonts w:hint="eastAsia" w:ascii="宋体" w:hAnsi="宋体" w:eastAsia="宋体" w:cs="宋体"/>
                <w:b w:val="0"/>
                <w:bCs w:val="0"/>
                <w:sz w:val="24"/>
                <w:szCs w:val="24"/>
                <w:highlight w:val="none"/>
                <w:lang w:val="en-US" w:eastAsia="zh-CN"/>
              </w:rPr>
            </w:pPr>
          </w:p>
          <w:p>
            <w:pPr>
              <w:pStyle w:val="15"/>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公司总经理确定了与本公司质量目标和战略方向相关并影响实现质量管理体系预期结果的各种内部因素（企业文化、价值观</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知识积累，财务因素等</w:t>
            </w:r>
            <w:r>
              <w:rPr>
                <w:rFonts w:hint="eastAsia" w:ascii="宋体" w:hAnsi="宋体" w:eastAsia="宋体" w:cs="宋体"/>
                <w:b w:val="0"/>
                <w:bCs w:val="0"/>
                <w:sz w:val="24"/>
                <w:szCs w:val="24"/>
                <w:highlight w:val="none"/>
              </w:rPr>
              <w:t>更能成为左右正面要素的因素，外部因素国内</w:t>
            </w:r>
            <w:r>
              <w:rPr>
                <w:rFonts w:hint="eastAsia" w:ascii="宋体" w:hAnsi="宋体" w:eastAsia="宋体" w:cs="宋体"/>
                <w:b w:val="0"/>
                <w:bCs w:val="0"/>
                <w:sz w:val="24"/>
                <w:szCs w:val="24"/>
                <w:highlight w:val="none"/>
                <w:lang w:val="en-US" w:eastAsia="zh-CN"/>
              </w:rPr>
              <w:t>政 治，</w:t>
            </w:r>
            <w:r>
              <w:rPr>
                <w:rFonts w:hint="eastAsia" w:ascii="宋体" w:hAnsi="宋体" w:eastAsia="宋体" w:cs="宋体"/>
                <w:b w:val="0"/>
                <w:bCs w:val="0"/>
                <w:sz w:val="24"/>
                <w:szCs w:val="24"/>
                <w:highlight w:val="none"/>
              </w:rPr>
              <w:t>经济因素、法律法规、自然环境、</w:t>
            </w:r>
            <w:r>
              <w:rPr>
                <w:rFonts w:hint="eastAsia" w:ascii="宋体" w:hAnsi="宋体" w:eastAsia="宋体" w:cs="宋体"/>
                <w:b w:val="0"/>
                <w:bCs w:val="0"/>
                <w:sz w:val="24"/>
                <w:szCs w:val="24"/>
                <w:highlight w:val="none"/>
                <w:lang w:val="en-US" w:eastAsia="zh-CN"/>
              </w:rPr>
              <w:t>竟争力等</w:t>
            </w:r>
            <w:r>
              <w:rPr>
                <w:rFonts w:hint="eastAsia" w:ascii="宋体" w:hAnsi="宋体" w:eastAsia="宋体" w:cs="宋体"/>
                <w:b w:val="0"/>
                <w:bCs w:val="0"/>
                <w:sz w:val="24"/>
                <w:szCs w:val="24"/>
                <w:highlight w:val="none"/>
              </w:rPr>
              <w:t>）。</w:t>
            </w:r>
          </w:p>
          <w:p>
            <w:pPr>
              <w:pStyle w:val="15"/>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公司确定了与其宗旨和战略方向相关并影响其实现管理体系预期结果的能力的各种外部和内部因素。</w:t>
            </w:r>
          </w:p>
          <w:p>
            <w:pPr>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现场提供了《</w:t>
            </w:r>
            <w:r>
              <w:rPr>
                <w:rFonts w:hint="eastAsia" w:ascii="宋体" w:hAnsi="宋体" w:eastAsia="宋体" w:cs="宋体"/>
                <w:b w:val="0"/>
                <w:bCs w:val="0"/>
                <w:sz w:val="24"/>
                <w:szCs w:val="24"/>
                <w:highlight w:val="none"/>
                <w:lang w:val="en-US" w:eastAsia="zh-CN"/>
              </w:rPr>
              <w:t>组织环境识别表</w:t>
            </w:r>
            <w:r>
              <w:rPr>
                <w:rFonts w:hint="eastAsia" w:ascii="宋体" w:hAnsi="宋体" w:eastAsia="宋体" w:cs="宋体"/>
                <w:b w:val="0"/>
                <w:bCs w:val="0"/>
                <w:sz w:val="24"/>
                <w:szCs w:val="24"/>
                <w:highlight w:val="none"/>
              </w:rPr>
              <w:t>》，作为组织层面的风险识别，有对内、外部环境因素的具体现状描述。识别的外部环境有：政治，经济，社会，技术环境等；识别的内部环境有：财务，资源，人力，运营等。并对这些内容进行监视和评审</w:t>
            </w:r>
          </w:p>
          <w:p>
            <w:pPr>
              <w:pStyle w:val="15"/>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所处的环境因素是动态的，组织能时刻跟踪和更新环境变化的信息，调整组织的经营战略和方向，适时应对。组织通过各部门收集信息、识别、分析和评价，管理会议讨论研究等途径对变化的环境进行监视和评审。</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公司近几月来无安全、环境、质量事故发生</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说明了公司自成立以来，严格遵守国家环保方面的法律法规，未发生过环境污染及安全事故，没有发生违法违规和受到相关行政处罚的情况。</w:t>
            </w:r>
          </w:p>
          <w:p>
            <w:pPr>
              <w:spacing w:line="0" w:lineRule="atLeast"/>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基本符合。</w:t>
            </w:r>
          </w:p>
        </w:tc>
        <w:tc>
          <w:tcPr>
            <w:tcW w:w="1270" w:type="dxa"/>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0" w:lineRule="atLeas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理解相关方的需求和期望</w:t>
            </w:r>
          </w:p>
        </w:tc>
        <w:tc>
          <w:tcPr>
            <w:tcW w:w="960" w:type="dxa"/>
            <w:vAlign w:val="center"/>
          </w:tcPr>
          <w:p>
            <w:pPr>
              <w:pStyle w:val="15"/>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Q：4.2</w:t>
            </w:r>
          </w:p>
          <w:p>
            <w:pPr>
              <w:spacing w:line="0" w:lineRule="atLeas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E：4.2</w:t>
            </w:r>
          </w:p>
          <w:p>
            <w:pPr>
              <w:spacing w:line="0" w:lineRule="atLeast"/>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S: 4.2</w:t>
            </w:r>
          </w:p>
        </w:tc>
        <w:tc>
          <w:tcPr>
            <w:tcW w:w="10319" w:type="dxa"/>
            <w:vAlign w:val="center"/>
          </w:tcPr>
          <w:p>
            <w:pPr>
              <w:pStyle w:val="15"/>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领导层沟通，相关方需求主要是：客户、供方（采购）、雇员、政府等。</w:t>
            </w:r>
          </w:p>
          <w:p>
            <w:pPr>
              <w:spacing w:line="0" w:lineRule="atLeast"/>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公司对这些相关方及其要求的相关信息进行监视和评审，以便于理解和持续满足相关方的需求和期望。提供了《</w:t>
            </w:r>
            <w:r>
              <w:rPr>
                <w:rFonts w:hint="eastAsia" w:ascii="宋体" w:hAnsi="宋体" w:cs="宋体"/>
                <w:b w:val="0"/>
                <w:bCs w:val="0"/>
                <w:sz w:val="24"/>
                <w:szCs w:val="24"/>
                <w:highlight w:val="none"/>
                <w:lang w:val="en-US" w:eastAsia="zh-CN"/>
              </w:rPr>
              <w:t>主要相关方及有关要求</w:t>
            </w:r>
            <w:r>
              <w:rPr>
                <w:rFonts w:hint="eastAsia" w:ascii="宋体" w:hAnsi="宋体" w:eastAsia="宋体" w:cs="宋体"/>
                <w:b w:val="0"/>
                <w:bCs w:val="0"/>
                <w:sz w:val="24"/>
                <w:szCs w:val="24"/>
                <w:highlight w:val="none"/>
              </w:rPr>
              <w:t>》，内容包括：相关方需求和期望、监测指标或项目</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满足情况</w:t>
            </w:r>
            <w:r>
              <w:rPr>
                <w:rFonts w:hint="eastAsia" w:ascii="宋体" w:hAnsi="宋体" w:eastAsia="宋体" w:cs="宋体"/>
                <w:b w:val="0"/>
                <w:bCs w:val="0"/>
                <w:sz w:val="24"/>
                <w:szCs w:val="24"/>
                <w:highlight w:val="none"/>
              </w:rPr>
              <w:t>等。</w:t>
            </w:r>
            <w:r>
              <w:rPr>
                <w:rFonts w:hint="eastAsia" w:ascii="宋体" w:hAnsi="宋体" w:eastAsia="宋体" w:cs="宋体"/>
                <w:b w:val="0"/>
                <w:bCs w:val="0"/>
                <w:sz w:val="24"/>
                <w:szCs w:val="24"/>
                <w:highlight w:val="none"/>
                <w:lang w:val="en-US" w:eastAsia="zh-CN"/>
              </w:rPr>
              <w:t xml:space="preserve"> </w:t>
            </w:r>
          </w:p>
          <w:p>
            <w:pPr>
              <w:pStyle w:val="2"/>
              <w:ind w:left="0" w:leftChars="0" w:firstLine="0" w:firstLineChars="0"/>
              <w:rPr>
                <w:rFonts w:hint="eastAsia" w:ascii="宋体" w:hAnsi="宋体" w:eastAsia="宋体" w:cs="宋体"/>
                <w:b w:val="0"/>
                <w:bCs w:val="0"/>
                <w:sz w:val="24"/>
                <w:szCs w:val="24"/>
                <w:highlight w:val="yellow"/>
                <w:lang w:val="en-US" w:eastAsia="zh-CN"/>
              </w:rPr>
            </w:pPr>
          </w:p>
          <w:p>
            <w:pPr>
              <w:pStyle w:val="2"/>
              <w:ind w:left="0" w:leftChars="0" w:firstLine="0" w:firstLineChars="0"/>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sz w:val="24"/>
                <w:szCs w:val="24"/>
                <w:highlight w:val="none"/>
                <w:lang w:val="en-US" w:eastAsia="zh-CN"/>
              </w:rPr>
              <w:t>提供有相关方告知书，让相关方了解公司的环境，职业健康安全管理方针，了解</w:t>
            </w:r>
            <w:r>
              <w:rPr>
                <w:rFonts w:hint="eastAsia" w:ascii="宋体" w:hAnsi="宋体" w:eastAsia="宋体" w:cs="宋体"/>
                <w:b w:val="0"/>
                <w:bCs w:val="0"/>
                <w:sz w:val="24"/>
                <w:szCs w:val="24"/>
                <w:highlight w:val="none"/>
              </w:rPr>
              <w:t>本公司环境、健康管理运行的要求</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并通过微信邮寄送达等方式发给相关方。</w:t>
            </w:r>
          </w:p>
        </w:tc>
        <w:tc>
          <w:tcPr>
            <w:tcW w:w="1270" w:type="dxa"/>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0" w:lineRule="atLeas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确定管理体系的范围</w:t>
            </w:r>
          </w:p>
        </w:tc>
        <w:tc>
          <w:tcPr>
            <w:tcW w:w="960" w:type="dxa"/>
            <w:vAlign w:val="center"/>
          </w:tcPr>
          <w:p>
            <w:pPr>
              <w:pStyle w:val="15"/>
              <w:rPr>
                <w:rFonts w:hint="eastAsia" w:ascii="宋体" w:hAnsi="宋体" w:eastAsia="宋体" w:cs="宋体"/>
                <w:b w:val="0"/>
                <w:bCs w:val="0"/>
                <w:sz w:val="24"/>
                <w:szCs w:val="24"/>
              </w:rPr>
            </w:pPr>
            <w:r>
              <w:rPr>
                <w:rFonts w:hint="eastAsia" w:ascii="宋体" w:hAnsi="宋体" w:eastAsia="宋体" w:cs="宋体"/>
                <w:b w:val="0"/>
                <w:bCs w:val="0"/>
                <w:sz w:val="24"/>
                <w:szCs w:val="24"/>
              </w:rPr>
              <w:t>Q：4.3</w:t>
            </w:r>
          </w:p>
          <w:p>
            <w:pPr>
              <w:spacing w:line="0" w:lineRule="atLeas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E：4.3</w:t>
            </w:r>
          </w:p>
          <w:p>
            <w:pPr>
              <w:spacing w:line="0" w:lineRule="atLeast"/>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S:4.3</w:t>
            </w:r>
          </w:p>
        </w:tc>
        <w:tc>
          <w:tcPr>
            <w:tcW w:w="10319" w:type="dxa"/>
            <w:vAlign w:val="center"/>
          </w:tcPr>
          <w:p>
            <w:pPr>
              <w:pStyle w:val="16"/>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管理体系范围的确定：</w:t>
            </w:r>
          </w:p>
          <w:p>
            <w:pPr>
              <w:pStyle w:val="16"/>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手册覆盖了</w:t>
            </w:r>
            <w:r>
              <w:rPr>
                <w:sz w:val="24"/>
                <w:szCs w:val="24"/>
                <w:highlight w:val="none"/>
              </w:rPr>
              <w:t>水处理设备的设计开发与销售</w:t>
            </w:r>
            <w:r>
              <w:rPr>
                <w:rFonts w:hint="eastAsia" w:ascii="宋体" w:hAnsi="宋体" w:eastAsia="宋体" w:cs="宋体"/>
                <w:b w:val="0"/>
                <w:bCs w:val="0"/>
                <w:sz w:val="24"/>
                <w:szCs w:val="24"/>
                <w:highlight w:val="none"/>
              </w:rPr>
              <w:t>，适用于全过程所涉及的各个部门和场所。</w:t>
            </w:r>
          </w:p>
          <w:p>
            <w:pPr>
              <w:widowControl/>
              <w:adjustRightInd/>
              <w:spacing w:line="320" w:lineRule="exact"/>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总经理负责按质量管理体系标准GB/T19001-2016、环境管理体系标准GB/T24001-2016</w:t>
            </w:r>
            <w:r>
              <w:rPr>
                <w:rFonts w:hint="eastAsia" w:ascii="宋体" w:hAnsi="宋体" w:eastAsia="宋体" w:cs="宋体"/>
                <w:b w:val="0"/>
                <w:bCs w:val="0"/>
                <w:sz w:val="24"/>
                <w:szCs w:val="24"/>
                <w:highlight w:val="none"/>
                <w:lang w:val="en-US" w:eastAsia="zh-CN"/>
              </w:rPr>
              <w:t>及</w:t>
            </w:r>
            <w:r>
              <w:rPr>
                <w:rFonts w:hint="eastAsia" w:ascii="宋体" w:hAnsi="宋体" w:eastAsia="宋体" w:cs="宋体"/>
                <w:b w:val="0"/>
                <w:bCs w:val="0"/>
                <w:sz w:val="24"/>
                <w:szCs w:val="24"/>
                <w:highlight w:val="none"/>
              </w:rPr>
              <w:t>GB/T45001-2020/ISO 45001：2018</w:t>
            </w:r>
          </w:p>
          <w:p>
            <w:pPr>
              <w:pStyle w:val="16"/>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建立和推动实施，并归口</w:t>
            </w:r>
            <w:r>
              <w:rPr>
                <w:rFonts w:hint="eastAsia" w:ascii="宋体" w:hAnsi="宋体" w:eastAsia="宋体" w:cs="宋体"/>
                <w:b w:val="0"/>
                <w:bCs w:val="0"/>
                <w:sz w:val="24"/>
                <w:szCs w:val="24"/>
                <w:highlight w:val="none"/>
                <w:lang w:val="en-US" w:eastAsia="zh-CN"/>
              </w:rPr>
              <w:t>综合</w:t>
            </w:r>
            <w:r>
              <w:rPr>
                <w:rFonts w:hint="eastAsia" w:ascii="宋体" w:hAnsi="宋体" w:eastAsia="宋体" w:cs="宋体"/>
                <w:b w:val="0"/>
                <w:bCs w:val="0"/>
                <w:sz w:val="24"/>
                <w:szCs w:val="24"/>
                <w:highlight w:val="none"/>
              </w:rPr>
              <w:t>部负责确保体系持续有效运行。</w:t>
            </w:r>
          </w:p>
          <w:p>
            <w:pPr>
              <w:pStyle w:val="16"/>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经审核确认认证范围是：</w:t>
            </w:r>
          </w:p>
          <w:p>
            <w:pPr>
              <w:rPr>
                <w:rFonts w:hint="eastAsia" w:ascii="宋体" w:hAnsi="宋体" w:eastAsia="宋体" w:cs="宋体"/>
                <w:b w:val="0"/>
                <w:bCs w:val="0"/>
                <w:kern w:val="2"/>
                <w:sz w:val="24"/>
                <w:szCs w:val="24"/>
                <w:highlight w:val="none"/>
                <w:lang w:val="en-US" w:eastAsia="zh-CN" w:bidi="ar-SA"/>
              </w:rPr>
            </w:pPr>
            <w:bookmarkStart w:id="4" w:name="审核范围"/>
            <w:r>
              <w:rPr>
                <w:rFonts w:hint="eastAsia" w:ascii="宋体" w:hAnsi="宋体" w:eastAsia="宋体" w:cs="宋体"/>
                <w:b w:val="0"/>
                <w:bCs w:val="0"/>
                <w:kern w:val="2"/>
                <w:sz w:val="24"/>
                <w:szCs w:val="24"/>
                <w:highlight w:val="none"/>
                <w:lang w:val="en-US" w:eastAsia="zh-CN" w:bidi="ar-SA"/>
              </w:rPr>
              <w:t>Q：水处理设备的设计开发与销售</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E：水处理设备的设计开发与销售所涉及场所的相关环境管理活动</w:t>
            </w:r>
          </w:p>
          <w:p>
            <w:pPr>
              <w:spacing w:line="0" w:lineRule="atLeast"/>
              <w:jc w:val="left"/>
              <w:rPr>
                <w:rFonts w:hint="default"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highlight w:val="none"/>
                <w:lang w:val="en-US" w:eastAsia="zh-CN" w:bidi="ar-SA"/>
              </w:rPr>
              <w:t>O：水处理设备的设计开发与销售所涉及场所的相关职业健康安全管理活动</w:t>
            </w:r>
            <w:bookmarkEnd w:id="4"/>
          </w:p>
        </w:tc>
        <w:tc>
          <w:tcPr>
            <w:tcW w:w="1270" w:type="dxa"/>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管理体系及其过程</w:t>
            </w:r>
          </w:p>
        </w:tc>
        <w:tc>
          <w:tcPr>
            <w:tcW w:w="0" w:type="auto"/>
            <w:vAlign w:val="center"/>
          </w:tcPr>
          <w:p>
            <w:pPr>
              <w:pStyle w:val="15"/>
              <w:rPr>
                <w:rFonts w:hint="eastAsia" w:ascii="宋体" w:hAnsi="宋体" w:eastAsia="宋体" w:cs="宋体"/>
                <w:b w:val="0"/>
                <w:bCs w:val="0"/>
                <w:sz w:val="24"/>
                <w:szCs w:val="24"/>
              </w:rPr>
            </w:pPr>
            <w:r>
              <w:rPr>
                <w:rFonts w:hint="eastAsia" w:ascii="宋体" w:hAnsi="宋体" w:eastAsia="宋体" w:cs="宋体"/>
                <w:b w:val="0"/>
                <w:bCs w:val="0"/>
                <w:sz w:val="24"/>
                <w:szCs w:val="24"/>
              </w:rPr>
              <w:t>Q：4.4</w:t>
            </w:r>
          </w:p>
          <w:p>
            <w:pPr>
              <w:spacing w:line="0" w:lineRule="atLeas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E：4.4</w:t>
            </w:r>
          </w:p>
          <w:p>
            <w:pPr>
              <w:spacing w:line="0" w:lineRule="atLeast"/>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S:4.4</w:t>
            </w:r>
          </w:p>
        </w:tc>
        <w:tc>
          <w:tcPr>
            <w:tcW w:w="0" w:type="auto"/>
            <w:vAlign w:val="center"/>
          </w:tcPr>
          <w:p>
            <w:pPr>
              <w:pStyle w:val="16"/>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公司按照GB/T19001-2016标准和GB/T24001-2016</w:t>
            </w:r>
            <w:r>
              <w:rPr>
                <w:rFonts w:hint="eastAsia" w:ascii="宋体" w:hAnsi="宋体" w:eastAsia="宋体" w:cs="宋体"/>
                <w:b w:val="0"/>
                <w:bCs w:val="0"/>
                <w:sz w:val="24"/>
                <w:szCs w:val="24"/>
                <w:highlight w:val="none"/>
                <w:lang w:val="en-US" w:eastAsia="zh-CN"/>
              </w:rPr>
              <w:t>及</w:t>
            </w:r>
            <w:r>
              <w:rPr>
                <w:rFonts w:hint="eastAsia" w:ascii="宋体" w:hAnsi="宋体" w:eastAsia="宋体" w:cs="宋体"/>
                <w:b w:val="0"/>
                <w:bCs w:val="0"/>
                <w:sz w:val="24"/>
                <w:szCs w:val="24"/>
                <w:highlight w:val="none"/>
              </w:rPr>
              <w:t>GB/T45001-2020/ISO 45001：2018标准的要求，建立、实施、保持和持续改进质量、环境</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职业健康安全</w:t>
            </w:r>
            <w:r>
              <w:rPr>
                <w:rFonts w:hint="eastAsia" w:ascii="宋体" w:hAnsi="宋体" w:eastAsia="宋体" w:cs="宋体"/>
                <w:b w:val="0"/>
                <w:bCs w:val="0"/>
                <w:sz w:val="24"/>
                <w:szCs w:val="24"/>
                <w:highlight w:val="none"/>
              </w:rPr>
              <w:t>管理体系，包括所需过程及其相互作用。根据顾客要求、企业的经验、技术知识储备、市场和资源状况，以过程方法模式，识别公司的管理体系所需的过程。</w:t>
            </w:r>
          </w:p>
          <w:p>
            <w:pPr>
              <w:tabs>
                <w:tab w:val="left" w:pos="3560"/>
              </w:tabs>
              <w:spacing w:before="120" w:beforeLines="50" w:after="120" w:afterLines="50" w:line="0" w:lineRule="atLeas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重点识别确保</w:t>
            </w:r>
            <w:r>
              <w:rPr>
                <w:rFonts w:hint="eastAsia" w:ascii="宋体" w:hAnsi="宋体" w:eastAsia="宋体" w:cs="宋体"/>
                <w:b w:val="0"/>
                <w:bCs w:val="0"/>
                <w:kern w:val="2"/>
                <w:sz w:val="24"/>
                <w:szCs w:val="24"/>
                <w:highlight w:val="none"/>
                <w:lang w:val="en-US" w:eastAsia="zh-CN" w:bidi="ar-SA"/>
              </w:rPr>
              <w:t>水处理设备的设计开发与销售</w:t>
            </w:r>
            <w:r>
              <w:rPr>
                <w:rFonts w:hint="eastAsia" w:ascii="宋体" w:hAnsi="宋体" w:eastAsia="宋体" w:cs="宋体"/>
                <w:b w:val="0"/>
                <w:bCs w:val="0"/>
                <w:sz w:val="24"/>
                <w:szCs w:val="24"/>
                <w:highlight w:val="none"/>
              </w:rPr>
              <w:t>的实现过程及其相互作用。通过把管理的过程方法原则和系统方法原理相结合，实现企业的全面管理。</w:t>
            </w:r>
          </w:p>
          <w:p>
            <w:pPr>
              <w:spacing w:line="24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体系包括</w:t>
            </w:r>
            <w:r>
              <w:rPr>
                <w:rFonts w:hint="eastAsia" w:ascii="宋体" w:hAnsi="宋体" w:eastAsia="宋体" w:cs="宋体"/>
                <w:b w:val="0"/>
                <w:bCs w:val="0"/>
                <w:kern w:val="2"/>
                <w:sz w:val="24"/>
                <w:szCs w:val="24"/>
                <w:highlight w:val="none"/>
                <w:lang w:val="en-US" w:eastAsia="zh-CN" w:bidi="ar-SA"/>
              </w:rPr>
              <w:t>水处理设备的设计开发与销售</w:t>
            </w:r>
          </w:p>
          <w:p>
            <w:pPr>
              <w:pStyle w:val="16"/>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有关的具体过程和支持过程。具体包括质量目标管理、监视和测量资源管理、人力资源管理、成文信息管理、环境运行控制管理、职业健康安全运行控制管理，内部审核管理、采购管理、不合格品控制等过程。</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产品实现过程：</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产品设计开发流程图：</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顾客沟通—合同评审—签订合同--立项--需求分析----方案设计—绘制图纸--客户确认</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销售服务流程图：</w:t>
            </w:r>
          </w:p>
          <w:p>
            <w:pPr>
              <w:spacing w:line="360" w:lineRule="auto"/>
              <w:rPr>
                <w:rFonts w:hint="eastAsia" w:ascii="宋体" w:hAnsi="宋体" w:eastAsia="宋体" w:cs="宋体"/>
                <w:b w:val="0"/>
                <w:bCs w:val="0"/>
                <w:sz w:val="24"/>
                <w:szCs w:val="24"/>
                <w:highlight w:val="yellow"/>
              </w:rPr>
            </w:pPr>
            <w:r>
              <w:rPr>
                <w:rFonts w:hint="eastAsia" w:ascii="宋体" w:hAnsi="宋体" w:eastAsia="宋体" w:cs="宋体"/>
                <w:b w:val="0"/>
                <w:bCs w:val="0"/>
                <w:sz w:val="24"/>
                <w:szCs w:val="24"/>
                <w:highlight w:val="none"/>
              </w:rPr>
              <w:t>客户接触--合同评审---签订合同-----客户付款---入帐---采购---供方发货到指定地点---客户验收----收回单据---交付---售后服务</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组织需要从外部供方获得的资源（外包方及过程）：无。</w:t>
            </w:r>
          </w:p>
          <w:p>
            <w:pPr>
              <w:pStyle w:val="16"/>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以上基本适宜</w:t>
            </w:r>
            <w:r>
              <w:rPr>
                <w:rFonts w:hint="eastAsia" w:ascii="宋体" w:hAnsi="宋体" w:eastAsia="宋体" w:cs="宋体"/>
                <w:b w:val="0"/>
                <w:bCs w:val="0"/>
                <w:sz w:val="24"/>
                <w:szCs w:val="24"/>
                <w:highlight w:val="none"/>
              </w:rPr>
              <w:t>的实现过程及其相互作用。通过把管理的过程方法原则和系统方法原理相结合，实现企业的全面管理。</w:t>
            </w:r>
          </w:p>
          <w:p>
            <w:pPr>
              <w:spacing w:line="0" w:lineRule="atLeast"/>
              <w:jc w:val="center"/>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color w:val="000000"/>
                <w:sz w:val="24"/>
                <w:szCs w:val="24"/>
                <w:highlight w:val="none"/>
              </w:rPr>
              <w:t>以上基本适宜。</w:t>
            </w:r>
          </w:p>
        </w:tc>
        <w:tc>
          <w:tcPr>
            <w:tcW w:w="0" w:type="auto"/>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领导作用和承诺</w:t>
            </w:r>
          </w:p>
        </w:tc>
        <w:tc>
          <w:tcPr>
            <w:tcW w:w="0" w:type="auto"/>
            <w:vAlign w:val="center"/>
          </w:tcPr>
          <w:p>
            <w:pPr>
              <w:pStyle w:val="15"/>
              <w:rPr>
                <w:rFonts w:hint="eastAsia" w:ascii="宋体" w:hAnsi="宋体" w:eastAsia="宋体" w:cs="宋体"/>
                <w:b w:val="0"/>
                <w:bCs w:val="0"/>
                <w:sz w:val="24"/>
                <w:szCs w:val="24"/>
              </w:rPr>
            </w:pPr>
            <w:r>
              <w:rPr>
                <w:rFonts w:hint="eastAsia" w:ascii="宋体" w:hAnsi="宋体" w:eastAsia="宋体" w:cs="宋体"/>
                <w:b w:val="0"/>
                <w:bCs w:val="0"/>
                <w:sz w:val="24"/>
                <w:szCs w:val="24"/>
              </w:rPr>
              <w:t>Q：5.1</w:t>
            </w:r>
          </w:p>
          <w:p>
            <w:pPr>
              <w:pStyle w:val="15"/>
              <w:rPr>
                <w:rFonts w:hint="eastAsia" w:ascii="宋体" w:hAnsi="宋体" w:eastAsia="宋体" w:cs="宋体"/>
                <w:b w:val="0"/>
                <w:bCs w:val="0"/>
                <w:sz w:val="24"/>
                <w:szCs w:val="24"/>
              </w:rPr>
            </w:pPr>
            <w:r>
              <w:rPr>
                <w:rFonts w:hint="eastAsia" w:ascii="宋体" w:hAnsi="宋体" w:eastAsia="宋体" w:cs="宋体"/>
                <w:b w:val="0"/>
                <w:bCs w:val="0"/>
                <w:sz w:val="24"/>
                <w:szCs w:val="24"/>
              </w:rPr>
              <w:t>E：5.1</w:t>
            </w:r>
          </w:p>
          <w:p>
            <w:pPr>
              <w:pStyle w:val="1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S:5.1</w:t>
            </w:r>
          </w:p>
          <w:p>
            <w:pPr>
              <w:spacing w:line="0" w:lineRule="atLeast"/>
              <w:jc w:val="center"/>
              <w:rPr>
                <w:rFonts w:hint="eastAsia" w:ascii="宋体" w:hAnsi="宋体" w:eastAsia="宋体" w:cs="宋体"/>
                <w:b w:val="0"/>
                <w:bCs w:val="0"/>
                <w:kern w:val="2"/>
                <w:sz w:val="24"/>
                <w:szCs w:val="24"/>
                <w:lang w:val="en-US" w:eastAsia="zh-CN" w:bidi="ar-SA"/>
              </w:rPr>
            </w:pPr>
          </w:p>
        </w:tc>
        <w:tc>
          <w:tcPr>
            <w:tcW w:w="0" w:type="auto"/>
            <w:vAlign w:val="center"/>
          </w:tcPr>
          <w:p>
            <w:pPr>
              <w:pStyle w:val="15"/>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管理手册、程序文件由总经理</w:t>
            </w:r>
            <w:r>
              <w:rPr>
                <w:rFonts w:hint="eastAsia" w:ascii="宋体" w:hAnsi="宋体" w:cs="宋体"/>
                <w:b w:val="0"/>
                <w:bCs w:val="0"/>
                <w:sz w:val="24"/>
                <w:szCs w:val="24"/>
                <w:highlight w:val="none"/>
                <w:lang w:val="en-US" w:eastAsia="zh-CN"/>
              </w:rPr>
              <w:t>陈福东</w:t>
            </w:r>
            <w:r>
              <w:rPr>
                <w:rFonts w:hint="eastAsia" w:ascii="宋体" w:hAnsi="宋体" w:eastAsia="宋体" w:cs="宋体"/>
                <w:b w:val="0"/>
                <w:bCs w:val="0"/>
                <w:sz w:val="24"/>
                <w:szCs w:val="24"/>
                <w:highlight w:val="none"/>
              </w:rPr>
              <w:t>批准发布；制定了管理方针和目标；并将管理体系的要求融入到公司的业务；识别了公司的风险并采取了一定的措施；根据体系运行要求主持了管理评审，确定并配备管理体系运行所需的人员、技术、资金、设备等资源。查看公司管理体系运行的资源满足要求；授权了管理体系负责人，为体系的有效运行做了贡献。</w:t>
            </w:r>
          </w:p>
          <w:p>
            <w:pPr>
              <w:pStyle w:val="15"/>
              <w:jc w:val="left"/>
              <w:rPr>
                <w:rFonts w:hint="eastAsia" w:ascii="宋体" w:hAnsi="宋体" w:eastAsia="宋体" w:cs="宋体"/>
                <w:b w:val="0"/>
                <w:bCs w:val="0"/>
                <w:sz w:val="24"/>
                <w:szCs w:val="24"/>
                <w:highlight w:val="none"/>
              </w:rPr>
            </w:pPr>
          </w:p>
          <w:p>
            <w:pPr>
              <w:pStyle w:val="15"/>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对公司的</w:t>
            </w:r>
            <w:r>
              <w:rPr>
                <w:rFonts w:hint="eastAsia" w:ascii="宋体" w:hAnsi="宋体" w:eastAsia="宋体" w:cs="宋体"/>
                <w:b w:val="0"/>
                <w:bCs w:val="0"/>
                <w:sz w:val="24"/>
                <w:szCs w:val="24"/>
                <w:highlight w:val="none"/>
              </w:rPr>
              <w:t>重要环境因素的评价准则进行了规定</w:t>
            </w:r>
            <w:r>
              <w:rPr>
                <w:rFonts w:hint="eastAsia" w:ascii="宋体" w:hAnsi="宋体" w:eastAsia="宋体" w:cs="宋体"/>
                <w:b w:val="0"/>
                <w:bCs w:val="0"/>
                <w:sz w:val="24"/>
                <w:szCs w:val="24"/>
                <w:highlight w:val="none"/>
                <w:lang w:val="en-US" w:eastAsia="zh-CN"/>
              </w:rPr>
              <w:t>并识别</w:t>
            </w:r>
          </w:p>
          <w:p>
            <w:pPr>
              <w:pStyle w:val="1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其制订有</w:t>
            </w:r>
            <w:r>
              <w:rPr>
                <w:rFonts w:hint="eastAsia" w:ascii="宋体" w:hAnsi="宋体" w:eastAsia="宋体" w:cs="宋体"/>
                <w:b w:val="0"/>
                <w:bCs w:val="0"/>
                <w:sz w:val="24"/>
                <w:szCs w:val="24"/>
                <w:highlight w:val="none"/>
                <w:u w:val="none"/>
                <w:lang w:eastAsia="zh-CN"/>
              </w:rPr>
              <w:t>《</w:t>
            </w:r>
            <w:r>
              <w:rPr>
                <w:rStyle w:val="9"/>
                <w:rFonts w:hint="eastAsia"/>
                <w:color w:val="auto"/>
                <w:sz w:val="24"/>
                <w:szCs w:val="24"/>
                <w:highlight w:val="none"/>
                <w:u w:val="none"/>
              </w:rPr>
              <w:t>环境因素、危险源识别、风险评价控制程序</w:t>
            </w:r>
            <w:r>
              <w:rPr>
                <w:rFonts w:hint="eastAsia" w:ascii="宋体" w:hAnsi="宋体" w:eastAsia="宋体" w:cs="宋体"/>
                <w:b w:val="0"/>
                <w:bCs w:val="0"/>
                <w:color w:val="000000"/>
                <w:sz w:val="24"/>
                <w:szCs w:val="24"/>
                <w:highlight w:val="none"/>
                <w:u w:val="none"/>
                <w:lang w:eastAsia="zh-CN"/>
              </w:rPr>
              <w:t>》</w:t>
            </w:r>
            <w:r>
              <w:rPr>
                <w:rFonts w:hint="eastAsia" w:ascii="宋体" w:hAnsi="宋体" w:eastAsia="宋体" w:cs="宋体"/>
                <w:b w:val="0"/>
                <w:bCs w:val="0"/>
                <w:sz w:val="24"/>
                <w:szCs w:val="24"/>
                <w:highlight w:val="none"/>
                <w:u w:val="none"/>
              </w:rPr>
              <w:t>，</w:t>
            </w:r>
            <w:r>
              <w:rPr>
                <w:rFonts w:hint="eastAsia" w:ascii="宋体" w:hAnsi="宋体" w:eastAsia="宋体" w:cs="宋体"/>
                <w:b w:val="0"/>
                <w:bCs w:val="0"/>
                <w:sz w:val="24"/>
                <w:szCs w:val="24"/>
                <w:highlight w:val="none"/>
              </w:rPr>
              <w:t>策划有重大危险源/不可接受风险的评价准则</w:t>
            </w:r>
            <w:r>
              <w:rPr>
                <w:rFonts w:hint="eastAsia" w:ascii="宋体" w:hAnsi="宋体" w:eastAsia="宋体" w:cs="宋体"/>
                <w:b w:val="0"/>
                <w:bCs w:val="0"/>
                <w:sz w:val="24"/>
                <w:szCs w:val="24"/>
                <w:highlight w:val="none"/>
                <w:lang w:val="en-US" w:eastAsia="zh-CN"/>
              </w:rPr>
              <w:t>并识别出重大危险源</w:t>
            </w:r>
          </w:p>
          <w:p>
            <w:pPr>
              <w:pStyle w:val="15"/>
              <w:jc w:val="left"/>
              <w:rPr>
                <w:rFonts w:hint="eastAsia" w:ascii="宋体" w:hAnsi="宋体" w:eastAsia="宋体" w:cs="宋体"/>
                <w:b w:val="0"/>
                <w:bCs w:val="0"/>
                <w:sz w:val="24"/>
                <w:szCs w:val="24"/>
                <w:highlight w:val="none"/>
                <w:lang w:val="en-US" w:eastAsia="zh-CN"/>
              </w:rPr>
            </w:pP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以顾客为关注焦点，总经理证实其以顾客为关注焦点的领导作用和承诺：确定、理解并持续地满足顾客要求以及适用的法律法规要求；确定和应对影响产品和服务的符合性以及增强顾客满意能力的风险和机遇；始终致力于增强顾客满意。</w:t>
            </w:r>
          </w:p>
          <w:p>
            <w:pPr>
              <w:pStyle w:val="5"/>
              <w:rPr>
                <w:rFonts w:hint="eastAsia" w:ascii="宋体" w:hAnsi="宋体" w:eastAsia="宋体" w:cs="宋体"/>
                <w:b w:val="0"/>
                <w:bCs w:val="0"/>
                <w:kern w:val="2"/>
                <w:sz w:val="24"/>
                <w:szCs w:val="24"/>
                <w:highlight w:val="yellow"/>
                <w:lang w:val="en-US" w:eastAsia="zh-CN" w:bidi="ar-SA"/>
              </w:rPr>
            </w:pPr>
          </w:p>
        </w:tc>
        <w:tc>
          <w:tcPr>
            <w:tcW w:w="0" w:type="auto"/>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0" w:type="auto"/>
            <w:vAlign w:val="top"/>
          </w:tcPr>
          <w:p>
            <w:pPr>
              <w:spacing w:line="0" w:lineRule="atLeas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管理方针</w:t>
            </w:r>
          </w:p>
        </w:tc>
        <w:tc>
          <w:tcPr>
            <w:tcW w:w="0" w:type="auto"/>
            <w:vAlign w:val="center"/>
          </w:tcPr>
          <w:p>
            <w:pPr>
              <w:pStyle w:val="15"/>
              <w:rPr>
                <w:rFonts w:hint="eastAsia" w:ascii="宋体" w:hAnsi="宋体" w:eastAsia="宋体" w:cs="宋体"/>
                <w:b w:val="0"/>
                <w:bCs w:val="0"/>
                <w:sz w:val="24"/>
                <w:szCs w:val="24"/>
              </w:rPr>
            </w:pPr>
            <w:r>
              <w:rPr>
                <w:rFonts w:hint="eastAsia" w:ascii="宋体" w:hAnsi="宋体" w:eastAsia="宋体" w:cs="宋体"/>
                <w:b w:val="0"/>
                <w:bCs w:val="0"/>
                <w:sz w:val="24"/>
                <w:szCs w:val="24"/>
              </w:rPr>
              <w:t>Q：5.2</w:t>
            </w:r>
          </w:p>
          <w:p>
            <w:pPr>
              <w:spacing w:line="0" w:lineRule="atLeas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E：5.2</w:t>
            </w:r>
          </w:p>
          <w:p>
            <w:pPr>
              <w:spacing w:line="0" w:lineRule="atLeast"/>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S:5.2</w:t>
            </w:r>
          </w:p>
        </w:tc>
        <w:tc>
          <w:tcPr>
            <w:tcW w:w="0" w:type="auto"/>
            <w:vAlign w:val="center"/>
          </w:tcPr>
          <w:p>
            <w:pPr>
              <w:pStyle w:val="15"/>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总经理主持制定并批准发布公司的体系管理方针。确保公司目标指标的制定。</w:t>
            </w:r>
          </w:p>
          <w:p>
            <w:pPr>
              <w:pStyle w:val="15"/>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建立管理方针，对遵守法津法规，持续改进做出承诺；向组织传达满足顾客要求和法律法规要求的重要性。</w:t>
            </w:r>
          </w:p>
          <w:p>
            <w:pPr>
              <w:autoSpaceDE w:val="0"/>
              <w:autoSpaceDN w:val="0"/>
              <w:adjustRightInd w:val="0"/>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管理方针：</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jc w:val="left"/>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守法诚信追求质量，预防污染保护环境；关爱员工健康安全，持续改进追求卓越。</w:t>
            </w:r>
          </w:p>
          <w:p>
            <w:pPr>
              <w:pStyle w:val="15"/>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总经理确定并配备管理体系运行所需的人员、技术、资金、设备等资源。定期进行管理方针的评审，目前每年一次。</w:t>
            </w:r>
          </w:p>
          <w:p>
            <w:pPr>
              <w:pStyle w:val="15"/>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公司在</w:t>
            </w:r>
            <w:r>
              <w:rPr>
                <w:rFonts w:hint="eastAsia" w:ascii="宋体" w:hAnsi="宋体" w:eastAsia="宋体" w:cs="宋体"/>
                <w:b w:val="0"/>
                <w:bCs w:val="0"/>
                <w:sz w:val="24"/>
                <w:szCs w:val="24"/>
                <w:highlight w:val="none"/>
                <w:lang w:val="en-US" w:eastAsia="zh-CN"/>
              </w:rPr>
              <w:t>管理</w:t>
            </w:r>
            <w:r>
              <w:rPr>
                <w:rFonts w:hint="eastAsia" w:ascii="宋体" w:hAnsi="宋体" w:eastAsia="宋体" w:cs="宋体"/>
                <w:b w:val="0"/>
                <w:bCs w:val="0"/>
                <w:sz w:val="24"/>
                <w:szCs w:val="24"/>
                <w:highlight w:val="none"/>
              </w:rPr>
              <w:t>手册中对方针进行公开声明，在公司内部会议进行宣讲、沟通，全体员工能够准确理解其含义并在工作中贯彻落实质量环境安全方针。在与相关方沟通时，可向相关方说明公司质量环境安全方针</w:t>
            </w:r>
          </w:p>
          <w:p>
            <w:pPr>
              <w:spacing w:line="0" w:lineRule="atLeast"/>
              <w:jc w:val="left"/>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sz w:val="24"/>
                <w:szCs w:val="24"/>
                <w:highlight w:val="none"/>
              </w:rPr>
              <w:t>基本符合行业的特点，基本适宜。</w:t>
            </w:r>
          </w:p>
        </w:tc>
        <w:tc>
          <w:tcPr>
            <w:tcW w:w="0" w:type="auto"/>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组织的岗位、职责和权限</w:t>
            </w:r>
          </w:p>
        </w:tc>
        <w:tc>
          <w:tcPr>
            <w:tcW w:w="0" w:type="auto"/>
            <w:vAlign w:val="center"/>
          </w:tcPr>
          <w:p>
            <w:pPr>
              <w:pStyle w:val="15"/>
              <w:rPr>
                <w:rFonts w:hint="eastAsia" w:ascii="宋体" w:hAnsi="宋体" w:eastAsia="宋体" w:cs="宋体"/>
                <w:b w:val="0"/>
                <w:bCs w:val="0"/>
                <w:sz w:val="24"/>
                <w:szCs w:val="24"/>
              </w:rPr>
            </w:pPr>
            <w:r>
              <w:rPr>
                <w:rFonts w:hint="eastAsia" w:ascii="宋体" w:hAnsi="宋体" w:eastAsia="宋体" w:cs="宋体"/>
                <w:b w:val="0"/>
                <w:bCs w:val="0"/>
                <w:sz w:val="24"/>
                <w:szCs w:val="24"/>
              </w:rPr>
              <w:t>Q：5.3</w:t>
            </w:r>
          </w:p>
          <w:p>
            <w:pPr>
              <w:spacing w:line="0" w:lineRule="atLeas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E：5.3</w:t>
            </w:r>
          </w:p>
          <w:p>
            <w:pPr>
              <w:spacing w:line="0" w:lineRule="atLeast"/>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S:5.3</w:t>
            </w:r>
          </w:p>
        </w:tc>
        <w:tc>
          <w:tcPr>
            <w:tcW w:w="0" w:type="auto"/>
            <w:vAlign w:val="center"/>
          </w:tcPr>
          <w:p>
            <w:pPr>
              <w:pStyle w:val="16"/>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公司在程序文件里明确了各部门的工作权限，便于沟通。</w:t>
            </w: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公司由总经理负责，设置了</w:t>
            </w:r>
            <w:r>
              <w:rPr>
                <w:rFonts w:hint="eastAsia" w:ascii="宋体" w:hAnsi="宋体" w:cs="宋体"/>
                <w:b w:val="0"/>
                <w:bCs w:val="0"/>
                <w:sz w:val="24"/>
                <w:szCs w:val="24"/>
                <w:highlight w:val="none"/>
                <w:lang w:val="en-US" w:eastAsia="zh-CN"/>
              </w:rPr>
              <w:t>办公室及营运部</w:t>
            </w:r>
            <w:r>
              <w:rPr>
                <w:rFonts w:hint="eastAsia" w:ascii="宋体" w:hAnsi="宋体" w:eastAsia="宋体" w:cs="宋体"/>
                <w:b w:val="0"/>
                <w:bCs w:val="0"/>
                <w:sz w:val="24"/>
                <w:szCs w:val="24"/>
                <w:highlight w:val="none"/>
              </w:rPr>
              <w:t>，制定了各部门的职责要求，制定了各岗位任职要求，取得了一定的效果；</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经过体系的运行，公司制定的职责和权限基本合适，管理层和各部门能够履行相关的职责；</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公司管理者代表，由总经理任命，见有任命书。</w:t>
            </w:r>
          </w:p>
          <w:p>
            <w:pPr>
              <w:spacing w:line="0" w:lineRule="atLeast"/>
              <w:jc w:val="left"/>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sz w:val="24"/>
                <w:szCs w:val="24"/>
                <w:highlight w:val="none"/>
              </w:rPr>
              <w:t>询问管代，对自己的工作内容了解，基本行使了管代的主要职责，基本能带领全体员工有效实施和保持质量、环境管理体系</w:t>
            </w:r>
            <w:r>
              <w:rPr>
                <w:rFonts w:hint="eastAsia" w:ascii="宋体" w:hAnsi="宋体" w:eastAsia="宋体" w:cs="宋体"/>
                <w:b w:val="0"/>
                <w:bCs w:val="0"/>
                <w:sz w:val="24"/>
                <w:szCs w:val="24"/>
                <w:highlight w:val="none"/>
                <w:lang w:val="en-US" w:eastAsia="zh-CN"/>
              </w:rPr>
              <w:t>及职业健康安全管理体系</w:t>
            </w:r>
            <w:r>
              <w:rPr>
                <w:rFonts w:hint="eastAsia" w:ascii="宋体" w:hAnsi="宋体" w:eastAsia="宋体" w:cs="宋体"/>
                <w:b w:val="0"/>
                <w:bCs w:val="0"/>
                <w:sz w:val="24"/>
                <w:szCs w:val="24"/>
                <w:highlight w:val="none"/>
              </w:rPr>
              <w:t>的运行和实施；</w:t>
            </w:r>
          </w:p>
        </w:tc>
        <w:tc>
          <w:tcPr>
            <w:tcW w:w="0" w:type="auto"/>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应对风险和机遇的意识管理</w:t>
            </w:r>
          </w:p>
        </w:tc>
        <w:tc>
          <w:tcPr>
            <w:tcW w:w="0" w:type="auto"/>
            <w:vAlign w:val="top"/>
          </w:tcPr>
          <w:p>
            <w:pPr>
              <w:pStyle w:val="15"/>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Q：6.1</w:t>
            </w:r>
          </w:p>
          <w:p>
            <w:pPr>
              <w:spacing w:line="0" w:lineRule="atLeas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E：6.1.1</w:t>
            </w:r>
          </w:p>
          <w:p>
            <w:pPr>
              <w:spacing w:line="0" w:lineRule="atLeast"/>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S:6.1.1</w:t>
            </w:r>
          </w:p>
        </w:tc>
        <w:tc>
          <w:tcPr>
            <w:tcW w:w="0" w:type="auto"/>
            <w:vAlign w:val="top"/>
          </w:tcPr>
          <w:p>
            <w:p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对公司存在的机遇，公司内控体系建设，达到合规、风险管控、监督、发展协调一致。做到有制度、有程序、有风险防控措施</w:t>
            </w:r>
          </w:p>
          <w:p>
            <w:pPr>
              <w:jc w:val="left"/>
              <w:rPr>
                <w:rFonts w:hint="eastAsia" w:ascii="宋体" w:hAnsi="宋体" w:eastAsia="宋体" w:cs="宋体"/>
                <w:b w:val="0"/>
                <w:bCs w:val="0"/>
                <w:color w:val="000000"/>
                <w:sz w:val="24"/>
                <w:szCs w:val="24"/>
                <w:highlight w:val="yellow"/>
              </w:rPr>
            </w:pPr>
          </w:p>
          <w:p>
            <w:pPr>
              <w:pStyle w:val="15"/>
              <w:jc w:val="left"/>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sz w:val="24"/>
                <w:szCs w:val="24"/>
                <w:highlight w:val="none"/>
              </w:rPr>
              <w:t>企业根据手册的要求、公司情况和内外</w:t>
            </w:r>
            <w:r>
              <w:rPr>
                <w:rFonts w:hint="eastAsia" w:ascii="宋体" w:hAnsi="宋体" w:eastAsia="宋体" w:cs="宋体"/>
                <w:b w:val="0"/>
                <w:bCs w:val="0"/>
                <w:color w:val="auto"/>
                <w:sz w:val="24"/>
                <w:szCs w:val="24"/>
                <w:highlight w:val="none"/>
                <w:u w:val="none"/>
              </w:rPr>
              <w:t>部的环境，编制了《</w:t>
            </w:r>
            <w:r>
              <w:rPr>
                <w:rStyle w:val="9"/>
                <w:rFonts w:hint="eastAsia"/>
                <w:b w:val="0"/>
                <w:bCs w:val="0"/>
                <w:color w:val="auto"/>
                <w:sz w:val="24"/>
                <w:szCs w:val="24"/>
                <w:highlight w:val="none"/>
                <w:u w:val="none"/>
              </w:rPr>
              <w:t>风险和机遇的应对控制程序</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并提供有</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kern w:val="0"/>
                <w:sz w:val="24"/>
                <w:szCs w:val="24"/>
                <w:highlight w:val="none"/>
                <w:u w:val="none"/>
              </w:rPr>
              <w:t>风险和机遇</w:t>
            </w:r>
            <w:r>
              <w:rPr>
                <w:rFonts w:hint="eastAsia" w:ascii="宋体" w:hAnsi="宋体" w:cs="宋体"/>
                <w:b w:val="0"/>
                <w:bCs w:val="0"/>
                <w:color w:val="auto"/>
                <w:kern w:val="0"/>
                <w:sz w:val="24"/>
                <w:szCs w:val="24"/>
                <w:highlight w:val="none"/>
                <w:u w:val="none"/>
                <w:lang w:val="en-US" w:eastAsia="zh-CN"/>
              </w:rPr>
              <w:t>评估</w:t>
            </w:r>
            <w:r>
              <w:rPr>
                <w:rFonts w:hint="eastAsia" w:ascii="宋体" w:hAnsi="宋体" w:eastAsia="宋体" w:cs="宋体"/>
                <w:b w:val="0"/>
                <w:bCs w:val="0"/>
                <w:color w:val="auto"/>
                <w:kern w:val="0"/>
                <w:sz w:val="24"/>
                <w:szCs w:val="24"/>
                <w:highlight w:val="none"/>
                <w:u w:val="none"/>
              </w:rPr>
              <w:t>分析表</w:t>
            </w:r>
            <w:r>
              <w:rPr>
                <w:rFonts w:hint="eastAsia" w:ascii="宋体" w:hAnsi="宋体" w:eastAsia="宋体" w:cs="宋体"/>
                <w:b w:val="0"/>
                <w:bCs w:val="0"/>
                <w:color w:val="auto"/>
                <w:sz w:val="24"/>
                <w:szCs w:val="24"/>
                <w:highlight w:val="none"/>
                <w:u w:val="none"/>
              </w:rPr>
              <w:t>” ，从法规要求，行业要求，</w:t>
            </w:r>
            <w:r>
              <w:rPr>
                <w:rFonts w:hint="eastAsia" w:ascii="宋体" w:hAnsi="宋体" w:eastAsia="宋体" w:cs="宋体"/>
                <w:b w:val="0"/>
                <w:bCs w:val="0"/>
                <w:color w:val="auto"/>
                <w:sz w:val="24"/>
                <w:szCs w:val="24"/>
                <w:highlight w:val="none"/>
                <w:u w:val="none"/>
                <w:lang w:val="en-US" w:eastAsia="zh-CN"/>
              </w:rPr>
              <w:t>相关方</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运营</w:t>
            </w:r>
            <w:r>
              <w:rPr>
                <w:rFonts w:hint="eastAsia" w:ascii="宋体" w:hAnsi="宋体" w:eastAsia="宋体" w:cs="宋体"/>
                <w:b w:val="0"/>
                <w:bCs w:val="0"/>
                <w:color w:val="auto"/>
                <w:sz w:val="24"/>
                <w:szCs w:val="24"/>
                <w:highlight w:val="none"/>
                <w:u w:val="none"/>
              </w:rPr>
              <w:t>以及公司内部</w:t>
            </w:r>
            <w:r>
              <w:rPr>
                <w:rFonts w:hint="eastAsia" w:ascii="宋体" w:hAnsi="宋体" w:eastAsia="宋体" w:cs="宋体"/>
                <w:b w:val="0"/>
                <w:bCs w:val="0"/>
                <w:color w:val="auto"/>
                <w:sz w:val="24"/>
                <w:szCs w:val="24"/>
                <w:highlight w:val="none"/>
                <w:u w:val="none"/>
                <w:lang w:val="en-US" w:eastAsia="zh-CN"/>
              </w:rPr>
              <w:t>财务，人员，法规等</w:t>
            </w:r>
            <w:r>
              <w:rPr>
                <w:rFonts w:hint="eastAsia" w:ascii="宋体" w:hAnsi="宋体" w:eastAsia="宋体" w:cs="宋体"/>
                <w:b w:val="0"/>
                <w:bCs w:val="0"/>
                <w:color w:val="auto"/>
                <w:sz w:val="24"/>
                <w:szCs w:val="24"/>
                <w:highlight w:val="none"/>
                <w:u w:val="none"/>
              </w:rPr>
              <w:t>几个方面识别出了风险，并通过风险影响分析，制定了应对措施</w:t>
            </w:r>
          </w:p>
          <w:p>
            <w:pPr>
              <w:pStyle w:val="15"/>
              <w:jc w:val="left"/>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提供了：《</w:t>
            </w:r>
            <w:r>
              <w:rPr>
                <w:rStyle w:val="9"/>
                <w:rFonts w:hint="eastAsia"/>
                <w:b w:val="0"/>
                <w:bCs w:val="0"/>
                <w:color w:val="auto"/>
                <w:sz w:val="24"/>
                <w:szCs w:val="24"/>
                <w:highlight w:val="none"/>
                <w:u w:val="none"/>
              </w:rPr>
              <w:t>环境因素、危险源识别、风险评价控制程序</w:t>
            </w:r>
            <w:r>
              <w:rPr>
                <w:rFonts w:hint="eastAsia" w:ascii="宋体" w:hAnsi="宋体" w:eastAsia="宋体" w:cs="宋体"/>
                <w:b w:val="0"/>
                <w:bCs w:val="0"/>
                <w:color w:val="auto"/>
                <w:sz w:val="24"/>
                <w:szCs w:val="24"/>
                <w:highlight w:val="none"/>
                <w:u w:val="none"/>
              </w:rPr>
              <w:t>》，查程序中规定了职责、工作程序等。</w:t>
            </w:r>
          </w:p>
          <w:p>
            <w:pPr>
              <w:spacing w:line="360" w:lineRule="auto"/>
              <w:jc w:val="left"/>
              <w:rPr>
                <w:rFonts w:hint="eastAsia" w:ascii="宋体" w:hAnsi="宋体" w:eastAsia="宋体" w:cs="宋体"/>
                <w:b w:val="0"/>
                <w:bCs w:val="0"/>
                <w:sz w:val="24"/>
                <w:szCs w:val="24"/>
                <w:highlight w:val="none"/>
              </w:rPr>
            </w:pPr>
          </w:p>
          <w:p>
            <w:pPr>
              <w:pStyle w:val="15"/>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-----核查提供的各部门的风险</w:t>
            </w:r>
            <w:r>
              <w:rPr>
                <w:rFonts w:hint="eastAsia" w:ascii="宋体" w:hAnsi="宋体" w:cs="宋体"/>
                <w:b w:val="0"/>
                <w:bCs w:val="0"/>
                <w:sz w:val="24"/>
                <w:szCs w:val="24"/>
                <w:highlight w:val="none"/>
                <w:lang w:val="en-US" w:eastAsia="zh-CN"/>
              </w:rPr>
              <w:t>和</w:t>
            </w:r>
            <w:r>
              <w:rPr>
                <w:rFonts w:hint="eastAsia" w:ascii="宋体" w:hAnsi="宋体" w:eastAsia="宋体" w:cs="宋体"/>
                <w:b w:val="0"/>
                <w:bCs w:val="0"/>
                <w:sz w:val="24"/>
                <w:szCs w:val="24"/>
                <w:highlight w:val="none"/>
              </w:rPr>
              <w:t>机遇</w:t>
            </w:r>
            <w:r>
              <w:rPr>
                <w:rFonts w:hint="eastAsia" w:ascii="宋体" w:hAnsi="宋体" w:cs="宋体"/>
                <w:b w:val="0"/>
                <w:bCs w:val="0"/>
                <w:sz w:val="24"/>
                <w:szCs w:val="24"/>
                <w:highlight w:val="none"/>
                <w:lang w:val="en-US" w:eastAsia="zh-CN"/>
              </w:rPr>
              <w:t>评估</w:t>
            </w:r>
            <w:r>
              <w:rPr>
                <w:rFonts w:hint="eastAsia" w:ascii="宋体" w:hAnsi="宋体" w:eastAsia="宋体" w:cs="宋体"/>
                <w:b w:val="0"/>
                <w:bCs w:val="0"/>
                <w:sz w:val="24"/>
                <w:szCs w:val="24"/>
                <w:highlight w:val="none"/>
              </w:rPr>
              <w:t>分析表</w:t>
            </w:r>
          </w:p>
          <w:p>
            <w:pPr>
              <w:pStyle w:val="15"/>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编制日期：202</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 xml:space="preserve">.09.01               </w:t>
            </w:r>
          </w:p>
          <w:p>
            <w:pPr>
              <w:pStyle w:val="15"/>
              <w:jc w:val="left"/>
              <w:rPr>
                <w:rFonts w:hint="eastAsia" w:ascii="宋体" w:hAnsi="宋体" w:eastAsia="宋体" w:cs="宋体"/>
                <w:b w:val="0"/>
                <w:bCs w:val="0"/>
                <w:sz w:val="24"/>
                <w:szCs w:val="24"/>
                <w:highlight w:val="yellow"/>
              </w:rPr>
            </w:pPr>
            <w:r>
              <w:rPr>
                <w:rFonts w:hint="eastAsia" w:ascii="宋体" w:hAnsi="宋体" w:eastAsia="宋体" w:cs="宋体"/>
                <w:b w:val="0"/>
                <w:bCs w:val="0"/>
                <w:sz w:val="24"/>
                <w:szCs w:val="24"/>
                <w:highlight w:val="none"/>
              </w:rPr>
              <w:t>编制：</w:t>
            </w:r>
            <w:r>
              <w:rPr>
                <w:rFonts w:hint="eastAsia" w:ascii="宋体" w:hAnsi="宋体" w:cs="宋体"/>
                <w:b w:val="0"/>
                <w:bCs w:val="0"/>
                <w:sz w:val="24"/>
                <w:szCs w:val="24"/>
                <w:highlight w:val="none"/>
                <w:lang w:val="en-US" w:eastAsia="zh-CN"/>
              </w:rPr>
              <w:t>刘春风</w:t>
            </w:r>
            <w:r>
              <w:rPr>
                <w:rFonts w:hint="eastAsia" w:ascii="宋体" w:hAnsi="宋体" w:eastAsia="宋体" w:cs="宋体"/>
                <w:b w:val="0"/>
                <w:bCs w:val="0"/>
                <w:sz w:val="24"/>
                <w:szCs w:val="24"/>
                <w:highlight w:val="none"/>
              </w:rPr>
              <w:t xml:space="preserve">   </w:t>
            </w:r>
            <w:r>
              <w:rPr>
                <w:rFonts w:hint="eastAsia" w:ascii="宋体" w:hAnsi="宋体" w:cs="宋体"/>
                <w:b w:val="0"/>
                <w:bCs w:val="0"/>
                <w:sz w:val="24"/>
                <w:szCs w:val="24"/>
                <w:highlight w:val="none"/>
                <w:lang w:val="en-US" w:eastAsia="zh-CN"/>
              </w:rPr>
              <w:t>批准</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陈福东</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color w:val="000000"/>
                <w:sz w:val="24"/>
                <w:szCs w:val="24"/>
                <w:highlight w:val="none"/>
                <w:lang w:val="en-US" w:eastAsia="zh-CN"/>
              </w:rPr>
              <w:t>分析</w:t>
            </w:r>
            <w:r>
              <w:rPr>
                <w:rFonts w:hint="eastAsia" w:ascii="宋体" w:hAnsi="宋体" w:eastAsia="宋体" w:cs="宋体"/>
                <w:b w:val="0"/>
                <w:bCs w:val="0"/>
                <w:sz w:val="24"/>
                <w:szCs w:val="24"/>
                <w:highlight w:val="none"/>
              </w:rPr>
              <w:t>表内容包括风险</w:t>
            </w:r>
            <w:r>
              <w:rPr>
                <w:rFonts w:hint="eastAsia" w:ascii="宋体" w:hAnsi="宋体" w:cs="宋体"/>
                <w:b w:val="0"/>
                <w:bCs w:val="0"/>
                <w:sz w:val="24"/>
                <w:szCs w:val="24"/>
                <w:highlight w:val="none"/>
                <w:lang w:val="en-US" w:eastAsia="zh-CN"/>
              </w:rPr>
              <w:t>及机遇的识别</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评估，措施</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措</w:t>
            </w:r>
            <w:r>
              <w:rPr>
                <w:rFonts w:hint="eastAsia" w:ascii="宋体" w:hAnsi="宋体" w:eastAsia="宋体" w:cs="宋体"/>
                <w:b w:val="0"/>
                <w:bCs w:val="0"/>
                <w:sz w:val="24"/>
                <w:szCs w:val="24"/>
                <w:highlight w:val="none"/>
              </w:rPr>
              <w:t>施</w:t>
            </w:r>
            <w:r>
              <w:rPr>
                <w:rFonts w:hint="eastAsia" w:ascii="宋体" w:hAnsi="宋体" w:cs="宋体"/>
                <w:b w:val="0"/>
                <w:bCs w:val="0"/>
                <w:sz w:val="24"/>
                <w:szCs w:val="24"/>
                <w:highlight w:val="none"/>
                <w:lang w:val="en-US" w:eastAsia="zh-CN"/>
              </w:rPr>
              <w:t>实施情况</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执行部门等</w:t>
            </w:r>
            <w:r>
              <w:rPr>
                <w:rFonts w:hint="eastAsia" w:ascii="宋体" w:hAnsi="宋体" w:eastAsia="宋体" w:cs="宋体"/>
                <w:b w:val="0"/>
                <w:bCs w:val="0"/>
                <w:sz w:val="24"/>
                <w:szCs w:val="24"/>
                <w:highlight w:val="none"/>
              </w:rPr>
              <w:t>。</w:t>
            </w:r>
          </w:p>
          <w:p>
            <w:pPr>
              <w:jc w:val="left"/>
              <w:rPr>
                <w:rFonts w:hint="eastAsia" w:ascii="宋体" w:hAnsi="宋体" w:eastAsia="宋体" w:cs="宋体"/>
                <w:b w:val="0"/>
                <w:bCs w:val="0"/>
                <w:kern w:val="2"/>
                <w:sz w:val="24"/>
                <w:szCs w:val="24"/>
                <w:highlight w:val="yellow"/>
                <w:lang w:val="en-US" w:eastAsia="zh-CN" w:bidi="ar-SA"/>
              </w:rPr>
            </w:pPr>
          </w:p>
        </w:tc>
        <w:tc>
          <w:tcPr>
            <w:tcW w:w="0" w:type="auto"/>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trPr>
        <w:tc>
          <w:tcPr>
            <w:tcW w:w="0" w:type="auto"/>
            <w:vAlign w:val="top"/>
          </w:tcPr>
          <w:p>
            <w:pPr>
              <w:spacing w:line="0" w:lineRule="atLeas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质量目标、环境目标及其实现的策划</w:t>
            </w:r>
          </w:p>
        </w:tc>
        <w:tc>
          <w:tcPr>
            <w:tcW w:w="0" w:type="auto"/>
            <w:vAlign w:val="center"/>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eastAsia="宋体" w:cs="宋体"/>
                <w:b w:val="0"/>
                <w:bCs w:val="0"/>
                <w:sz w:val="24"/>
                <w:szCs w:val="24"/>
                <w:lang w:val="en-US" w:eastAsia="zh-CN"/>
              </w:rPr>
              <w:t>S</w:t>
            </w:r>
            <w:r>
              <w:rPr>
                <w:rFonts w:hint="eastAsia" w:ascii="宋体" w:hAnsi="宋体" w:eastAsia="宋体" w:cs="宋体"/>
                <w:b w:val="0"/>
                <w:bCs w:val="0"/>
                <w:sz w:val="24"/>
                <w:szCs w:val="24"/>
              </w:rPr>
              <w:t>：</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6.2</w:t>
            </w:r>
          </w:p>
          <w:p>
            <w:pPr>
              <w:spacing w:line="0" w:lineRule="atLeast"/>
              <w:jc w:val="center"/>
              <w:rPr>
                <w:rFonts w:hint="eastAsia" w:ascii="宋体" w:hAnsi="宋体" w:eastAsia="宋体" w:cs="宋体"/>
                <w:b w:val="0"/>
                <w:bCs w:val="0"/>
                <w:kern w:val="2"/>
                <w:sz w:val="24"/>
                <w:szCs w:val="24"/>
                <w:lang w:val="en-US" w:eastAsia="zh-CN" w:bidi="ar-SA"/>
              </w:rPr>
            </w:pPr>
          </w:p>
        </w:tc>
        <w:tc>
          <w:tcPr>
            <w:tcW w:w="0" w:type="auto"/>
            <w:vAlign w:val="center"/>
          </w:tcPr>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公司对质量、环境</w:t>
            </w:r>
            <w:r>
              <w:rPr>
                <w:rFonts w:hint="eastAsia" w:ascii="宋体" w:hAnsi="宋体" w:eastAsia="宋体" w:cs="宋体"/>
                <w:b w:val="0"/>
                <w:bCs w:val="0"/>
                <w:sz w:val="24"/>
                <w:szCs w:val="24"/>
                <w:highlight w:val="none"/>
                <w:lang w:val="en-US" w:eastAsia="zh-CN"/>
              </w:rPr>
              <w:t xml:space="preserve">, 职业健康安全 </w:t>
            </w:r>
            <w:r>
              <w:rPr>
                <w:rFonts w:hint="eastAsia" w:ascii="宋体" w:hAnsi="宋体" w:eastAsia="宋体" w:cs="宋体"/>
                <w:b w:val="0"/>
                <w:bCs w:val="0"/>
                <w:sz w:val="24"/>
                <w:szCs w:val="24"/>
                <w:highlight w:val="none"/>
              </w:rPr>
              <w:t>设置了相应目标，并分解到了相关职能层次上。</w:t>
            </w:r>
          </w:p>
          <w:p>
            <w:pPr>
              <w:pStyle w:val="3"/>
              <w:keepNext w:val="0"/>
              <w:keepLines w:val="0"/>
              <w:pageBreakBefore w:val="0"/>
              <w:widowControl w:val="0"/>
              <w:kinsoku/>
              <w:wordWrap/>
              <w:overflowPunct/>
              <w:topLinePunct w:val="0"/>
              <w:bidi w:val="0"/>
              <w:snapToGrid/>
              <w:spacing w:line="520" w:lineRule="exact"/>
              <w:ind w:left="0" w:leftChars="0" w:right="0" w:rightChars="0" w:firstLine="0" w:firstLineChars="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公司的</w:t>
            </w:r>
            <w:r>
              <w:rPr>
                <w:rFonts w:hint="eastAsia" w:ascii="宋体" w:hAnsi="宋体" w:eastAsia="宋体" w:cs="宋体"/>
                <w:b w:val="0"/>
                <w:bCs w:val="0"/>
                <w:sz w:val="24"/>
                <w:szCs w:val="24"/>
                <w:highlight w:val="none"/>
                <w:lang w:eastAsia="zh-CN"/>
              </w:rPr>
              <w:t>管理</w:t>
            </w:r>
            <w:r>
              <w:rPr>
                <w:rFonts w:hint="eastAsia" w:ascii="宋体" w:hAnsi="宋体" w:eastAsia="宋体" w:cs="宋体"/>
                <w:b w:val="0"/>
                <w:bCs w:val="0"/>
                <w:sz w:val="24"/>
                <w:szCs w:val="24"/>
                <w:highlight w:val="none"/>
              </w:rPr>
              <w:t>目标：</w:t>
            </w: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质量目标：</w:t>
            </w: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新产品设计完成率≥90%</w:t>
            </w: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合同履约率≥98%</w:t>
            </w: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顾客满意率≥98%</w:t>
            </w: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环境管理目标：</w:t>
            </w: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固体废弃物分类处理率100%</w:t>
            </w: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职业健康安全管理目标：</w:t>
            </w: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意外伤害事故发生率为0</w:t>
            </w:r>
          </w:p>
          <w:p>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火灾事故发生率为0</w:t>
            </w:r>
          </w:p>
          <w:p>
            <w:pPr>
              <w:spacing w:line="340" w:lineRule="exact"/>
              <w:jc w:val="left"/>
              <w:rPr>
                <w:rFonts w:hint="default" w:ascii="宋体" w:hAnsi="宋体" w:eastAsia="宋体" w:cs="宋体"/>
                <w:b w:val="0"/>
                <w:bCs w:val="0"/>
                <w:kern w:val="0"/>
                <w:sz w:val="24"/>
                <w:szCs w:val="24"/>
                <w:highlight w:val="yellow"/>
                <w:lang w:val="en-US" w:eastAsia="zh-CN" w:bidi="ar-SA"/>
              </w:rPr>
            </w:pPr>
            <w:r>
              <w:rPr>
                <w:rFonts w:hint="eastAsia" w:ascii="宋体" w:hAnsi="宋体" w:cs="宋体"/>
                <w:b w:val="0"/>
                <w:bCs w:val="0"/>
                <w:kern w:val="0"/>
                <w:sz w:val="24"/>
                <w:szCs w:val="24"/>
                <w:highlight w:val="none"/>
                <w:lang w:val="en-US" w:eastAsia="zh-CN" w:bidi="ar-SA"/>
              </w:rPr>
              <w:t>截止到第三季度 目标均完成</w:t>
            </w:r>
          </w:p>
        </w:tc>
        <w:tc>
          <w:tcPr>
            <w:tcW w:w="0" w:type="auto"/>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变更的策划</w:t>
            </w:r>
          </w:p>
        </w:tc>
        <w:tc>
          <w:tcPr>
            <w:tcW w:w="0" w:type="auto"/>
            <w:vAlign w:val="center"/>
          </w:tcPr>
          <w:p>
            <w:pPr>
              <w:pStyle w:val="15"/>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Q：6.3</w:t>
            </w:r>
          </w:p>
          <w:p>
            <w:pPr>
              <w:spacing w:line="0" w:lineRule="atLeast"/>
              <w:jc w:val="center"/>
              <w:rPr>
                <w:rFonts w:hint="eastAsia" w:ascii="宋体" w:hAnsi="宋体" w:eastAsia="宋体" w:cs="宋体"/>
                <w:b w:val="0"/>
                <w:bCs w:val="0"/>
                <w:kern w:val="2"/>
                <w:sz w:val="24"/>
                <w:szCs w:val="24"/>
                <w:lang w:val="en-US" w:eastAsia="zh-CN" w:bidi="ar-SA"/>
              </w:rPr>
            </w:pPr>
          </w:p>
        </w:tc>
        <w:tc>
          <w:tcPr>
            <w:tcW w:w="0" w:type="auto"/>
            <w:vAlign w:val="center"/>
          </w:tcPr>
          <w:p>
            <w:pPr>
              <w:pStyle w:val="15"/>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并明确了变更评估及实施的流程</w:t>
            </w:r>
          </w:p>
          <w:p>
            <w:pPr>
              <w:spacing w:line="0" w:lineRule="atLeast"/>
              <w:jc w:val="left"/>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sz w:val="24"/>
                <w:szCs w:val="24"/>
                <w:highlight w:val="none"/>
              </w:rPr>
              <w:t>自体系建立以来，体系未发生变更</w:t>
            </w:r>
          </w:p>
        </w:tc>
        <w:tc>
          <w:tcPr>
            <w:tcW w:w="0" w:type="auto"/>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监视、测量、分析和评价、</w:t>
            </w:r>
          </w:p>
        </w:tc>
        <w:tc>
          <w:tcPr>
            <w:tcW w:w="0" w:type="auto"/>
            <w:vAlign w:val="center"/>
          </w:tcPr>
          <w:p>
            <w:pPr>
              <w:pStyle w:val="15"/>
              <w:rPr>
                <w:rFonts w:hint="eastAsia" w:ascii="宋体" w:hAnsi="宋体" w:eastAsia="宋体" w:cs="宋体"/>
                <w:b w:val="0"/>
                <w:bCs w:val="0"/>
                <w:sz w:val="24"/>
                <w:szCs w:val="24"/>
              </w:rPr>
            </w:pPr>
            <w:r>
              <w:rPr>
                <w:rFonts w:hint="eastAsia" w:ascii="宋体" w:hAnsi="宋体" w:eastAsia="宋体" w:cs="宋体"/>
                <w:b w:val="0"/>
                <w:bCs w:val="0"/>
                <w:sz w:val="24"/>
                <w:szCs w:val="24"/>
              </w:rPr>
              <w:t>Q:9.1.1</w:t>
            </w:r>
          </w:p>
          <w:p>
            <w:pPr>
              <w:spacing w:line="0" w:lineRule="atLeas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E:9.1.1</w:t>
            </w:r>
          </w:p>
          <w:p>
            <w:pPr>
              <w:spacing w:line="0" w:lineRule="atLeast"/>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S:9.1.1</w:t>
            </w:r>
          </w:p>
        </w:tc>
        <w:tc>
          <w:tcPr>
            <w:tcW w:w="0" w:type="auto"/>
            <w:vAlign w:val="center"/>
          </w:tcPr>
          <w:p>
            <w:p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为了保证管理体系及产品的符合性，策划了所需的监视和测量对象、监测测量分析和评价的方式，实施监视和测量的时机及分析和评价监视和测量结果的时机，及时发现体系运行的不足和改进事宜；</w:t>
            </w:r>
          </w:p>
          <w:p>
            <w:p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环境管理</w:t>
            </w:r>
            <w:r>
              <w:rPr>
                <w:rFonts w:hint="eastAsia" w:ascii="宋体" w:hAnsi="宋体" w:cs="宋体"/>
                <w:b w:val="0"/>
                <w:bCs w:val="0"/>
                <w:sz w:val="24"/>
                <w:szCs w:val="24"/>
                <w:highlight w:val="none"/>
                <w:lang w:val="en-US" w:eastAsia="zh-CN"/>
              </w:rPr>
              <w:t>监</w:t>
            </w:r>
            <w:r>
              <w:rPr>
                <w:rFonts w:hint="eastAsia" w:ascii="宋体" w:hAnsi="宋体" w:eastAsia="宋体" w:cs="宋体"/>
                <w:b w:val="0"/>
                <w:bCs w:val="0"/>
                <w:sz w:val="24"/>
                <w:szCs w:val="24"/>
                <w:highlight w:val="none"/>
              </w:rPr>
              <w:t>测包括定期环境因素识别、合规义务识别检查</w:t>
            </w:r>
          </w:p>
          <w:p>
            <w:p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每年进行一次内部审核，见内审检查单</w:t>
            </w:r>
          </w:p>
          <w:p>
            <w:pPr>
              <w:spacing w:line="0" w:lineRule="atLeast"/>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每年进行一次管理评审，总经理主持，各部门参加，见管理评审检查单</w:t>
            </w:r>
          </w:p>
        </w:tc>
        <w:tc>
          <w:tcPr>
            <w:tcW w:w="0" w:type="auto"/>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环境因素、合规义务、</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措施的策划</w:t>
            </w:r>
          </w:p>
          <w:p>
            <w:pPr>
              <w:spacing w:line="0" w:lineRule="atLeast"/>
              <w:jc w:val="center"/>
              <w:rPr>
                <w:rFonts w:hint="eastAsia" w:ascii="宋体" w:hAnsi="宋体" w:eastAsia="宋体" w:cs="宋体"/>
                <w:b w:val="0"/>
                <w:bCs w:val="0"/>
                <w:kern w:val="2"/>
                <w:sz w:val="24"/>
                <w:szCs w:val="24"/>
                <w:highlight w:val="none"/>
                <w:lang w:val="en-US" w:eastAsia="zh-CN" w:bidi="ar-SA"/>
              </w:rPr>
            </w:pPr>
          </w:p>
        </w:tc>
        <w:tc>
          <w:tcPr>
            <w:tcW w:w="0" w:type="auto"/>
            <w:vAlign w:val="center"/>
          </w:tcPr>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E:</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6.1.2</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6.1.3</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6.1.4</w:t>
            </w:r>
          </w:p>
          <w:p>
            <w:pPr>
              <w:spacing w:line="0" w:lineRule="atLeast"/>
              <w:jc w:val="center"/>
              <w:rPr>
                <w:rFonts w:hint="eastAsia" w:ascii="宋体" w:hAnsi="宋体" w:eastAsia="宋体" w:cs="宋体"/>
                <w:b w:val="0"/>
                <w:bCs w:val="0"/>
                <w:kern w:val="2"/>
                <w:sz w:val="24"/>
                <w:szCs w:val="24"/>
                <w:highlight w:val="none"/>
                <w:lang w:val="en-US" w:eastAsia="zh-CN" w:bidi="ar-SA"/>
              </w:rPr>
            </w:pPr>
          </w:p>
        </w:tc>
        <w:tc>
          <w:tcPr>
            <w:tcW w:w="0" w:type="auto"/>
            <w:vAlign w:val="center"/>
          </w:tcPr>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公司进行了环境因素识别，进行了法律法规的收集和获取，进行措施进行控制管理环境因素、合规义务、识别的风险和机遇，并制定了相应的应对措施，收到了一定的效果；</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提供了《环境因素</w:t>
            </w:r>
            <w:r>
              <w:rPr>
                <w:rFonts w:hint="eastAsia" w:ascii="宋体" w:hAnsi="宋体" w:cs="宋体"/>
                <w:b w:val="0"/>
                <w:bCs w:val="0"/>
                <w:sz w:val="24"/>
                <w:szCs w:val="24"/>
                <w:highlight w:val="none"/>
                <w:lang w:val="en-US" w:eastAsia="zh-CN"/>
              </w:rPr>
              <w:t>评价和识别表</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识别了</w:t>
            </w:r>
            <w:r>
              <w:rPr>
                <w:rFonts w:hint="eastAsia" w:ascii="宋体" w:hAnsi="宋体" w:eastAsia="宋体" w:cs="宋体"/>
                <w:b w:val="0"/>
                <w:bCs w:val="0"/>
                <w:sz w:val="24"/>
                <w:szCs w:val="24"/>
                <w:highlight w:val="none"/>
              </w:rPr>
              <w:t>环境因素，</w:t>
            </w:r>
          </w:p>
          <w:p>
            <w:pPr>
              <w:pStyle w:val="5"/>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内容有部门区域，环境因素，环境影响等</w:t>
            </w:r>
          </w:p>
          <w:p>
            <w:pPr>
              <w:pStyle w:val="5"/>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包括有 水的消耗，电的消耗，</w:t>
            </w:r>
            <w:r>
              <w:rPr>
                <w:rFonts w:hint="eastAsia" w:ascii="宋体" w:hAnsi="宋体" w:eastAsia="宋体" w:cs="宋体"/>
                <w:b w:val="0"/>
                <w:bCs w:val="0"/>
                <w:sz w:val="24"/>
                <w:szCs w:val="24"/>
                <w:highlight w:val="none"/>
                <w:lang w:val="zh-CN" w:eastAsia="zh-CN"/>
              </w:rPr>
              <w:t>废硒鼓、色带的排放</w:t>
            </w:r>
            <w:r>
              <w:rPr>
                <w:rFonts w:hint="eastAsia" w:ascii="宋体" w:hAnsi="宋体" w:eastAsia="宋体" w:cs="宋体"/>
                <w:b w:val="0"/>
                <w:bCs w:val="0"/>
                <w:sz w:val="24"/>
                <w:szCs w:val="24"/>
                <w:highlight w:val="none"/>
                <w:lang w:val="en-US" w:eastAsia="zh-CN"/>
              </w:rPr>
              <w:t xml:space="preserve"> 纸的消耗 车辆使用的汽车尾气排放等</w:t>
            </w:r>
          </w:p>
          <w:p>
            <w:pPr>
              <w:pStyle w:val="5"/>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重要环境因素为固体废弃物排放、火灾发生。</w:t>
            </w:r>
          </w:p>
          <w:p>
            <w:pPr>
              <w:spacing w:line="0" w:lineRule="atLeast"/>
              <w:jc w:val="center"/>
              <w:rPr>
                <w:rFonts w:hint="eastAsia" w:ascii="宋体" w:hAnsi="宋体" w:eastAsia="宋体" w:cs="宋体"/>
                <w:b w:val="0"/>
                <w:bCs w:val="0"/>
                <w:kern w:val="2"/>
                <w:sz w:val="24"/>
                <w:szCs w:val="24"/>
                <w:highlight w:val="none"/>
                <w:lang w:val="en-US" w:eastAsia="zh-CN" w:bidi="ar-SA"/>
              </w:rPr>
            </w:pPr>
          </w:p>
        </w:tc>
        <w:tc>
          <w:tcPr>
            <w:tcW w:w="0" w:type="auto"/>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left"/>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危险源辨识及风险和机遇的评价</w:t>
            </w:r>
          </w:p>
          <w:p>
            <w:p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合规义务</w:t>
            </w:r>
            <w:r>
              <w:rPr>
                <w:rFonts w:hint="eastAsia" w:ascii="宋体" w:hAnsi="宋体" w:eastAsia="宋体" w:cs="宋体"/>
                <w:b w:val="0"/>
                <w:bCs w:val="0"/>
                <w:sz w:val="24"/>
                <w:szCs w:val="24"/>
                <w:highlight w:val="none"/>
              </w:rPr>
              <w:t>措施的策划</w:t>
            </w:r>
          </w:p>
          <w:p>
            <w:pPr>
              <w:spacing w:line="0" w:lineRule="atLeast"/>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 xml:space="preserve"> </w:t>
            </w:r>
          </w:p>
        </w:tc>
        <w:tc>
          <w:tcPr>
            <w:tcW w:w="0" w:type="auto"/>
            <w:vAlign w:val="center"/>
          </w:tcPr>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S</w:t>
            </w:r>
            <w:r>
              <w:rPr>
                <w:rFonts w:hint="eastAsia" w:ascii="宋体" w:hAnsi="宋体" w:eastAsia="宋体" w:cs="宋体"/>
                <w:b w:val="0"/>
                <w:bCs w:val="0"/>
                <w:sz w:val="24"/>
                <w:szCs w:val="24"/>
                <w:highlight w:val="none"/>
              </w:rPr>
              <w:t>:</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6.1.2</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6.1.3</w:t>
            </w:r>
          </w:p>
          <w:p>
            <w:p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6.1.4</w:t>
            </w:r>
          </w:p>
          <w:p>
            <w:pPr>
              <w:spacing w:line="0" w:lineRule="atLeast"/>
              <w:jc w:val="center"/>
              <w:rPr>
                <w:rFonts w:hint="eastAsia" w:ascii="宋体" w:hAnsi="宋体" w:eastAsia="宋体" w:cs="宋体"/>
                <w:b w:val="0"/>
                <w:bCs w:val="0"/>
                <w:kern w:val="2"/>
                <w:sz w:val="24"/>
                <w:szCs w:val="24"/>
                <w:highlight w:val="none"/>
                <w:lang w:val="en-US" w:eastAsia="zh-CN" w:bidi="ar-SA"/>
              </w:rPr>
            </w:pPr>
          </w:p>
        </w:tc>
        <w:tc>
          <w:tcPr>
            <w:tcW w:w="0" w:type="auto"/>
            <w:vAlign w:val="center"/>
          </w:tcPr>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公司进行了</w:t>
            </w:r>
            <w:r>
              <w:rPr>
                <w:rFonts w:hint="eastAsia" w:ascii="宋体" w:hAnsi="宋体" w:eastAsia="宋体" w:cs="宋体"/>
                <w:b w:val="0"/>
                <w:bCs w:val="0"/>
                <w:color w:val="000000"/>
                <w:kern w:val="0"/>
                <w:sz w:val="24"/>
                <w:szCs w:val="24"/>
                <w:highlight w:val="none"/>
                <w:lang w:val="en-US" w:eastAsia="zh-CN" w:bidi="ar"/>
              </w:rPr>
              <w:t>危险源辨识及风险和机遇的评价</w:t>
            </w:r>
            <w:r>
              <w:rPr>
                <w:rFonts w:hint="eastAsia" w:ascii="宋体" w:hAnsi="宋体" w:cs="宋体"/>
                <w:b w:val="0"/>
                <w:bCs w:val="0"/>
                <w:color w:val="000000"/>
                <w:kern w:val="0"/>
                <w:sz w:val="24"/>
                <w:szCs w:val="24"/>
                <w:highlight w:val="none"/>
                <w:lang w:val="en-US" w:eastAsia="zh-CN" w:bidi="ar"/>
              </w:rPr>
              <w:t>，</w:t>
            </w:r>
            <w:r>
              <w:rPr>
                <w:rFonts w:hint="eastAsia" w:ascii="宋体" w:hAnsi="宋体" w:eastAsia="宋体" w:cs="宋体"/>
                <w:b w:val="0"/>
                <w:bCs w:val="0"/>
                <w:sz w:val="24"/>
                <w:szCs w:val="24"/>
                <w:highlight w:val="none"/>
              </w:rPr>
              <w:t>进行了法律法规的收集和获取，进行措施进行控制管理环境因素、合规义务、识别的风险和机遇，并制定了相应的应对措施，收到了一定的效果；</w:t>
            </w:r>
          </w:p>
          <w:p>
            <w:pPr>
              <w:spacing w:line="400" w:lineRule="exact"/>
              <w:jc w:val="left"/>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提供了</w:t>
            </w:r>
            <w:r>
              <w:rPr>
                <w:rFonts w:hint="eastAsia" w:ascii="宋体" w:hAnsi="宋体" w:eastAsia="宋体" w:cs="宋体"/>
                <w:b w:val="0"/>
                <w:bCs w:val="0"/>
                <w:color w:val="auto"/>
                <w:sz w:val="24"/>
                <w:szCs w:val="24"/>
                <w:highlight w:val="none"/>
              </w:rPr>
              <w:t>《危险源辩识</w:t>
            </w:r>
            <w:r>
              <w:rPr>
                <w:rFonts w:hint="eastAsia" w:ascii="宋体" w:hAnsi="宋体" w:cs="宋体"/>
                <w:b w:val="0"/>
                <w:bCs w:val="0"/>
                <w:color w:val="auto"/>
                <w:sz w:val="24"/>
                <w:szCs w:val="24"/>
                <w:highlight w:val="none"/>
                <w:lang w:val="en-US" w:eastAsia="zh-CN"/>
              </w:rPr>
              <w:t>和评价表</w:t>
            </w:r>
            <w:r>
              <w:rPr>
                <w:rFonts w:hint="eastAsia" w:ascii="宋体" w:hAnsi="宋体" w:eastAsia="宋体" w:cs="宋体"/>
                <w:b w:val="0"/>
                <w:bCs w:val="0"/>
                <w:color w:val="auto"/>
                <w:sz w:val="24"/>
                <w:szCs w:val="24"/>
                <w:highlight w:val="none"/>
              </w:rPr>
              <w:t>表》</w:t>
            </w:r>
            <w:r>
              <w:rPr>
                <w:rFonts w:hint="eastAsia" w:ascii="宋体" w:hAnsi="宋体" w:eastAsia="宋体" w:cs="宋体"/>
                <w:b w:val="0"/>
                <w:bCs w:val="0"/>
                <w:color w:val="auto"/>
                <w:sz w:val="24"/>
                <w:szCs w:val="24"/>
                <w:highlight w:val="none"/>
                <w:lang w:val="en-US" w:eastAsia="zh-CN"/>
              </w:rPr>
              <w:t xml:space="preserve"> 识别</w:t>
            </w:r>
            <w:r>
              <w:rPr>
                <w:rFonts w:hint="eastAsia" w:ascii="宋体" w:hAnsi="宋体" w:eastAsia="宋体" w:cs="宋体"/>
                <w:b w:val="0"/>
                <w:bCs w:val="0"/>
                <w:sz w:val="24"/>
                <w:szCs w:val="24"/>
                <w:highlight w:val="none"/>
                <w:lang w:val="en-US" w:eastAsia="zh-CN"/>
              </w:rPr>
              <w:t>危险</w:t>
            </w:r>
            <w:r>
              <w:rPr>
                <w:rFonts w:hint="eastAsia" w:ascii="宋体" w:hAnsi="宋体" w:cs="宋体"/>
                <w:b w:val="0"/>
                <w:bCs w:val="0"/>
                <w:sz w:val="24"/>
                <w:szCs w:val="24"/>
                <w:highlight w:val="none"/>
                <w:lang w:val="en-US" w:eastAsia="zh-CN"/>
              </w:rPr>
              <w:t>源</w:t>
            </w:r>
            <w:r>
              <w:rPr>
                <w:rFonts w:hint="eastAsia" w:ascii="宋体" w:hAnsi="宋体" w:eastAsia="宋体" w:cs="宋体"/>
                <w:b w:val="0"/>
                <w:bCs w:val="0"/>
                <w:sz w:val="24"/>
                <w:szCs w:val="24"/>
                <w:highlight w:val="none"/>
                <w:lang w:val="en-US" w:eastAsia="zh-CN"/>
              </w:rPr>
              <w:t>，其中不可接受风险为电器老化火灾和触电和</w:t>
            </w:r>
            <w:r>
              <w:rPr>
                <w:rFonts w:hint="eastAsia" w:ascii="宋体" w:hAnsi="宋体" w:cs="宋体"/>
                <w:b w:val="0"/>
                <w:bCs w:val="0"/>
                <w:sz w:val="24"/>
                <w:szCs w:val="24"/>
                <w:highlight w:val="none"/>
                <w:lang w:val="en-US" w:eastAsia="zh-CN"/>
              </w:rPr>
              <w:t>交通意外</w:t>
            </w:r>
          </w:p>
          <w:p>
            <w:pPr>
              <w:spacing w:line="0" w:lineRule="atLeast"/>
              <w:jc w:val="center"/>
              <w:rPr>
                <w:rFonts w:hint="eastAsia" w:ascii="宋体" w:hAnsi="宋体" w:eastAsia="宋体" w:cs="宋体"/>
                <w:b w:val="0"/>
                <w:bCs w:val="0"/>
                <w:kern w:val="2"/>
                <w:sz w:val="24"/>
                <w:szCs w:val="24"/>
                <w:highlight w:val="yellow"/>
                <w:lang w:val="en-US" w:eastAsia="zh-CN" w:bidi="ar-SA"/>
              </w:rPr>
            </w:pPr>
          </w:p>
        </w:tc>
        <w:tc>
          <w:tcPr>
            <w:tcW w:w="0" w:type="auto"/>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center"/>
              <w:rPr>
                <w:rFonts w:hint="eastAsia" w:ascii="宋体" w:hAnsi="宋体" w:eastAsia="宋体" w:cs="宋体"/>
                <w:b w:val="0"/>
                <w:bCs w:val="0"/>
                <w:kern w:val="2"/>
                <w:sz w:val="24"/>
                <w:szCs w:val="24"/>
                <w:highlight w:val="none"/>
                <w:lang w:val="en-US" w:eastAsia="zh-CN" w:bidi="ar-SA"/>
              </w:rPr>
            </w:pPr>
            <w:bookmarkStart w:id="5" w:name="_GoBack"/>
            <w:bookmarkEnd w:id="5"/>
            <w:r>
              <w:rPr>
                <w:rFonts w:hint="eastAsia" w:ascii="宋体" w:hAnsi="宋体" w:eastAsia="宋体" w:cs="宋体"/>
                <w:b w:val="0"/>
                <w:bCs w:val="0"/>
                <w:sz w:val="24"/>
                <w:szCs w:val="24"/>
                <w:highlight w:val="none"/>
                <w:lang w:val="en-US" w:eastAsia="zh-CN"/>
              </w:rPr>
              <w:t>管理评审</w:t>
            </w:r>
          </w:p>
        </w:tc>
        <w:tc>
          <w:tcPr>
            <w:tcW w:w="0" w:type="auto"/>
            <w:vAlign w:val="center"/>
          </w:tcPr>
          <w:p>
            <w:pPr>
              <w:pStyle w:val="15"/>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Q:</w:t>
            </w:r>
            <w:r>
              <w:rPr>
                <w:rFonts w:hint="eastAsia" w:ascii="宋体" w:hAnsi="宋体" w:eastAsia="宋体" w:cs="宋体"/>
                <w:b w:val="0"/>
                <w:bCs w:val="0"/>
                <w:sz w:val="24"/>
                <w:szCs w:val="24"/>
                <w:highlight w:val="none"/>
                <w:lang w:val="en-US" w:eastAsia="zh-CN"/>
              </w:rPr>
              <w:t>9.3</w:t>
            </w:r>
          </w:p>
          <w:p>
            <w:pPr>
              <w:pStyle w:val="15"/>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E:</w:t>
            </w:r>
            <w:r>
              <w:rPr>
                <w:rFonts w:hint="eastAsia" w:ascii="宋体" w:hAnsi="宋体" w:eastAsia="宋体" w:cs="宋体"/>
                <w:b w:val="0"/>
                <w:bCs w:val="0"/>
                <w:sz w:val="24"/>
                <w:szCs w:val="24"/>
                <w:highlight w:val="none"/>
                <w:lang w:val="en-US" w:eastAsia="zh-CN"/>
              </w:rPr>
              <w:t>9.3</w:t>
            </w:r>
            <w:r>
              <w:rPr>
                <w:rFonts w:hint="eastAsia" w:ascii="宋体" w:hAnsi="宋体" w:eastAsia="宋体" w:cs="宋体"/>
                <w:b w:val="0"/>
                <w:bCs w:val="0"/>
                <w:sz w:val="24"/>
                <w:szCs w:val="24"/>
                <w:highlight w:val="none"/>
              </w:rPr>
              <w:t xml:space="preserve"> </w:t>
            </w:r>
          </w:p>
          <w:p>
            <w:pPr>
              <w:pStyle w:val="15"/>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S:9.3</w:t>
            </w:r>
          </w:p>
          <w:p>
            <w:pPr>
              <w:spacing w:line="0" w:lineRule="atLeast"/>
              <w:jc w:val="center"/>
              <w:rPr>
                <w:rFonts w:hint="eastAsia" w:ascii="宋体" w:hAnsi="宋体" w:eastAsia="宋体" w:cs="宋体"/>
                <w:b w:val="0"/>
                <w:bCs w:val="0"/>
                <w:kern w:val="2"/>
                <w:sz w:val="24"/>
                <w:szCs w:val="24"/>
                <w:highlight w:val="none"/>
                <w:lang w:val="en-US" w:eastAsia="zh-CN" w:bidi="ar-SA"/>
              </w:rPr>
            </w:pPr>
          </w:p>
        </w:tc>
        <w:tc>
          <w:tcPr>
            <w:tcW w:w="0" w:type="auto"/>
            <w:vAlign w:val="center"/>
          </w:tcPr>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编制有《管理评审控制程序》</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体系建立以来，公司进行了一次管理评审，于202</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年</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rPr>
              <w:t>月</w:t>
            </w:r>
            <w:r>
              <w:rPr>
                <w:rFonts w:hint="eastAsia" w:ascii="宋体" w:hAnsi="宋体" w:cs="宋体"/>
                <w:b w:val="0"/>
                <w:bCs w:val="0"/>
                <w:sz w:val="24"/>
                <w:szCs w:val="24"/>
                <w:highlight w:val="none"/>
                <w:lang w:val="en-US" w:eastAsia="zh-CN"/>
              </w:rPr>
              <w:t>22</w:t>
            </w:r>
            <w:r>
              <w:rPr>
                <w:rFonts w:hint="eastAsia" w:ascii="宋体" w:hAnsi="宋体" w:eastAsia="宋体" w:cs="宋体"/>
                <w:b w:val="0"/>
                <w:bCs w:val="0"/>
                <w:sz w:val="24"/>
                <w:szCs w:val="24"/>
                <w:highlight w:val="none"/>
              </w:rPr>
              <w:t>日进行</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提供有：</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管理评审计划</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评审目的：</w:t>
            </w:r>
            <w:r>
              <w:rPr>
                <w:rFonts w:hint="eastAsia" w:ascii="宋体" w:hAnsi="宋体" w:eastAsia="宋体" w:cs="宋体"/>
                <w:b w:val="0"/>
                <w:bCs w:val="0"/>
                <w:color w:val="000000"/>
                <w:sz w:val="24"/>
                <w:szCs w:val="24"/>
                <w:highlight w:val="none"/>
              </w:rPr>
              <w:t>通过体系的管理评审，全面评价本公司</w:t>
            </w:r>
            <w:r>
              <w:rPr>
                <w:rFonts w:hint="eastAsia" w:ascii="宋体" w:hAnsi="宋体" w:eastAsia="宋体" w:cs="宋体"/>
                <w:b w:val="0"/>
                <w:bCs w:val="0"/>
                <w:color w:val="000000"/>
                <w:sz w:val="24"/>
                <w:szCs w:val="24"/>
                <w:highlight w:val="none"/>
                <w:lang w:eastAsia="zh-CN"/>
              </w:rPr>
              <w:t>管理体系</w:t>
            </w:r>
            <w:r>
              <w:rPr>
                <w:rFonts w:hint="eastAsia" w:ascii="宋体" w:hAnsi="宋体" w:eastAsia="宋体" w:cs="宋体"/>
                <w:b w:val="0"/>
                <w:bCs w:val="0"/>
                <w:color w:val="000000"/>
                <w:sz w:val="24"/>
                <w:szCs w:val="24"/>
                <w:highlight w:val="none"/>
              </w:rPr>
              <w:t>的适宜性、充分性和持续有效性提出并确定各种改进的机会和变更的需要，持续改进质量/</w:t>
            </w:r>
            <w:r>
              <w:rPr>
                <w:rFonts w:hint="eastAsia" w:ascii="宋体" w:hAnsi="宋体" w:eastAsia="宋体" w:cs="宋体"/>
                <w:b w:val="0"/>
                <w:bCs w:val="0"/>
                <w:color w:val="000000"/>
                <w:sz w:val="24"/>
                <w:szCs w:val="24"/>
                <w:highlight w:val="none"/>
                <w:lang w:eastAsia="zh-CN"/>
              </w:rPr>
              <w:t>环境及职业健康安全绩效</w:t>
            </w:r>
            <w:r>
              <w:rPr>
                <w:rFonts w:hint="eastAsia" w:ascii="宋体" w:hAnsi="宋体" w:eastAsia="宋体" w:cs="宋体"/>
                <w:b w:val="0"/>
                <w:bCs w:val="0"/>
                <w:color w:val="000000"/>
                <w:sz w:val="24"/>
                <w:szCs w:val="24"/>
                <w:highlight w:val="none"/>
              </w:rPr>
              <w:t>。</w:t>
            </w:r>
          </w:p>
          <w:p>
            <w:pPr>
              <w:spacing w:line="400" w:lineRule="exac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评审参加人员：领导层、办公室、营运部</w:t>
            </w:r>
          </w:p>
          <w:p>
            <w:pPr>
              <w:pStyle w:val="2"/>
              <w:ind w:left="0" w:leftChars="0" w:firstLine="0" w:firstLineChars="0"/>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有各部门的体系运行报告及合规性评价报告</w:t>
            </w:r>
          </w:p>
          <w:p>
            <w:pPr>
              <w:pStyle w:val="2"/>
              <w:ind w:left="0" w:leftChars="0" w:firstLine="0" w:firstLineChars="0"/>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编制有管理评审报告</w:t>
            </w:r>
          </w:p>
          <w:p>
            <w:pPr>
              <w:pStyle w:val="2"/>
              <w:ind w:left="0" w:leftChars="0" w:firstLine="0" w:firstLineChars="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评审结论：</w:t>
            </w:r>
          </w:p>
          <w:p>
            <w:pPr>
              <w:pStyle w:val="2"/>
              <w:ind w:left="0" w:leftChars="0" w:firstLine="0" w:firstLineChars="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公司各项活动均能按国家，行业，地方，标准规范和其它要求运行，无违反规定 的情况发生</w:t>
            </w:r>
          </w:p>
          <w:p>
            <w:pPr>
              <w:spacing w:line="400" w:lineRule="exact"/>
              <w:ind w:firstLine="42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公司的质量、环境和职业健康安全管理体系的运行是适宜、充分和有效的，方针和目标是适宜的，应对风险和机遇采取的措施基本有效。质量、环境和职业健康安全管理体系运行基本符合标准要求。</w:t>
            </w:r>
          </w:p>
          <w:p>
            <w:pPr>
              <w:spacing w:line="400" w:lineRule="exact"/>
              <w:ind w:firstLine="42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改进、纠正和预防措施摘要及责任部门:</w:t>
            </w:r>
          </w:p>
          <w:p>
            <w:pPr>
              <w:pStyle w:val="2"/>
              <w:ind w:left="0" w:leftChars="0" w:firstLine="0" w:firstLineChars="0"/>
              <w:rPr>
                <w:rFonts w:hint="eastAsia" w:ascii="宋体" w:hAnsi="宋体" w:eastAsia="宋体" w:cs="宋体"/>
                <w:b w:val="0"/>
                <w:bCs w:val="0"/>
                <w:kern w:val="0"/>
                <w:sz w:val="24"/>
                <w:szCs w:val="24"/>
                <w:highlight w:val="yellow"/>
                <w:lang w:val="en-US" w:eastAsia="zh-CN" w:bidi="ar-SA"/>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年新冠疫情形势已经大幅好转，但不能松懈，在保证公司员工健康基础上维持运营，关注疫苗发展形势，一旦可以注射即安排全员进行注射疫苗进行防疫（身体有特殊情况的员工除外）</w:t>
            </w:r>
          </w:p>
        </w:tc>
        <w:tc>
          <w:tcPr>
            <w:tcW w:w="0" w:type="auto"/>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0" w:lineRule="atLeas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监视、测量、分析和评价、不合格、改进</w:t>
            </w:r>
            <w:r>
              <w:rPr>
                <w:rFonts w:hint="eastAsia" w:ascii="宋体" w:hAnsi="宋体" w:eastAsia="宋体" w:cs="宋体"/>
                <w:b w:val="0"/>
                <w:bCs w:val="0"/>
                <w:sz w:val="24"/>
                <w:szCs w:val="24"/>
                <w:lang w:val="en-US" w:eastAsia="zh-CN"/>
              </w:rPr>
              <w:t xml:space="preserve"> </w:t>
            </w:r>
          </w:p>
        </w:tc>
        <w:tc>
          <w:tcPr>
            <w:tcW w:w="0" w:type="auto"/>
            <w:vAlign w:val="center"/>
          </w:tcPr>
          <w:p>
            <w:pPr>
              <w:pStyle w:val="1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Q:</w:t>
            </w:r>
            <w:r>
              <w:rPr>
                <w:rFonts w:hint="eastAsia" w:ascii="宋体" w:hAnsi="宋体" w:eastAsia="宋体" w:cs="宋体"/>
                <w:b w:val="0"/>
                <w:bCs w:val="0"/>
                <w:sz w:val="24"/>
                <w:szCs w:val="24"/>
                <w:lang w:val="en-US" w:eastAsia="zh-CN"/>
              </w:rPr>
              <w:t>9.1.1/10.1/10.3</w:t>
            </w:r>
          </w:p>
          <w:p>
            <w:pPr>
              <w:pStyle w:val="15"/>
              <w:rPr>
                <w:rFonts w:hint="eastAsia" w:ascii="宋体" w:hAnsi="宋体" w:eastAsia="宋体" w:cs="宋体"/>
                <w:b w:val="0"/>
                <w:bCs w:val="0"/>
                <w:sz w:val="24"/>
                <w:szCs w:val="24"/>
              </w:rPr>
            </w:pPr>
            <w:r>
              <w:rPr>
                <w:rFonts w:hint="eastAsia" w:ascii="宋体" w:hAnsi="宋体" w:eastAsia="宋体" w:cs="宋体"/>
                <w:b w:val="0"/>
                <w:bCs w:val="0"/>
                <w:sz w:val="24"/>
                <w:szCs w:val="24"/>
              </w:rPr>
              <w:t>E:</w:t>
            </w:r>
            <w:r>
              <w:rPr>
                <w:rFonts w:hint="eastAsia" w:ascii="宋体" w:hAnsi="宋体" w:eastAsia="宋体" w:cs="宋体"/>
                <w:b w:val="0"/>
                <w:bCs w:val="0"/>
                <w:sz w:val="24"/>
                <w:szCs w:val="24"/>
                <w:lang w:val="en-US" w:eastAsia="zh-CN"/>
              </w:rPr>
              <w:t>9.1.1/10.1/10.3</w:t>
            </w:r>
          </w:p>
          <w:p>
            <w:pPr>
              <w:pStyle w:val="1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S:9.1.1/10.1/10.3</w:t>
            </w:r>
          </w:p>
          <w:p>
            <w:pPr>
              <w:spacing w:line="0" w:lineRule="atLeast"/>
              <w:jc w:val="center"/>
              <w:rPr>
                <w:rFonts w:hint="eastAsia" w:ascii="宋体" w:hAnsi="宋体" w:eastAsia="宋体" w:cs="宋体"/>
                <w:b w:val="0"/>
                <w:bCs w:val="0"/>
                <w:kern w:val="2"/>
                <w:sz w:val="24"/>
                <w:szCs w:val="24"/>
                <w:lang w:val="en-US" w:eastAsia="zh-CN" w:bidi="ar-SA"/>
              </w:rPr>
            </w:pPr>
          </w:p>
        </w:tc>
        <w:tc>
          <w:tcPr>
            <w:tcW w:w="0" w:type="auto"/>
            <w:vAlign w:val="center"/>
          </w:tcPr>
          <w:p>
            <w:pPr>
              <w:pStyle w:val="15"/>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手册中规定了监视、测量、分析和评价的内容。</w:t>
            </w:r>
          </w:p>
          <w:p>
            <w:pPr>
              <w:pStyle w:val="15"/>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总经</w:t>
            </w:r>
            <w:r>
              <w:rPr>
                <w:rFonts w:hint="eastAsia" w:ascii="宋体" w:hAnsi="宋体" w:eastAsia="宋体" w:cs="宋体"/>
                <w:b w:val="0"/>
                <w:bCs w:val="0"/>
                <w:sz w:val="24"/>
                <w:szCs w:val="24"/>
                <w:highlight w:val="none"/>
                <w:lang w:val="en-US" w:eastAsia="zh-CN"/>
              </w:rPr>
              <w:t>理</w:t>
            </w:r>
            <w:r>
              <w:rPr>
                <w:rFonts w:hint="eastAsia" w:ascii="宋体" w:hAnsi="宋体" w:eastAsia="宋体" w:cs="宋体"/>
                <w:b w:val="0"/>
                <w:bCs w:val="0"/>
                <w:sz w:val="24"/>
                <w:szCs w:val="24"/>
                <w:highlight w:val="none"/>
              </w:rPr>
              <w:t>主持每年开展内审、管理评审，对公司的内外部环境因素进行识别和定期评价，对管理体系的有效性进行评审，收集相关方的反馈，按</w:t>
            </w:r>
            <w:r>
              <w:rPr>
                <w:rFonts w:hint="eastAsia" w:ascii="宋体" w:hAnsi="宋体" w:eastAsia="宋体" w:cs="宋体"/>
                <w:b w:val="0"/>
                <w:bCs w:val="0"/>
                <w:sz w:val="24"/>
                <w:szCs w:val="24"/>
                <w:highlight w:val="none"/>
                <w:lang w:val="en-US" w:eastAsia="zh-CN"/>
              </w:rPr>
              <w:t>年</w:t>
            </w:r>
            <w:r>
              <w:rPr>
                <w:rFonts w:hint="eastAsia" w:ascii="宋体" w:hAnsi="宋体" w:eastAsia="宋体" w:cs="宋体"/>
                <w:b w:val="0"/>
                <w:bCs w:val="0"/>
                <w:sz w:val="24"/>
                <w:szCs w:val="24"/>
                <w:highlight w:val="none"/>
              </w:rPr>
              <w:t>完成公司管理目标的统计情况，显示均完成。</w:t>
            </w:r>
          </w:p>
          <w:p>
            <w:pPr>
              <w:pStyle w:val="15"/>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公司监视测量内容包括对管理体系运行控制情况进行监督；质量和环境</w:t>
            </w:r>
            <w:r>
              <w:rPr>
                <w:rFonts w:hint="eastAsia" w:ascii="宋体" w:hAnsi="宋体" w:eastAsia="宋体" w:cs="宋体"/>
                <w:b w:val="0"/>
                <w:bCs w:val="0"/>
                <w:sz w:val="24"/>
                <w:szCs w:val="24"/>
                <w:highlight w:val="none"/>
                <w:lang w:val="en-US" w:eastAsia="zh-CN"/>
              </w:rPr>
              <w:t>和职业健康</w:t>
            </w:r>
            <w:r>
              <w:rPr>
                <w:rFonts w:hint="eastAsia" w:ascii="宋体" w:hAnsi="宋体" w:eastAsia="宋体" w:cs="宋体"/>
                <w:b w:val="0"/>
                <w:bCs w:val="0"/>
                <w:sz w:val="24"/>
                <w:szCs w:val="24"/>
                <w:highlight w:val="none"/>
              </w:rPr>
              <w:t>目标完成情况分析、顾客满意度调查分析报告等。显示均完成。</w:t>
            </w:r>
          </w:p>
          <w:p>
            <w:pPr>
              <w:spacing w:line="0" w:lineRule="atLeas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以上符合要求。</w:t>
            </w:r>
          </w:p>
          <w:p>
            <w:pPr>
              <w:spacing w:line="0" w:lineRule="atLeast"/>
              <w:jc w:val="left"/>
              <w:rPr>
                <w:rFonts w:hint="eastAsia" w:ascii="宋体" w:hAnsi="宋体" w:eastAsia="宋体" w:cs="宋体"/>
                <w:b w:val="0"/>
                <w:bCs w:val="0"/>
                <w:sz w:val="24"/>
                <w:szCs w:val="24"/>
                <w:highlight w:val="yellow"/>
              </w:rPr>
            </w:pPr>
          </w:p>
          <w:p>
            <w:pPr>
              <w:spacing w:line="0" w:lineRule="atLeast"/>
              <w:jc w:val="left"/>
              <w:rPr>
                <w:rFonts w:hint="eastAsia" w:ascii="宋体" w:hAnsi="宋体" w:eastAsia="宋体" w:cs="宋体"/>
                <w:b w:val="0"/>
                <w:bCs w:val="0"/>
                <w:sz w:val="24"/>
                <w:szCs w:val="24"/>
                <w:highlight w:val="yellow"/>
              </w:rPr>
            </w:pPr>
          </w:p>
          <w:p>
            <w:pPr>
              <w:spacing w:line="0" w:lineRule="atLeast"/>
              <w:jc w:val="left"/>
              <w:rPr>
                <w:rFonts w:hint="eastAsia" w:ascii="宋体" w:hAnsi="宋体" w:eastAsia="宋体" w:cs="宋体"/>
                <w:b w:val="0"/>
                <w:bCs w:val="0"/>
                <w:kern w:val="2"/>
                <w:sz w:val="24"/>
                <w:szCs w:val="24"/>
                <w:highlight w:val="yellow"/>
                <w:lang w:val="en-US" w:eastAsia="zh-CN" w:bidi="ar-SA"/>
              </w:rPr>
            </w:pPr>
          </w:p>
        </w:tc>
        <w:tc>
          <w:tcPr>
            <w:tcW w:w="0" w:type="auto"/>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bl>
    <w:p>
      <w:r>
        <w:rPr>
          <w:rFonts w:hint="eastAsia" w:ascii="宋体" w:hAnsi="宋体" w:eastAsia="宋体" w:cs="宋体"/>
          <w:sz w:val="24"/>
          <w:szCs w:val="24"/>
        </w:rP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xZGUwOWQ4ZWUxYzcyODAzYTVlMGRkZTlkMDM5MTIifQ=="/>
  </w:docVars>
  <w:rsids>
    <w:rsidRoot w:val="00000000"/>
    <w:rsid w:val="01011BA5"/>
    <w:rsid w:val="07DA0D39"/>
    <w:rsid w:val="0AE929E8"/>
    <w:rsid w:val="0EA71E5C"/>
    <w:rsid w:val="0F44667B"/>
    <w:rsid w:val="1A134258"/>
    <w:rsid w:val="2FC93664"/>
    <w:rsid w:val="3B7A3E1C"/>
    <w:rsid w:val="3DD41E3B"/>
    <w:rsid w:val="3EC435CA"/>
    <w:rsid w:val="48834AC0"/>
    <w:rsid w:val="4F38383D"/>
    <w:rsid w:val="5BDF6996"/>
    <w:rsid w:val="630F3508"/>
    <w:rsid w:val="6FB70252"/>
    <w:rsid w:val="70732DEB"/>
    <w:rsid w:val="777155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line="360" w:lineRule="auto"/>
      <w:ind w:firstLine="624"/>
    </w:pPr>
    <w:rPr>
      <w:sz w:val="28"/>
      <w:szCs w:val="20"/>
    </w:rPr>
  </w:style>
  <w:style w:type="paragraph" w:styleId="3">
    <w:name w:val="Body Text Indent"/>
    <w:basedOn w:val="1"/>
    <w:qFormat/>
    <w:uiPriority w:val="0"/>
    <w:pPr>
      <w:adjustRightInd/>
      <w:spacing w:line="240" w:lineRule="auto"/>
      <w:ind w:left="440"/>
      <w:textAlignment w:val="auto"/>
    </w:pPr>
    <w:rPr>
      <w:kern w:val="2"/>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color w:val="0000FF"/>
      <w:u w:val="single"/>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customStyle="1" w:styleId="1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4786</Words>
  <Characters>5406</Characters>
  <Lines>1</Lines>
  <Paragraphs>1</Paragraphs>
  <TotalTime>2</TotalTime>
  <ScaleCrop>false</ScaleCrop>
  <LinksUpToDate>false</LinksUpToDate>
  <CharactersWithSpaces>5486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2022-11-12T09:19:33Z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