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31750</wp:posOffset>
            </wp:positionH>
            <wp:positionV relativeFrom="paragraph">
              <wp:posOffset>86995</wp:posOffset>
            </wp:positionV>
            <wp:extent cx="6306820" cy="9380220"/>
            <wp:effectExtent l="0" t="0" r="5080" b="5080"/>
            <wp:wrapNone/>
            <wp:docPr id="1" name="图片 1" descr="新文档 2022-11-03 11.35.56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03 11.35.56_22"/>
                    <pic:cNvPicPr>
                      <a:picLocks noChangeAspect="1"/>
                    </pic:cNvPicPr>
                  </pic:nvPicPr>
                  <pic:blipFill>
                    <a:blip r:embed="rId6"/>
                    <a:stretch>
                      <a:fillRect/>
                    </a:stretch>
                  </pic:blipFill>
                  <pic:spPr>
                    <a:xfrm>
                      <a:off x="0" y="0"/>
                      <a:ext cx="6306820" cy="938022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石家庄安迅电力设备有限公司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1156-2022-QEO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李文宽</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2022-N1QMS-3014276</w:t>
            </w:r>
          </w:p>
          <w:p>
            <w:pPr>
              <w:jc w:val="center"/>
              <w:rPr>
                <w:sz w:val="20"/>
                <w:lang w:val="de-DE"/>
              </w:rPr>
            </w:pPr>
            <w:r>
              <w:rPr>
                <w:sz w:val="20"/>
                <w:lang w:val="de-DE"/>
              </w:rPr>
              <w:t>2021-N1EMS-3014276</w:t>
            </w:r>
          </w:p>
          <w:p>
            <w:pPr>
              <w:jc w:val="center"/>
              <w:rPr>
                <w:rFonts w:ascii="Times New Roman" w:hAnsi="Times New Roman" w:eastAsia="宋体" w:cs="Times New Roman"/>
                <w:kern w:val="2"/>
                <w:sz w:val="20"/>
                <w:lang w:val="de-DE" w:eastAsia="zh-CN" w:bidi="ar-SA"/>
              </w:rPr>
            </w:pPr>
            <w:r>
              <w:rPr>
                <w:sz w:val="20"/>
                <w:lang w:val="de-DE"/>
              </w:rPr>
              <w:t>2021-N1OHSMS-3014276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5AF1FAD"/>
    <w:rsid w:val="31A944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2022-11-07T07:35:35Z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