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964"/>
        <w:gridCol w:w="11148"/>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02" w:type="dxa"/>
            <w:vMerge w:val="restart"/>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过程与活动、</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抽样计划</w:t>
            </w:r>
          </w:p>
        </w:tc>
        <w:tc>
          <w:tcPr>
            <w:tcW w:w="964" w:type="dxa"/>
            <w:vMerge w:val="restart"/>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涉及</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条款</w:t>
            </w:r>
          </w:p>
        </w:tc>
        <w:tc>
          <w:tcPr>
            <w:tcW w:w="11148" w:type="dxa"/>
            <w:vAlign w:val="center"/>
          </w:tcPr>
          <w:p>
            <w:pPr>
              <w:shd w:val="clear"/>
              <w:rPr>
                <w:rFonts w:hint="eastAsia" w:ascii="Times New Roman" w:hAnsi="Times New Roman" w:eastAsia="宋体" w:cs="Times New Roman"/>
                <w:kern w:val="2"/>
                <w:sz w:val="24"/>
                <w:szCs w:val="24"/>
                <w:lang w:val="en-US" w:eastAsia="zh-CN" w:bidi="ar-SA"/>
              </w:rPr>
            </w:pPr>
            <w:r>
              <w:rPr>
                <w:rFonts w:hint="eastAsia"/>
                <w:sz w:val="24"/>
                <w:szCs w:val="24"/>
              </w:rPr>
              <w:t xml:space="preserve">受审核部门：领导层 </w:t>
            </w:r>
            <w:r>
              <w:rPr>
                <w:sz w:val="24"/>
                <w:szCs w:val="24"/>
              </w:rPr>
              <w:t xml:space="preserve">       </w:t>
            </w:r>
            <w:r>
              <w:rPr>
                <w:rFonts w:hint="eastAsia"/>
                <w:sz w:val="24"/>
                <w:szCs w:val="24"/>
                <w:lang w:val="en-US" w:eastAsia="zh-CN"/>
              </w:rPr>
              <w:t>主管领导：</w:t>
            </w:r>
            <w:r>
              <w:rPr>
                <w:rFonts w:hint="eastAsia" w:ascii="楷体" w:hAnsi="楷体" w:eastAsia="楷体" w:cs="楷体"/>
                <w:sz w:val="24"/>
                <w:szCs w:val="24"/>
                <w:lang w:val="en-US" w:eastAsia="zh-CN"/>
              </w:rPr>
              <w:t>李昊泽、黑喃楠</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rFonts w:hint="eastAsia"/>
                <w:sz w:val="24"/>
                <w:szCs w:val="24"/>
                <w:highlight w:val="none"/>
              </w:rPr>
              <w:t>陪同人员</w:t>
            </w:r>
            <w:r>
              <w:rPr>
                <w:rFonts w:hint="eastAsia"/>
                <w:sz w:val="24"/>
                <w:szCs w:val="24"/>
              </w:rPr>
              <w:t>：</w:t>
            </w:r>
            <w:r>
              <w:rPr>
                <w:rFonts w:hint="eastAsia" w:ascii="楷体" w:hAnsi="楷体" w:eastAsia="楷体" w:cs="楷体"/>
                <w:color w:val="000000"/>
                <w:sz w:val="24"/>
                <w:szCs w:val="24"/>
                <w:lang w:val="en-US" w:eastAsia="zh-CN" w:bidi="zh-TW"/>
              </w:rPr>
              <w:t>赵泽旭</w:t>
            </w:r>
          </w:p>
        </w:tc>
        <w:tc>
          <w:tcPr>
            <w:tcW w:w="895" w:type="dxa"/>
            <w:vMerge w:val="restart"/>
            <w:vAlign w:val="center"/>
          </w:tcPr>
          <w:p>
            <w:pPr>
              <w:rPr>
                <w:rFonts w:cs="宋体"/>
              </w:rPr>
            </w:pPr>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2"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pStyle w:val="20"/>
              <w:shd w:val="clea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val="0"/>
                <w:spacing w:val="0"/>
                <w:kern w:val="2"/>
                <w:sz w:val="24"/>
                <w:szCs w:val="24"/>
                <w:lang w:val="en-US" w:eastAsia="zh-CN" w:bidi="ar-SA"/>
              </w:rPr>
              <w:t>审核员：</w:t>
            </w:r>
            <w:r>
              <w:rPr>
                <w:sz w:val="20"/>
                <w:lang w:val="de-DE"/>
              </w:rPr>
              <w:t>李文宽</w:t>
            </w:r>
            <w:r>
              <w:rPr>
                <w:rFonts w:hint="eastAsia" w:ascii="Times New Roman" w:hAnsi="Times New Roman" w:eastAsia="宋体" w:cs="Times New Roman"/>
                <w:bCs w:val="0"/>
                <w:spacing w:val="0"/>
                <w:kern w:val="2"/>
                <w:sz w:val="24"/>
                <w:szCs w:val="24"/>
                <w:lang w:val="en-US" w:eastAsia="zh-CN" w:bidi="ar-SA"/>
              </w:rPr>
              <w:t xml:space="preserve"> </w:t>
            </w:r>
            <w:r>
              <w:rPr>
                <w:rFonts w:hint="eastAsia"/>
                <w:b/>
                <w:sz w:val="20"/>
                <w:lang w:val="en-US" w:eastAsia="zh-CN"/>
              </w:rPr>
              <w:t>微信视频、文件传输</w:t>
            </w:r>
            <w:r>
              <w:rPr>
                <w:rFonts w:hint="eastAsia" w:ascii="Times New Roman" w:hAnsi="Times New Roman" w:eastAsia="宋体" w:cs="Times New Roman"/>
                <w:bCs w:val="0"/>
                <w:spacing w:val="0"/>
                <w:kern w:val="2"/>
                <w:sz w:val="24"/>
                <w:szCs w:val="24"/>
                <w:lang w:val="en-US" w:eastAsia="zh-CN" w:bidi="ar-SA"/>
              </w:rPr>
              <w:t xml:space="preserve">              审核日期：2022.11.4</w:t>
            </w:r>
          </w:p>
        </w:tc>
        <w:tc>
          <w:tcPr>
            <w:tcW w:w="895" w:type="dxa"/>
            <w:vMerge w:val="continue"/>
          </w:tcPr>
          <w:p>
            <w:pP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2"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shd w:val="clear"/>
              <w:tabs>
                <w:tab w:val="left" w:pos="709"/>
              </w:tabs>
              <w:kinsoku/>
              <w:wordWrap/>
              <w:overflowPunct/>
              <w:topLinePunct w:val="0"/>
              <w:autoSpaceDE/>
              <w:autoSpaceDN/>
              <w:bidi w:val="0"/>
              <w:adjustRightInd/>
              <w:spacing w:line="360" w:lineRule="auto"/>
              <w:ind w:right="57" w:rightChars="0"/>
              <w:jc w:val="left"/>
              <w:textAlignment w:val="auto"/>
              <w:rPr>
                <w:rFonts w:hint="eastAsia" w:ascii="Times New Roman" w:hAnsi="Times New Roman" w:eastAsia="宋体" w:cs="Times New Roman"/>
                <w:kern w:val="2"/>
                <w:sz w:val="21"/>
                <w:lang w:val="en-US" w:eastAsia="zh-CN" w:bidi="ar-SA"/>
              </w:rPr>
            </w:pPr>
            <w:r>
              <w:rPr>
                <w:rFonts w:hint="eastAsia"/>
              </w:rPr>
              <w:t>审核条款：</w:t>
            </w:r>
            <w:r>
              <w:rPr>
                <w:rFonts w:hint="default" w:ascii="Times New Roman" w:hAnsi="Times New Roman" w:eastAsia="宋体" w:cs="Times New Roman"/>
                <w:sz w:val="21"/>
                <w:szCs w:val="21"/>
                <w:lang w:val="en-US" w:eastAsia="zh-CN"/>
              </w:rPr>
              <w:t>QEO</w:t>
            </w:r>
            <w:r>
              <w:rPr>
                <w:rFonts w:hint="default" w:ascii="Times New Roman" w:hAnsi="Times New Roman" w:eastAsia="宋体" w:cs="Times New Roman"/>
                <w:sz w:val="21"/>
                <w:szCs w:val="21"/>
              </w:rPr>
              <w:t>4.1/4.2/4.3/4.4/5.1/5.2/5.3/6.1/6.2/7.1/9.3/10.1/10.3/</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6.3</w:t>
            </w:r>
          </w:p>
        </w:tc>
        <w:tc>
          <w:tcPr>
            <w:tcW w:w="895" w:type="dxa"/>
            <w:vMerge w:val="continue"/>
          </w:tcPr>
          <w:p>
            <w:pP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2"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企业基本信息</w:t>
            </w:r>
          </w:p>
        </w:tc>
        <w:tc>
          <w:tcPr>
            <w:tcW w:w="964"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sz w:val="21"/>
                <w:szCs w:val="21"/>
                <w:lang w:val="en-US" w:eastAsia="zh-CN"/>
              </w:rPr>
              <w:t>1、</w:t>
            </w:r>
            <w:r>
              <w:rPr>
                <w:rFonts w:hint="eastAsia"/>
                <w:sz w:val="21"/>
                <w:szCs w:val="21"/>
                <w:lang w:eastAsia="zh-CN"/>
              </w:rPr>
              <w:t>石家庄安迅电力设备有限公司</w:t>
            </w:r>
            <w:r>
              <w:rPr>
                <w:rFonts w:hint="eastAsia"/>
                <w:lang w:val="en-US" w:eastAsia="zh-CN"/>
              </w:rPr>
              <w:t>，营业期限</w:t>
            </w:r>
            <w:r>
              <w:rPr>
                <w:rFonts w:hint="eastAsia"/>
              </w:rPr>
              <w:t>2021-08-02 至 无固定期限</w:t>
            </w:r>
            <w:r>
              <w:rPr>
                <w:rFonts w:hint="eastAsia"/>
                <w:lang w:val="en-US" w:eastAsia="zh-CN"/>
              </w:rPr>
              <w:t>，注册资金：100万，企业信用代码：</w:t>
            </w:r>
            <w:r>
              <w:rPr>
                <w:rFonts w:hint="eastAsia"/>
              </w:rPr>
              <w:t>91130183MA0GMCE46Y</w:t>
            </w:r>
            <w:r>
              <w:rPr>
                <w:rFonts w:hint="eastAsia"/>
                <w:lang w:val="en-US" w:eastAsia="zh-CN"/>
              </w:rPr>
              <w:t>；注册地址/经营地址：</w:t>
            </w:r>
            <w:bookmarkStart w:id="0" w:name="注册地址"/>
            <w:r>
              <w:rPr>
                <w:rFonts w:asciiTheme="minorEastAsia" w:hAnsiTheme="minorEastAsia" w:eastAsiaTheme="minorEastAsia"/>
                <w:sz w:val="20"/>
              </w:rPr>
              <w:t>河北省石家庄市晋州市经济开发区赵位村村东</w:t>
            </w:r>
            <w:bookmarkEnd w:id="0"/>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经营范围：</w:t>
            </w:r>
            <w:r>
              <w:rPr>
                <w:rFonts w:hint="eastAsia"/>
              </w:rPr>
              <w:t>一般项目：接地线、操作杆、接地棒、高压验电器、绝缘登高工具、铝合金梯、电力安全工具柜、安全围栏、安全护栏、安全围网、高压令克棒、安全帽、安全带、脚扣、标志牌、施工工具、带电作业工具、电力金具、电工用具、拉线保护套、驱鸟器、防鸟刺、防鸟罩、隔离开关、避雷器、熔断器、防撞墩、防撞警示贴、电线电缆加工销售（不含前置审批及政府禁止、限制事项）；电力设备安装销售；五金工具、消防器材、安全防护用品、家用电器、建筑材料、装饰材料、绝缘手套、铁附件（铸造除外）、绝缘鞋、绝缘靴、电缆沟盖板、化工产品（以上危险化学品除外）劳保用品、绝缘胶板销售。（除依法须经批准的项目外，凭营业执照依法自主开展经营活动）</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2、认证范围：</w:t>
            </w:r>
          </w:p>
          <w:p>
            <w:pPr>
              <w:rPr>
                <w:rFonts w:hint="eastAsia"/>
                <w:sz w:val="20"/>
              </w:rPr>
            </w:pPr>
            <w:r>
              <w:rPr>
                <w:rFonts w:hint="eastAsia"/>
                <w:sz w:val="20"/>
              </w:rPr>
              <w:t>Q：电工工具（标识牌、防撞警示牌）的加工与销售；安全工具柜、登杆脚扣、防鸟刺、隔离栅栏、伞式支架、铝合金梯、伸缩围栏、电力安全工器具、电力金具、铁附件、绝缘手套、绝缘靴的销售</w:t>
            </w:r>
          </w:p>
          <w:p>
            <w:pPr>
              <w:rPr>
                <w:rFonts w:hint="eastAsia"/>
                <w:sz w:val="20"/>
              </w:rPr>
            </w:pPr>
            <w:r>
              <w:rPr>
                <w:rFonts w:hint="eastAsia"/>
                <w:sz w:val="20"/>
              </w:rPr>
              <w:t>E：电工工具（标识牌、防撞警示牌）的加工与销售；安全工具柜、登杆脚扣、防鸟刺、隔离栅栏、伞式支架、铝合金梯、伸缩围栏、电力安全工器具、电力金具、铁附件、绝缘手套、绝缘靴的销售所涉及场所的相关环境管理活动</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sz w:val="20"/>
              </w:rPr>
            </w:pPr>
            <w:r>
              <w:rPr>
                <w:rFonts w:hint="eastAsia"/>
                <w:sz w:val="20"/>
              </w:rPr>
              <w:t>O：电工工具（标识牌、防撞警示牌）的加工与销售；安全工具柜、登杆脚扣、防鸟刺、隔离栅栏、伞式支架、铝合金梯、伸缩围栏、电力安全工器具、电力金具、铁附件、绝缘手套、绝缘靴的销售所涉及场所的相关职业健康安全管理活动</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3、公司基本架构：办公室、生产部</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4、查国家企业信用信息公示系统，企业无异常经营记录、无违法失信记录，无质量、环境事故；无客户、相关方投诉；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顾客投诉情况：未发生；上级检查情况：未发生；质量抽查：体系运行期间未受到上级主管部门抽查。</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5、一阶段问题已整改。</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理解组织及其环境</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总要求</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QEO4.1</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●管代黑喃楠介绍了目前企业管理的现状：</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default"/>
                <w:lang w:val="en-US" w:eastAsia="zh-CN"/>
              </w:rPr>
            </w:pPr>
            <w:r>
              <w:rPr>
                <w:rFonts w:hint="eastAsia"/>
                <w:lang w:val="en-US" w:eastAsia="zh-CN"/>
              </w:rPr>
              <w:t xml:space="preserve">1、近两年因疫情反复原因，市场萎缩；  </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2、用工成本不断上升；</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3、国家电力安全方面加强，给企业发展带来了机遇；</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措施：1）提高管理水平，2）及时响应顾客投诉3）合理使用基金4）通过建立、运行管理体系提高管理水平，打造一流管理团队</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●管代介绍，定期组织公司管理层召开内外部评审会议。组织分析内外部环境并制定发展战略。</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查企业管理手册相关条款，办公室为归口部门，负责内部环境中组织总体表现、组织知识、组织文化、人力因素、组织治理相关因素的分析、评价。各部门负责本部门的内外部环境分析、评价，办公室汇总。</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 xml:space="preserve">  查企业编制了《组织环境识别表》，评审内容包含内外部因素，具体现状描述，优劣势分析。</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---查外部环境：</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1、法律法规：市场、最终消费者对产品符合性要求不断提升等；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2、经济环境：市场竞争较大，利润空间较小；</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3、社会文化环境：公众对社会责任期望不断提升等；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4、技术环境市场竞争环境。。。。等方面</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识别的内部环境主要有：企业文化、公司价值观、知识积累、绩效、财务因素、资源因素、人力因素等方面；</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编制了《内外部环境分析报告》，</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优势如：企业运作能力强，企业无负债，银行信誉好；设备自动化较高，各种手续相对齐全等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劣势如：缺乏强有效的营销经验等，已根据企业优劣势制定了发展策略。</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管代介绍，电力安全工具主要用于电力行业，近几年国家加强电力基础方面建设，为企业带来了良好机遇。</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公司每年定期对这些内外部因素进行监视和评审，方式主要有：网站获取、顾客沟通（总结、会议、培训等形式）及内部沟通总结等方式。</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由总经理组织召开公司内外部因素动态评审会议，对识别出的内外部环境因素进行监视和评审，并将识别出的相关内外部因素作为制定和调整方针、目标、管理评审的输入内容。</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理解相关方的需求和期望</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QEO4.2</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查见编制了《企业相关方需求和期望清单》由办公室每年确定与质量、环境和职业健康安全管理体系有关的相关方，评审了相关方的需求及监视指标，识别了相关方：顾客、股东或投资方、员工、银行、外部供方和合作伙伴、法律法规及监管机关等；第三方认证服务机构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——抽政府机构（安监局、环保局、工商局、税务局、卫生局）</w:t>
            </w:r>
            <w:r>
              <w:rPr>
                <w:rFonts w:hint="eastAsia"/>
                <w:lang w:val="en-US" w:eastAsia="zh-CN"/>
              </w:rPr>
              <w:tab/>
            </w:r>
            <w:r>
              <w:rPr>
                <w:rFonts w:hint="eastAsia"/>
                <w:lang w:val="en-US" w:eastAsia="zh-CN"/>
              </w:rPr>
              <w:t>遵守法律法规、安全生产、配合各项检查、环保控制得当、生产各项资质齐全、配合各项环境治理要求。定期进行工商、税务申报和评审，疫情防疫防控要求。</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——员工</w:t>
            </w:r>
            <w:r>
              <w:rPr>
                <w:rFonts w:hint="eastAsia"/>
                <w:lang w:val="en-US" w:eastAsia="zh-CN"/>
              </w:rPr>
              <w:tab/>
            </w:r>
            <w:r>
              <w:rPr>
                <w:rFonts w:hint="eastAsia"/>
                <w:lang w:val="en-US" w:eastAsia="zh-CN"/>
              </w:rPr>
              <w:t>工作满意，包括得到承认、工作满意和个人发展等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——供应商</w:t>
            </w:r>
            <w:r>
              <w:rPr>
                <w:rFonts w:hint="eastAsia"/>
                <w:lang w:val="en-US" w:eastAsia="zh-CN"/>
              </w:rPr>
              <w:tab/>
            </w:r>
            <w:r>
              <w:rPr>
                <w:rFonts w:hint="eastAsia"/>
                <w:lang w:val="en-US" w:eastAsia="zh-CN"/>
              </w:rPr>
              <w:t>继续经营的机会，包括制定共同的战略，共享知识和利润，共同承担损失，合作共赢等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——社会</w:t>
            </w:r>
            <w:r>
              <w:rPr>
                <w:rFonts w:hint="eastAsia"/>
                <w:lang w:val="en-US" w:eastAsia="zh-CN"/>
              </w:rPr>
              <w:tab/>
            </w:r>
            <w:r>
              <w:rPr>
                <w:rFonts w:hint="eastAsia"/>
                <w:lang w:val="en-US" w:eastAsia="zh-CN"/>
              </w:rPr>
              <w:t>认真负责的社会服务。包括遵守法律法规的要求，对卫生和安全的责任。对环境的影响，节约和保护资源，对社区产生的实际影响和潜在影响等。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自体系运行以来，企业未发生处罚、相关方投诉</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确定管理体系的范围</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QEO4.3</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●公司管理体系范围为：</w:t>
            </w:r>
          </w:p>
          <w:p>
            <w:pPr>
              <w:rPr>
                <w:rFonts w:hint="eastAsia"/>
                <w:sz w:val="20"/>
              </w:rPr>
            </w:pPr>
            <w:r>
              <w:rPr>
                <w:rFonts w:hint="eastAsia"/>
                <w:sz w:val="20"/>
              </w:rPr>
              <w:t>Q：电工工具（标识牌、防撞警示牌）的加工与销售；安全工具柜、登杆脚扣、防鸟刺、隔离栅栏、伞式支架、铝合金梯、伸缩围栏、电力安全工器具、电力金具、铁附件、绝缘手套、绝缘靴的销售</w:t>
            </w:r>
          </w:p>
          <w:p>
            <w:pPr>
              <w:rPr>
                <w:rFonts w:hint="eastAsia"/>
                <w:sz w:val="20"/>
              </w:rPr>
            </w:pPr>
            <w:r>
              <w:rPr>
                <w:rFonts w:hint="eastAsia"/>
                <w:sz w:val="20"/>
              </w:rPr>
              <w:t>E：电工工具（标识牌、防撞警示牌）的加工与销售；安全工具柜、登杆脚扣、防鸟刺、隔离栅栏、伞式支架、铝合金梯、伸缩围栏、电力安全工器具、电力金具、铁附件、绝缘手套、绝缘靴的销售所涉及场所的相关环境管理活动</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sz w:val="20"/>
              </w:rPr>
            </w:pPr>
            <w:r>
              <w:rPr>
                <w:rFonts w:hint="eastAsia"/>
                <w:sz w:val="20"/>
              </w:rPr>
              <w:t>O：电工工具（标识牌、防撞警示牌）的加工与销售；安全工具柜、登杆脚扣、防鸟刺、隔离栅栏、伞式支架、铝合金梯、伸缩围栏、电力安全工器具、电力金具、铁附件、绝缘手套、绝缘靴的销售所涉及场所的相关职业健康安全管理活动</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注册地址/经营地址：</w:t>
            </w:r>
            <w:bookmarkStart w:id="1" w:name="生产地址"/>
            <w:r>
              <w:rPr>
                <w:rFonts w:asciiTheme="minorEastAsia" w:hAnsiTheme="minorEastAsia" w:eastAsiaTheme="minorEastAsia"/>
                <w:sz w:val="20"/>
              </w:rPr>
              <w:t>河北省石家庄市晋州市经济开发区赵位村村东</w:t>
            </w:r>
            <w:bookmarkEnd w:id="1"/>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体系覆盖人数：15人；</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外包过程：产品运输；</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default"/>
                <w:lang w:val="en-US" w:eastAsia="zh-CN"/>
              </w:rPr>
            </w:pPr>
            <w:r>
              <w:rPr>
                <w:rFonts w:hint="eastAsia"/>
                <w:lang w:val="en-US" w:eastAsia="zh-CN"/>
              </w:rPr>
              <w:t>不适用条款：Q8.3条款；</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管理体系及其过程</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QEO4.4</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●该公司2022年6月10日根据自身的实际情况和标准的要求组织人员编制了管理手册、作业文件和记录表格，制定了管理方针和管理目标。实施了管理体系，通过对过程检测结果进行分析管理体系得以不断改进。</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 xml:space="preserve">●负责人介绍：管理体系运行以来效果不错，管理水平有了一定的提高。 </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1、遵循PDCA方法，识别了标准中的四大过程，确定了过程的相互顺序和作用：管理职责确定－资源提供－产品实现－测量和改进。</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2、公司明确规定产品的执行标准（国家、行业标准）和客户要求，并通过各工序控制，监视、测量、考核使其达到有效运行。</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3、公司编制了管理手册、程序文件及作业管理性文件、记录表格等。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通过管理手册、程序文件明确各部门职责、权限；资源管理，测量分析和改进、运行控制等过程。</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4、通过对各主要工序的风险评估，识别，评价并制定相应措施进行风险控制（包括实施过程中所需要的变更）。</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5、通过监视、测量和分析结果以及内审管理评审等达到持续改进的目的。</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6、经识别，外包过程为产品运输。</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领导作用与承诺</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--总则</w:t>
            </w: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QEO5.1</w:t>
            </w: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F098"/>
            </w:r>
            <w:r>
              <w:rPr>
                <w:rFonts w:hint="eastAsia" w:ascii="Times New Roman" w:hAnsi="Times New Roman" w:cs="Times New Roman"/>
                <w:lang w:val="en-US" w:eastAsia="zh-CN"/>
              </w:rPr>
              <w:t>公司最高管理者通过以下活动证实其对质量环境职业健康安全管理体系的领导作用和承诺：</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制定方针和目标，建立培训系统，建立合理的组织结构，建立有效的沟通渠道，创造良好的氛围，推动改进，对管理体系有效性承担责任等方面；</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与管代沟通，有较强的管意识，能说出自己对于体系的领导作用和承诺，回答基本正确。</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公司最高管理者组织相关部门制订发展规划、管理承诺、管理方针及管理目标，始终致力于顾客满意，提高员工队伍整体素质。</w:t>
            </w:r>
          </w:p>
        </w:tc>
        <w:tc>
          <w:tcPr>
            <w:tcW w:w="895" w:type="dxa"/>
          </w:tcPr>
          <w:p>
            <w:pPr>
              <w:rPr>
                <w:rFonts w:hint="eastAsia"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方针</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制定方针</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沟通方针</w:t>
            </w: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QEO5.2</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●该公司管理方针</w:t>
            </w:r>
          </w:p>
          <w:p>
            <w:pPr>
              <w:widowControl/>
              <w:spacing w:before="40"/>
              <w:jc w:val="left"/>
              <w:rPr>
                <w:rFonts w:hint="eastAsia"/>
              </w:rPr>
            </w:pPr>
            <w:r>
              <w:rPr>
                <w:rFonts w:hint="eastAsia"/>
              </w:rPr>
              <w:t>质量方针：以质量求生存、以效益求发展</w:t>
            </w:r>
          </w:p>
          <w:p>
            <w:pPr>
              <w:widowControl/>
              <w:spacing w:before="40"/>
              <w:jc w:val="left"/>
              <w:rPr>
                <w:rFonts w:hint="eastAsia"/>
              </w:rPr>
            </w:pPr>
            <w:r>
              <w:rPr>
                <w:rFonts w:hint="eastAsia"/>
              </w:rPr>
              <w:t>环境方针：环保、高效、节能、减排</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rPr>
            </w:pPr>
            <w:r>
              <w:rPr>
                <w:rFonts w:hint="eastAsia"/>
              </w:rPr>
              <w:t>职业健康安全方针：预防为主、安全第一</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●公司以产品质量、环境标准为基础，结合公司实际特制定管理方针。与管代沟通，其对方针内涵的理解较深刻。方针能为制定目标提供框架，方针基本符合标准的要求。</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●管理层通过会议、文件等手段保证管理方针为全体员工理解并落实到工作中。经2022年10月8日管理评审评价，对方针的持续适宜性进行了评审，有评审记录，适宜公司发展。</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●以上管理方针通过文件、培训等形式将公司管理方针传达给所有为公司工作或代表公司的人员，相关方也可通过办公室获取公司管理方针。</w:t>
            </w:r>
          </w:p>
        </w:tc>
        <w:tc>
          <w:tcPr>
            <w:tcW w:w="895" w:type="dxa"/>
          </w:tcPr>
          <w:p/>
          <w:p>
            <w:pPr>
              <w:ind w:firstLine="286"/>
              <w:jc w:val="left"/>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组织的岗位、职责和权限</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vAlign w:val="top"/>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5.3</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p>
        </w:tc>
        <w:tc>
          <w:tcPr>
            <w:tcW w:w="11148" w:type="dxa"/>
            <w:vAlign w:val="top"/>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F098"/>
            </w:r>
            <w:r>
              <w:rPr>
                <w:rFonts w:hint="eastAsia" w:ascii="Times New Roman" w:hAnsi="Times New Roman" w:cs="Times New Roman"/>
                <w:lang w:val="en-US" w:eastAsia="zh-CN"/>
              </w:rPr>
              <w:t>为了有效的实施质量、环境、职业健康安全管理，本公司确定了公司结构：</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——公司总经理、体系负责人为公司的管理层。</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——公司设置管理部门如下：办公室、生产部。</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F098"/>
            </w:r>
            <w:r>
              <w:rPr>
                <w:rFonts w:hint="eastAsia" w:ascii="Times New Roman" w:hAnsi="Times New Roman" w:cs="Times New Roman"/>
                <w:lang w:val="en-US" w:eastAsia="zh-CN"/>
              </w:rPr>
              <w:t>《管理手册》规定了各级各岗位人员职责、权限和相互关系，并在公司内对各级员工进行了必要的传达；制定了《人员岗位任职要求》，规定了各岗位职责及权限，对本公司各主要岗位职责权限进行了确定。</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F098"/>
            </w:r>
            <w:r>
              <w:rPr>
                <w:rFonts w:hint="eastAsia" w:ascii="Times New Roman" w:hAnsi="Times New Roman" w:cs="Times New Roman"/>
                <w:lang w:val="en-US" w:eastAsia="zh-CN"/>
              </w:rPr>
              <w:t>具体岗位职责及权限见各部门审核记录。</w:t>
            </w:r>
          </w:p>
        </w:tc>
        <w:tc>
          <w:tcPr>
            <w:tcW w:w="895" w:type="dxa"/>
          </w:tcPr>
          <w:p/>
          <w:p>
            <w:pPr>
              <w:jc w:val="left"/>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应对风险和机遇的措施</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Q6.1</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EO6.1.1</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企业分别从各过程对风险进行了识别，制定了措施</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风险内容</w:t>
            </w:r>
            <w:r>
              <w:rPr>
                <w:rFonts w:hint="eastAsia"/>
                <w:lang w:val="en-US" w:eastAsia="zh-CN"/>
              </w:rPr>
              <w:tab/>
            </w:r>
            <w:r>
              <w:rPr>
                <w:rFonts w:hint="eastAsia"/>
                <w:lang w:val="en-US" w:eastAsia="zh-CN"/>
              </w:rPr>
              <w:t>风险管理措施</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人员技术能力</w:t>
            </w:r>
            <w:r>
              <w:rPr>
                <w:rFonts w:hint="eastAsia"/>
                <w:lang w:val="en-US" w:eastAsia="zh-CN"/>
              </w:rPr>
              <w:tab/>
            </w:r>
            <w:r>
              <w:rPr>
                <w:rFonts w:hint="eastAsia"/>
                <w:lang w:val="en-US" w:eastAsia="zh-CN"/>
              </w:rPr>
              <w:t>1制定人员培训计划2制定上岗考核制度3持证上岗</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设备保障能力（保养、大修状况）</w:t>
            </w:r>
            <w:r>
              <w:rPr>
                <w:rFonts w:hint="eastAsia"/>
                <w:lang w:val="en-US" w:eastAsia="zh-CN"/>
              </w:rPr>
              <w:tab/>
            </w:r>
            <w:r>
              <w:rPr>
                <w:rFonts w:hint="eastAsia"/>
                <w:lang w:val="en-US" w:eastAsia="zh-CN"/>
              </w:rPr>
              <w:t>1严格制定保养、大修制度2专人进行设备管理。</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生产人员管理能力（协调生产计划等）</w:t>
            </w:r>
            <w:r>
              <w:rPr>
                <w:rFonts w:hint="eastAsia"/>
                <w:lang w:val="en-US" w:eastAsia="zh-CN"/>
              </w:rPr>
              <w:tab/>
            </w:r>
            <w:r>
              <w:rPr>
                <w:rFonts w:hint="eastAsia"/>
                <w:lang w:val="en-US" w:eastAsia="zh-CN"/>
              </w:rPr>
              <w:t>生产计划完成率等分阶段考核。</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政策性限制生产</w:t>
            </w:r>
            <w:r>
              <w:rPr>
                <w:rFonts w:hint="eastAsia"/>
                <w:lang w:val="en-US" w:eastAsia="zh-CN"/>
              </w:rPr>
              <w:tab/>
            </w:r>
            <w:r>
              <w:rPr>
                <w:rFonts w:hint="eastAsia"/>
                <w:lang w:val="en-US" w:eastAsia="zh-CN"/>
              </w:rPr>
              <w:t>遵守国家法律法规要求，配合相关方要求，提前进行生产进度安排。</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相关方约束</w:t>
            </w:r>
            <w:r>
              <w:rPr>
                <w:rFonts w:hint="eastAsia"/>
                <w:lang w:val="en-US" w:eastAsia="zh-CN"/>
              </w:rPr>
              <w:tab/>
            </w:r>
            <w:r>
              <w:rPr>
                <w:rFonts w:hint="eastAsia"/>
                <w:lang w:val="en-US" w:eastAsia="zh-CN"/>
              </w:rPr>
              <w:t>1生产场地、特种设备证件办理2环保限制性生产要求3客户验厂、第三方检查</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工艺稳定性</w:t>
            </w:r>
            <w:r>
              <w:rPr>
                <w:rFonts w:hint="eastAsia"/>
                <w:lang w:val="en-US" w:eastAsia="zh-CN"/>
              </w:rPr>
              <w:tab/>
            </w:r>
            <w:r>
              <w:rPr>
                <w:rFonts w:hint="eastAsia"/>
                <w:lang w:val="en-US" w:eastAsia="zh-CN"/>
              </w:rPr>
              <w:t>1制定工艺技术文件2制定工艺管理制度3定期对工艺进行培训4不断完善和提高工艺技术</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检测能力</w:t>
            </w:r>
            <w:r>
              <w:rPr>
                <w:rFonts w:hint="eastAsia"/>
                <w:lang w:val="en-US" w:eastAsia="zh-CN"/>
              </w:rPr>
              <w:tab/>
            </w:r>
            <w:r>
              <w:rPr>
                <w:rFonts w:hint="eastAsia"/>
                <w:lang w:val="en-US" w:eastAsia="zh-CN"/>
              </w:rPr>
              <w:t>1 严格登记和管理检测设备2 制定严格的检测设备管理制度3 定期进行检测设备计量遵循法律法规。</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办公区环境隐患造成环境污染事故，环境法律法规不合规产生</w:t>
            </w:r>
            <w:r>
              <w:rPr>
                <w:rFonts w:hint="eastAsia"/>
                <w:lang w:val="en-US" w:eastAsia="zh-CN"/>
              </w:rPr>
              <w:tab/>
            </w:r>
            <w:r>
              <w:rPr>
                <w:rFonts w:hint="eastAsia"/>
                <w:lang w:val="en-US" w:eastAsia="zh-CN"/>
              </w:rPr>
              <w:t>1、办公区定期检查线路，避免造成连线造成火灾2、每日由办公室人员对办公区进行早晚打扫，保持办公区卫生。3、办公区配备灭火器，定期由安全人员进行检查。4、积极配合安全人员检查整改要求</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办公区安全事故产生、新冠病毒传播等，环境法律法规不合规公司出现损失</w:t>
            </w:r>
            <w:r>
              <w:rPr>
                <w:rFonts w:hint="eastAsia"/>
                <w:lang w:val="en-US" w:eastAsia="zh-CN"/>
              </w:rPr>
              <w:tab/>
            </w:r>
            <w:r>
              <w:rPr>
                <w:rFonts w:hint="eastAsia"/>
                <w:lang w:val="en-US" w:eastAsia="zh-CN"/>
              </w:rPr>
              <w:t>1、遵守法律法规要求和安监局要求2、严格执行和实施双控和职业健康安全管理制度和公司安全制度要求，并保留记录。3、积极配合和参与公司安排的应急预案演练</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另抽顾客服务、经营计划管理、采购与成品检验、仪器校准管理、不合格品管理、信息安全管理、环境因素、危险源等过程风险识别及措施，均保存完好，符合要求，目前未发生事故，风险管理措施有效。</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措施的策划</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EO6.1.4</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●在策划应对风险和机遇的措施时，办公室综合考虑了企业所处的环境、重要环境因素、合规义务，以及面对的风险和机遇，制定了环境、职业健康安全目标指标及管理方案，总经理批准。</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管理方案中明确为实现环境、职业健康安全目标和指标的责任部门；规定实现环境目标和指标的时间；具体措施和经费预算；都由总经理批准。管理方案的实施，办公室每季度对方案实施情况进行检查跟踪，向总经理报告；一般在管理评审之前对环境、职业健康安全目标及管理方案由办公室对其进行评审，并将完成情况以书面形式呈报管理者代表，以便提交管理评审。</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管理目标及其实现的策划</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QEO6.2</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●公司对管理体系所需的相关职能、层次和过程设定管理目标。</w:t>
            </w:r>
          </w:p>
          <w:p>
            <w:pPr>
              <w:widowControl/>
              <w:spacing w:before="40"/>
              <w:jc w:val="left"/>
              <w:rPr>
                <w:rFonts w:hint="eastAsia" w:ascii="Times New Roman" w:hAnsi="Times New Roman" w:cs="Times New Roman"/>
              </w:rPr>
            </w:pPr>
            <w:r>
              <w:rPr>
                <w:rFonts w:hint="eastAsia" w:ascii="Times New Roman" w:hAnsi="Times New Roman" w:cs="Times New Roman"/>
              </w:rPr>
              <w:t>1.质量目标：</w:t>
            </w:r>
          </w:p>
          <w:p>
            <w:pPr>
              <w:widowControl/>
              <w:spacing w:before="40"/>
              <w:jc w:val="left"/>
              <w:rPr>
                <w:rFonts w:hint="eastAsia" w:ascii="Times New Roman" w:hAnsi="Times New Roman" w:cs="Times New Roman"/>
              </w:rPr>
            </w:pPr>
            <w:r>
              <w:rPr>
                <w:rFonts w:hint="eastAsia" w:ascii="Times New Roman" w:hAnsi="Times New Roman" w:cs="Times New Roman"/>
              </w:rPr>
              <w:t>产品一次生产检验合格率不低于9</w:t>
            </w:r>
            <w:r>
              <w:rPr>
                <w:rFonts w:hint="eastAsia" w:ascii="Times New Roman" w:hAnsi="Times New Roman" w:cs="Times New Roman"/>
                <w:lang w:val="en-US" w:eastAsia="zh-CN"/>
              </w:rPr>
              <w:t>0</w:t>
            </w:r>
            <w:r>
              <w:rPr>
                <w:rFonts w:hint="eastAsia" w:ascii="Times New Roman" w:hAnsi="Times New Roman" w:cs="Times New Roman"/>
              </w:rPr>
              <w:t>%</w:t>
            </w:r>
          </w:p>
          <w:p>
            <w:pPr>
              <w:widowControl/>
              <w:spacing w:before="40"/>
              <w:jc w:val="left"/>
              <w:rPr>
                <w:rFonts w:hint="eastAsia" w:ascii="Times New Roman" w:hAnsi="Times New Roman" w:cs="Times New Roman"/>
              </w:rPr>
            </w:pPr>
            <w:r>
              <w:rPr>
                <w:rFonts w:hint="eastAsia" w:ascii="Times New Roman" w:hAnsi="Times New Roman" w:cs="Times New Roman"/>
              </w:rPr>
              <w:t>产品销售服务交货及时率</w:t>
            </w:r>
            <w:r>
              <w:rPr>
                <w:rFonts w:hint="eastAsia" w:ascii="Times New Roman" w:hAnsi="Times New Roman" w:cs="Times New Roman"/>
                <w:lang w:val="en-US" w:eastAsia="zh-CN"/>
              </w:rPr>
              <w:t>90</w:t>
            </w:r>
            <w:r>
              <w:rPr>
                <w:rFonts w:hint="eastAsia" w:ascii="Times New Roman" w:hAnsi="Times New Roman" w:cs="Times New Roman"/>
              </w:rPr>
              <w:t>%</w:t>
            </w:r>
          </w:p>
          <w:p>
            <w:pPr>
              <w:widowControl/>
              <w:spacing w:before="40"/>
              <w:jc w:val="left"/>
              <w:rPr>
                <w:rFonts w:hint="eastAsia" w:ascii="Times New Roman" w:hAnsi="Times New Roman" w:cs="Times New Roman"/>
              </w:rPr>
            </w:pPr>
            <w:r>
              <w:rPr>
                <w:rFonts w:hint="eastAsia" w:ascii="Times New Roman" w:hAnsi="Times New Roman" w:cs="Times New Roman"/>
              </w:rPr>
              <w:t>顾客满意度</w:t>
            </w:r>
            <w:r>
              <w:rPr>
                <w:rFonts w:hint="eastAsia" w:ascii="Times New Roman" w:hAnsi="Times New Roman" w:cs="Times New Roman"/>
                <w:lang w:val="en-US" w:eastAsia="zh-CN"/>
              </w:rPr>
              <w:t>80</w:t>
            </w:r>
            <w:r>
              <w:rPr>
                <w:rFonts w:hint="eastAsia" w:ascii="Times New Roman" w:hAnsi="Times New Roman" w:cs="Times New Roman"/>
              </w:rPr>
              <w:t>%，并逐年提高；</w:t>
            </w:r>
          </w:p>
          <w:p>
            <w:pPr>
              <w:widowControl/>
              <w:spacing w:before="40"/>
              <w:jc w:val="left"/>
              <w:rPr>
                <w:rFonts w:hint="eastAsia" w:ascii="Times New Roman" w:hAnsi="Times New Roman" w:cs="Times New Roman"/>
              </w:rPr>
            </w:pPr>
            <w:r>
              <w:rPr>
                <w:rFonts w:hint="eastAsia" w:ascii="Times New Roman" w:hAnsi="Times New Roman" w:cs="Times New Roman"/>
              </w:rPr>
              <w:t>2.环境目标</w:t>
            </w:r>
          </w:p>
          <w:p>
            <w:pPr>
              <w:widowControl/>
              <w:spacing w:before="40"/>
              <w:jc w:val="left"/>
              <w:rPr>
                <w:rFonts w:hint="eastAsia" w:ascii="Times New Roman" w:hAnsi="Times New Roman" w:cs="Times New Roman"/>
              </w:rPr>
            </w:pPr>
            <w:r>
              <w:rPr>
                <w:rFonts w:hint="eastAsia" w:ascii="Times New Roman" w:hAnsi="Times New Roman" w:cs="Times New Roman"/>
              </w:rPr>
              <w:t>固废</w:t>
            </w:r>
            <w:r>
              <w:rPr>
                <w:rFonts w:hint="eastAsia" w:ascii="Times New Roman" w:hAnsi="Times New Roman" w:cs="Times New Roman"/>
                <w:lang w:val="en-US" w:eastAsia="zh-CN"/>
              </w:rPr>
              <w:t>分类处置，</w:t>
            </w:r>
            <w:r>
              <w:rPr>
                <w:rFonts w:hint="eastAsia" w:ascii="Times New Roman" w:hAnsi="Times New Roman" w:cs="Times New Roman"/>
              </w:rPr>
              <w:t>回收率达到</w:t>
            </w:r>
            <w:r>
              <w:rPr>
                <w:rFonts w:hint="eastAsia" w:ascii="Times New Roman" w:hAnsi="Times New Roman" w:cs="Times New Roman"/>
                <w:lang w:val="en-US" w:eastAsia="zh-CN"/>
              </w:rPr>
              <w:t>80</w:t>
            </w:r>
            <w:r>
              <w:rPr>
                <w:rFonts w:hint="eastAsia" w:ascii="Times New Roman" w:hAnsi="Times New Roman" w:cs="Times New Roman"/>
              </w:rPr>
              <w:t>%以上</w:t>
            </w:r>
          </w:p>
          <w:p>
            <w:pPr>
              <w:widowControl/>
              <w:spacing w:before="40"/>
              <w:jc w:val="left"/>
              <w:rPr>
                <w:rFonts w:hint="eastAsia" w:ascii="Times New Roman" w:hAnsi="Times New Roman" w:cs="Times New Roman"/>
              </w:rPr>
            </w:pPr>
            <w:r>
              <w:rPr>
                <w:rFonts w:hint="eastAsia" w:ascii="Times New Roman" w:hAnsi="Times New Roman" w:cs="Times New Roman"/>
              </w:rPr>
              <w:t>火灾发生率0%</w:t>
            </w:r>
          </w:p>
          <w:p>
            <w:pPr>
              <w:widowControl/>
              <w:spacing w:before="40"/>
              <w:jc w:val="left"/>
              <w:rPr>
                <w:rFonts w:hint="eastAsia" w:ascii="Times New Roman" w:hAnsi="Times New Roman" w:cs="Times New Roman"/>
              </w:rPr>
            </w:pPr>
            <w:r>
              <w:rPr>
                <w:rFonts w:hint="eastAsia" w:ascii="Times New Roman" w:hAnsi="Times New Roman" w:cs="Times New Roman"/>
              </w:rPr>
              <w:t>3.职业健康安全目标</w:t>
            </w:r>
          </w:p>
          <w:p>
            <w:pPr>
              <w:widowControl/>
              <w:spacing w:before="40"/>
              <w:jc w:val="left"/>
              <w:rPr>
                <w:rFonts w:hint="eastAsia" w:ascii="Times New Roman" w:hAnsi="Times New Roman" w:cs="Times New Roman"/>
              </w:rPr>
            </w:pPr>
            <w:r>
              <w:rPr>
                <w:rFonts w:hint="eastAsia" w:ascii="Times New Roman" w:hAnsi="Times New Roman" w:cs="Times New Roman"/>
              </w:rPr>
              <w:t>工伤</w:t>
            </w:r>
            <w:r>
              <w:rPr>
                <w:rFonts w:hint="eastAsia" w:ascii="Times New Roman" w:hAnsi="Times New Roman" w:cs="Times New Roman"/>
                <w:lang w:val="en-US" w:eastAsia="zh-CN"/>
              </w:rPr>
              <w:t>每年不超过3起</w:t>
            </w:r>
            <w:r>
              <w:rPr>
                <w:rFonts w:hint="eastAsia" w:ascii="Times New Roman" w:hAnsi="Times New Roman" w:cs="Times New Roman"/>
                <w:lang w:eastAsia="zh-CN"/>
              </w:rPr>
              <w:t>，</w:t>
            </w:r>
            <w:r>
              <w:rPr>
                <w:rFonts w:hint="eastAsia" w:ascii="Times New Roman" w:hAnsi="Times New Roman" w:cs="Times New Roman"/>
              </w:rPr>
              <w:t>无重伤及死亡事故</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ascii="Times New Roman" w:hAnsi="Times New Roman" w:cs="Times New Roman"/>
              </w:rPr>
              <w:t>火灾发生率为零</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对目标进行了分解，详见各部门考核记录。</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 xml:space="preserve"> ●针对重要环境因素、不可接受风险制订了管理方案并予以实施，基本有效，详见办公室该条款审核记录。</w:t>
            </w:r>
          </w:p>
        </w:tc>
        <w:tc>
          <w:tcPr>
            <w:tcW w:w="895" w:type="dxa"/>
          </w:tcPr>
          <w:p/>
          <w:p>
            <w:pPr>
              <w:ind w:firstLine="343"/>
              <w:jc w:val="left"/>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变更的策划</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Q6.3</w:t>
            </w: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●公司确定需要对管理体系进行变更时，应经策划并系统的实施。公司应考虑：</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变更目的及其潜在后果；</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 xml:space="preserve"> 管理体系的完整性；</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 xml:space="preserve"> 资源的可获得性；</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 xml:space="preserve"> 责任和权限的分配与再分配。</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default"/>
                <w:lang w:val="en-US" w:eastAsia="zh-CN"/>
              </w:rPr>
            </w:pPr>
            <w:r>
              <w:rPr>
                <w:rFonts w:hint="eastAsia"/>
                <w:lang w:val="en-US" w:eastAsia="zh-CN"/>
              </w:rPr>
              <w:t>自体系运行以来未发生变更。</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资源、总则</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Q7.1.1</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E7.1</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企业目前主要工作人员15名，包括管理、销售和采购人员、生产和质检人员等。可满足产品和服务控制需要。</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default"/>
                <w:lang w:val="en-US" w:eastAsia="zh-CN"/>
              </w:rPr>
            </w:pPr>
            <w:r>
              <w:rPr>
                <w:rFonts w:hint="eastAsia"/>
                <w:lang w:val="en-US" w:eastAsia="zh-CN"/>
              </w:rPr>
              <w:t>占地面积约6000平。车间1个、库房2个、办公室一座。</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配备了生产设备：覆膜机、电动裁板机、手动裁板机、UV喷绘机。</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配备了生产所需的主要计量器具：钢卷尺。</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无特种设备。</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配备了消防设施灭火器。配备了垃圾桶等固废收集设施。</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外部资源，如供方、客户等相关方。</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目前企业所提供的内外部资源基本能满足管理体系运行的需要。</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管理评审</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9.3</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cs="Times New Roman"/>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编制了《管理评审程序》，经查符合标准要求。</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提供：</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1.管理评审计划，</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eastAsia="宋体" w:cs="Times New Roman"/>
                <w:lang w:val="en-US" w:eastAsia="zh-CN"/>
              </w:rPr>
            </w:pPr>
            <w:r>
              <w:rPr>
                <w:rFonts w:hint="eastAsia"/>
                <w:lang w:val="en-US" w:eastAsia="zh-CN"/>
              </w:rPr>
              <w:t>评审时间：计划2022年10月8日进行，评审方式：会议评审，</w:t>
            </w:r>
            <w:r>
              <w:rPr>
                <w:rFonts w:hint="eastAsia" w:ascii="Times New Roman" w:hAnsi="Times New Roman" w:eastAsia="宋体" w:cs="Times New Roman"/>
                <w:lang w:val="en-US" w:eastAsia="zh-CN"/>
              </w:rPr>
              <w:t>编制：黑喃楠 ， 审批：李昊泽 ，日期：2022.9.30</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参加人员包括公司总经理、管理者代表、各部门负责人，</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计划中明确了评审内容和资料准备要求。</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2、管理评审内容：</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default"/>
                <w:lang w:val="en-US" w:eastAsia="zh-CN"/>
              </w:rPr>
            </w:pPr>
            <w:r>
              <w:rPr>
                <w:rFonts w:hint="eastAsia"/>
                <w:lang w:val="en-US" w:eastAsia="zh-CN"/>
              </w:rPr>
              <w:t>与体系相关的内外部因素；应对风险和机遇所采取措施的有效性；方针、目标、指标和管理方案的完成情况、相关方反馈的信息、公司管理方针目标、组织机构、职责权限、管理体系文件等的适宜性。质量、 环境、职业健康安全控制绩效和存在问题。内部审核结果、预防和纠正措施的实施效果。法律法规遵循情况。资源的充分性。讨论评价公司管理体系的适宜性、充分性和有效性。产品质量状况统计分析顾客满意度统计分析不符合以及纠正措施；改进的建议，包括管理体系 质量、环境、职业健康安全的改进建议等</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eastAsia="宋体" w:cs="Times New Roman"/>
                <w:lang w:val="en-US" w:eastAsia="zh-CN"/>
              </w:rPr>
            </w:pPr>
            <w:r>
              <w:rPr>
                <w:rFonts w:hint="eastAsia"/>
                <w:lang w:val="en-US" w:eastAsia="zh-CN"/>
              </w:rPr>
              <w:t>3.</w:t>
            </w:r>
            <w:r>
              <w:rPr>
                <w:rFonts w:hint="eastAsia" w:ascii="Times New Roman" w:hAnsi="Times New Roman" w:eastAsia="宋体" w:cs="Times New Roman"/>
                <w:lang w:val="en-US" w:eastAsia="zh-CN"/>
              </w:rPr>
              <w:t>提供管理评审报告，</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管理评审结论：公司管理体系基本能满足当前生产需要，适应当前发展，具有有效性！</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4.改进建议：加强文件和记录管理；控制生产工序检验，降低不合格产生率。</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5.对改进情况进行了检查。实施验证情况：经过一周检查，文件记录管控严谨。生产目前不合格品出现频率不高</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default"/>
                <w:lang w:val="en-US" w:eastAsia="zh-CN"/>
              </w:rPr>
            </w:pPr>
            <w:r>
              <w:rPr>
                <w:rFonts w:hint="eastAsia" w:ascii="Times New Roman" w:hAnsi="Times New Roman" w:eastAsia="宋体" w:cs="Times New Roman"/>
                <w:lang w:val="en-US" w:eastAsia="zh-CN"/>
              </w:rPr>
              <w:t>孙祚亮    2022.10.19</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总则</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QEO</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10.1</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公司编制了《纠正措施实施程序》 。</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综合全部审核证据认为公司管理体系方针、目标、内部审核、管理评审、不合格和纠正措施各项要求得到落实，相关管理活动得到有效开展，体现了持续改进的要求及改进产品和产品来满足未来的需要和期望。</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 xml:space="preserve">考虑了分析、评价结果及管理评审的输出，并确定了对存在应关注的持续改进的需求和机遇。  </w:t>
            </w:r>
          </w:p>
        </w:tc>
        <w:tc>
          <w:tcPr>
            <w:tcW w:w="895" w:type="dxa"/>
          </w:tcPr>
          <w:p>
            <w:pPr>
              <w:rPr>
                <w:rFonts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9" w:hRule="atLeast"/>
        </w:trPr>
        <w:tc>
          <w:tcPr>
            <w:tcW w:w="1702"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持续改进</w:t>
            </w:r>
          </w:p>
        </w:tc>
        <w:tc>
          <w:tcPr>
            <w:tcW w:w="964" w:type="dxa"/>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QEO</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10.3</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tc>
        <w:tc>
          <w:tcPr>
            <w:tcW w:w="11148" w:type="dxa"/>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●公司组织确定并选择改进机会，采取必要措施，满足顾客要求和增强顾客满意。</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包括：</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1. 改进产品或服务，以满足要求并关注未来的需求和期望；</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2、纠正或减少不利影响；</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3.改进管理体系绩效和有效性。</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●对以下方面所需的监视、测量、分析和改进过程进行策划和实施：</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1.证实生产、服务满足规定的要求；</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2.确保管理体系的符合性；</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3.持续改进管理体系的有效性。</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●根据不同过程、不同产品和不同要求，采取不同的方法进行监视、测量和分析。</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●公司利用管理方针、目标、内审和外审、数据分析、纠正和预防措施以及管理评审，识别任何改进的机会，持续改进管理体系的适宜性、充分性和有效性。详见相关条款审核记录。</w:t>
            </w:r>
          </w:p>
        </w:tc>
        <w:tc>
          <w:tcPr>
            <w:tcW w:w="895" w:type="dxa"/>
          </w:tcPr>
          <w:p>
            <w:pPr>
              <w:rPr>
                <w:rFonts w:hint="eastAsia" w:eastAsia="宋体" w:cs="宋体"/>
                <w:lang w:val="en-US" w:eastAsia="zh-CN"/>
              </w:rPr>
            </w:pPr>
            <w:r>
              <w:rPr>
                <w:rFonts w:hint="eastAsia" w:cs="宋体"/>
                <w:lang w:val="en-US" w:eastAsia="zh-CN"/>
              </w:rPr>
              <w:t>Y</w:t>
            </w:r>
          </w:p>
        </w:tc>
      </w:tr>
    </w:tbl>
    <w:p>
      <w:pPr>
        <w:pStyle w:val="6"/>
        <w:rPr>
          <w:rFonts w:hint="eastAsia" w:ascii="隶书" w:hAnsi="宋体" w:eastAsia="隶书"/>
          <w:bCs/>
          <w:color w:val="000000"/>
          <w:sz w:val="36"/>
          <w:szCs w:val="36"/>
        </w:rPr>
      </w:pPr>
    </w:p>
    <w:p>
      <w:pPr>
        <w:pStyle w:val="11"/>
      </w:pPr>
    </w:p>
    <w:tbl>
      <w:tblPr>
        <w:tblStyle w:val="15"/>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911"/>
        <w:gridCol w:w="1150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过程与活动、抽样计划</w:t>
            </w:r>
          </w:p>
        </w:tc>
        <w:tc>
          <w:tcPr>
            <w:tcW w:w="289" w:type="pct"/>
            <w:vMerge w:val="restar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3881" w:type="pct"/>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eastAsia="zh-CN"/>
              </w:rPr>
              <w:t>办公室</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黑喃楠               陪同人员：李雪芬</w:t>
            </w:r>
          </w:p>
        </w:tc>
        <w:tc>
          <w:tcPr>
            <w:tcW w:w="314" w:type="pct"/>
            <w:vMerge w:val="restar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4" w:type="pct"/>
            <w:vMerge w:val="continue"/>
            <w:noWrap w:val="0"/>
            <w:vAlign w:val="center"/>
          </w:tcPr>
          <w:p>
            <w:pPr>
              <w:rPr>
                <w:rFonts w:hint="eastAsia" w:asciiTheme="minorEastAsia" w:hAnsiTheme="minorEastAsia" w:eastAsiaTheme="minorEastAsia" w:cstheme="minorEastAsia"/>
                <w:sz w:val="21"/>
                <w:szCs w:val="21"/>
              </w:rPr>
            </w:pPr>
          </w:p>
        </w:tc>
        <w:tc>
          <w:tcPr>
            <w:tcW w:w="289" w:type="pct"/>
            <w:vMerge w:val="continue"/>
            <w:noWrap w:val="0"/>
            <w:vAlign w:val="center"/>
          </w:tcPr>
          <w:p>
            <w:pPr>
              <w:rPr>
                <w:rFonts w:hint="eastAsia" w:asciiTheme="minorEastAsia" w:hAnsiTheme="minorEastAsia" w:eastAsiaTheme="minorEastAsia" w:cstheme="minorEastAsia"/>
                <w:sz w:val="21"/>
                <w:szCs w:val="21"/>
              </w:rPr>
            </w:pPr>
          </w:p>
        </w:tc>
        <w:tc>
          <w:tcPr>
            <w:tcW w:w="3881" w:type="pct"/>
            <w:noWrap w:val="0"/>
            <w:vAlign w:val="center"/>
          </w:tcPr>
          <w:p>
            <w:pPr>
              <w:spacing w:before="1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审核员： </w:t>
            </w:r>
            <w:r>
              <w:rPr>
                <w:rFonts w:hint="eastAsia" w:asciiTheme="minorEastAsia" w:hAnsiTheme="minorEastAsia" w:eastAsiaTheme="minorEastAsia" w:cstheme="minorEastAsia"/>
                <w:sz w:val="21"/>
                <w:szCs w:val="21"/>
                <w:lang w:eastAsia="zh-CN"/>
              </w:rPr>
              <w:t>李文宽（远程审核，视频、语音、文件传输）</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审核时间：20</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--2022年11月5日</w:t>
            </w:r>
          </w:p>
        </w:tc>
        <w:tc>
          <w:tcPr>
            <w:tcW w:w="314" w:type="pct"/>
            <w:vMerge w:val="continue"/>
            <w:noWrap w:val="0"/>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14" w:type="pct"/>
            <w:vMerge w:val="continue"/>
            <w:noWrap w:val="0"/>
            <w:vAlign w:val="center"/>
          </w:tcPr>
          <w:p>
            <w:pPr>
              <w:rPr>
                <w:rFonts w:hint="eastAsia" w:asciiTheme="minorEastAsia" w:hAnsiTheme="minorEastAsia" w:eastAsiaTheme="minorEastAsia" w:cstheme="minorEastAsia"/>
                <w:sz w:val="21"/>
                <w:szCs w:val="21"/>
              </w:rPr>
            </w:pPr>
          </w:p>
        </w:tc>
        <w:tc>
          <w:tcPr>
            <w:tcW w:w="289" w:type="pct"/>
            <w:vMerge w:val="continue"/>
            <w:noWrap w:val="0"/>
            <w:vAlign w:val="center"/>
          </w:tcPr>
          <w:p>
            <w:pPr>
              <w:rPr>
                <w:rFonts w:hint="eastAsia" w:asciiTheme="minorEastAsia" w:hAnsiTheme="minorEastAsia" w:eastAsiaTheme="minorEastAsia" w:cstheme="minorEastAsia"/>
                <w:sz w:val="21"/>
                <w:szCs w:val="21"/>
              </w:rPr>
            </w:pPr>
          </w:p>
        </w:tc>
        <w:tc>
          <w:tcPr>
            <w:tcW w:w="3881" w:type="pct"/>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审核条款：Q</w:t>
            </w:r>
            <w:r>
              <w:rPr>
                <w:rFonts w:hint="eastAsia" w:asciiTheme="minorEastAsia" w:hAnsiTheme="minorEastAsia" w:eastAsiaTheme="minorEastAsia" w:cstheme="minorEastAsia"/>
                <w:sz w:val="21"/>
                <w:szCs w:val="21"/>
                <w:lang w:val="en-US" w:eastAsia="zh-CN"/>
              </w:rPr>
              <w:t>5.3/6.2/</w:t>
            </w:r>
            <w:r>
              <w:rPr>
                <w:rFonts w:hint="eastAsia" w:asciiTheme="minorEastAsia" w:hAnsiTheme="minorEastAsia" w:eastAsiaTheme="minorEastAsia" w:cstheme="minorEastAsia"/>
                <w:sz w:val="21"/>
                <w:szCs w:val="21"/>
              </w:rPr>
              <w:t>7.1.2/7.1.6/7.2/7.3/7.4</w:t>
            </w:r>
            <w:r>
              <w:rPr>
                <w:rFonts w:hint="eastAsia" w:asciiTheme="minorEastAsia" w:hAnsiTheme="minorEastAsia" w:eastAsiaTheme="minorEastAsia" w:cstheme="minorEastAsia"/>
                <w:sz w:val="21"/>
                <w:szCs w:val="21"/>
                <w:lang w:val="en-US" w:eastAsia="zh-CN"/>
              </w:rPr>
              <w:t>/9.1.2/9.1.3/9.2/10.2</w:t>
            </w:r>
          </w:p>
          <w:p>
            <w:pPr>
              <w:spacing w:line="240" w:lineRule="exact"/>
              <w:ind w:firstLine="1050" w:firstLineChars="5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val="en-US" w:eastAsia="zh-CN"/>
              </w:rPr>
              <w:t>O5.3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6.2/</w:t>
            </w:r>
            <w:r>
              <w:rPr>
                <w:rFonts w:hint="eastAsia" w:asciiTheme="minorEastAsia" w:hAnsiTheme="minorEastAsia" w:eastAsiaTheme="minorEastAsia" w:cstheme="minorEastAsia"/>
                <w:sz w:val="21"/>
                <w:szCs w:val="21"/>
              </w:rPr>
              <w:t>7.2/7.3/7.4</w:t>
            </w:r>
            <w:r>
              <w:rPr>
                <w:rFonts w:hint="eastAsia" w:asciiTheme="minorEastAsia" w:hAnsiTheme="minorEastAsia" w:eastAsiaTheme="minorEastAsia" w:cstheme="minorEastAsia"/>
                <w:sz w:val="21"/>
                <w:szCs w:val="21"/>
                <w:lang w:val="en-US" w:eastAsia="zh-CN"/>
              </w:rPr>
              <w:t>/8.2/</w:t>
            </w:r>
            <w:r>
              <w:rPr>
                <w:rFonts w:hint="eastAsia" w:asciiTheme="minorEastAsia" w:hAnsiTheme="minorEastAsia" w:eastAsiaTheme="minorEastAsia" w:cstheme="minorEastAsia"/>
                <w:sz w:val="21"/>
                <w:szCs w:val="21"/>
              </w:rPr>
              <w:t>9.2/10.2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O5.4</w:t>
            </w:r>
          </w:p>
        </w:tc>
        <w:tc>
          <w:tcPr>
            <w:tcW w:w="314" w:type="pct"/>
            <w:vMerge w:val="continue"/>
            <w:noWrap w:val="0"/>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组织的岗位、职责和权限</w:t>
            </w:r>
          </w:p>
        </w:tc>
        <w:tc>
          <w:tcPr>
            <w:tcW w:w="289" w:type="pct"/>
            <w:noWrap w:val="0"/>
            <w:vAlign w:val="top"/>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QEO</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5.3</w:t>
            </w:r>
          </w:p>
        </w:tc>
        <w:tc>
          <w:tcPr>
            <w:tcW w:w="3881" w:type="pct"/>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sym w:font="Wingdings 2" w:char="F098"/>
            </w:r>
            <w:r>
              <w:rPr>
                <w:rFonts w:hint="eastAsia" w:asciiTheme="minorEastAsia" w:hAnsiTheme="minorEastAsia" w:eastAsiaTheme="minorEastAsia" w:cstheme="minorEastAsia"/>
                <w:szCs w:val="21"/>
                <w:lang w:val="zh-CN" w:eastAsia="zh-CN"/>
              </w:rPr>
              <w:t>办公室负责人：</w:t>
            </w:r>
            <w:r>
              <w:rPr>
                <w:rFonts w:hint="eastAsia" w:asciiTheme="minorEastAsia" w:hAnsiTheme="minorEastAsia" w:eastAsiaTheme="minorEastAsia" w:cstheme="minorEastAsia"/>
                <w:sz w:val="21"/>
                <w:szCs w:val="21"/>
                <w:lang w:val="en-US" w:eastAsia="zh-CN"/>
              </w:rPr>
              <w:t xml:space="preserve"> 黑喃楠   </w:t>
            </w:r>
          </w:p>
          <w:p>
            <w:pPr>
              <w:bidi w:val="0"/>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rPr>
              <w:sym w:font="Wingdings 2" w:char="F098"/>
            </w:r>
            <w:r>
              <w:rPr>
                <w:rFonts w:hint="eastAsia" w:asciiTheme="minorEastAsia" w:hAnsiTheme="minorEastAsia" w:eastAsiaTheme="minorEastAsia" w:cstheme="minorEastAsia"/>
                <w:szCs w:val="21"/>
                <w:lang w:val="zh-CN"/>
              </w:rPr>
              <w:t>与</w:t>
            </w:r>
            <w:r>
              <w:rPr>
                <w:rFonts w:hint="eastAsia" w:asciiTheme="minorEastAsia" w:hAnsiTheme="minorEastAsia" w:eastAsiaTheme="minorEastAsia" w:cstheme="minorEastAsia"/>
                <w:sz w:val="21"/>
                <w:szCs w:val="21"/>
                <w:lang w:val="en-US" w:eastAsia="zh-CN"/>
              </w:rPr>
              <w:t>黑喃楠</w:t>
            </w:r>
            <w:r>
              <w:rPr>
                <w:rFonts w:hint="eastAsia" w:asciiTheme="minorEastAsia" w:hAnsiTheme="minorEastAsia" w:eastAsiaTheme="minorEastAsia" w:cstheme="minorEastAsia"/>
                <w:szCs w:val="21"/>
                <w:lang w:val="en-US" w:eastAsia="zh-CN"/>
              </w:rPr>
              <w:t>主管视频沟通</w:t>
            </w:r>
            <w:r>
              <w:rPr>
                <w:rFonts w:hint="eastAsia" w:asciiTheme="minorEastAsia" w:hAnsiTheme="minorEastAsia" w:eastAsiaTheme="minorEastAsia" w:cstheme="minorEastAsia"/>
                <w:szCs w:val="21"/>
                <w:lang w:val="zh-CN" w:eastAsia="zh-CN"/>
              </w:rPr>
              <w:t>，办公室主要负责公司文件管理，内部审核工作、管理评审，人力资源管理，培训工作，体系运行控制，本部门环境因素和风险，信息交流，供方管理，采购管理，销售管理等工作。</w:t>
            </w:r>
          </w:p>
          <w:p>
            <w:pPr>
              <w:bidi w:val="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Cs w:val="21"/>
                <w:lang w:eastAsia="zh-CN"/>
              </w:rPr>
              <w:t>本部门职责明确，基本能够顺利开展工作。</w:t>
            </w:r>
          </w:p>
        </w:tc>
        <w:tc>
          <w:tcPr>
            <w:tcW w:w="314" w:type="pct"/>
            <w:noWrap w:val="0"/>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514" w:type="pct"/>
            <w:noWrap w:val="0"/>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目标及其实现的策划</w:t>
            </w:r>
          </w:p>
        </w:tc>
        <w:tc>
          <w:tcPr>
            <w:tcW w:w="289" w:type="pct"/>
            <w:noWrap w:val="0"/>
            <w:vAlign w:val="top"/>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QEO</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6.2 </w:t>
            </w:r>
          </w:p>
          <w:p>
            <w:pPr>
              <w:rPr>
                <w:rFonts w:hint="eastAsia" w:asciiTheme="minorEastAsia" w:hAnsiTheme="minorEastAsia" w:eastAsiaTheme="minorEastAsia" w:cstheme="minorEastAsia"/>
                <w:kern w:val="2"/>
                <w:sz w:val="21"/>
                <w:szCs w:val="21"/>
                <w:lang w:val="en-US" w:eastAsia="zh-CN" w:bidi="ar-SA"/>
              </w:rPr>
            </w:pPr>
          </w:p>
        </w:tc>
        <w:tc>
          <w:tcPr>
            <w:tcW w:w="3881" w:type="pct"/>
            <w:noWrap w:val="0"/>
            <w:vAlign w:val="top"/>
          </w:tcPr>
          <w:p>
            <w:pPr>
              <w:bidi w:val="0"/>
              <w:jc w:val="left"/>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szCs w:val="21"/>
                <w:lang w:val="zh-CN"/>
              </w:rPr>
              <w:sym w:font="Wingdings 2" w:char="F098"/>
            </w:r>
            <w:r>
              <w:rPr>
                <w:rFonts w:hint="eastAsia" w:asciiTheme="minorEastAsia" w:hAnsiTheme="minorEastAsia" w:eastAsiaTheme="minorEastAsia" w:cstheme="minorEastAsia"/>
                <w:szCs w:val="21"/>
                <w:lang w:val="zh-CN"/>
              </w:rPr>
              <w:t>查见《管理体系手册》公司管理层以公司的质量/环境/职业健康安全方针为框架，结合公司的实际运营情况，制定公司的总的管理目标，对目标进行了分解，制定了考核方法。</w:t>
            </w:r>
          </w:p>
          <w:p>
            <w:pPr>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提供有目标分解考核记录，对目标完成情况进行了考核，有考核数，考核结果，考核时间。</w:t>
            </w:r>
          </w:p>
          <w:p>
            <w:pPr>
              <w:pStyle w:val="19"/>
              <w:ind w:left="0" w:leftChars="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kern w:val="2"/>
                <w:sz w:val="21"/>
                <w:szCs w:val="21"/>
                <w:lang w:val="zh-CN" w:eastAsia="zh-CN" w:bidi="ar-SA"/>
              </w:rPr>
              <w:t>查</w:t>
            </w:r>
            <w:r>
              <w:rPr>
                <w:rFonts w:hint="eastAsia" w:asciiTheme="minorEastAsia" w:hAnsiTheme="minorEastAsia" w:eastAsiaTheme="minorEastAsia" w:cstheme="minorEastAsia"/>
                <w:kern w:val="2"/>
                <w:sz w:val="21"/>
                <w:szCs w:val="21"/>
                <w:lang w:val="en-US" w:eastAsia="zh-CN" w:bidi="ar-SA"/>
              </w:rPr>
              <w:t>2022年各季度目标考核情况，</w:t>
            </w:r>
            <w:r>
              <w:rPr>
                <w:rFonts w:hint="eastAsia" w:asciiTheme="minorEastAsia" w:hAnsiTheme="minorEastAsia" w:eastAsiaTheme="minorEastAsia" w:cstheme="minorEastAsia"/>
                <w:szCs w:val="21"/>
                <w:lang w:val="en-US" w:eastAsia="zh-CN"/>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3958"/>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60" w:type="dxa"/>
                  <w:vMerge w:val="restart"/>
                  <w:noWrap w:val="0"/>
                  <w:vAlign w:val="center"/>
                </w:tcPr>
                <w:p>
                  <w:pPr>
                    <w:bidi w:val="0"/>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质量目标</w:t>
                  </w: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质量培训按计划执行率100%</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体系文件100%受控。</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相关方期望分析100%</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风险分析措施执行率100%</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财务风险措施应对率100%</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配合质量管理费用投入</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财务按季度盘点质量管理账目100%</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顾客满意度</w:t>
                  </w:r>
                  <w:r>
                    <w:rPr>
                      <w:rFonts w:hint="eastAsia" w:asciiTheme="minorEastAsia" w:hAnsiTheme="minorEastAsia" w:eastAsiaTheme="minorEastAsia" w:cstheme="minorEastAsia"/>
                      <w:szCs w:val="21"/>
                      <w:lang w:val="en-US" w:eastAsia="zh-CN"/>
                    </w:rPr>
                    <w:t>85％，</w:t>
                  </w:r>
                  <w:r>
                    <w:rPr>
                      <w:rFonts w:hint="eastAsia" w:asciiTheme="minorEastAsia" w:hAnsiTheme="minorEastAsia" w:eastAsiaTheme="minorEastAsia" w:cstheme="minorEastAsia"/>
                      <w:szCs w:val="21"/>
                      <w:lang w:val="zh-CN"/>
                    </w:rPr>
                    <w:t>并逐年提高；</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产品销售服务交货及时率</w:t>
                  </w:r>
                  <w:r>
                    <w:rPr>
                      <w:rFonts w:hint="eastAsia" w:asciiTheme="minorEastAsia" w:hAnsiTheme="minorEastAsia" w:eastAsiaTheme="minorEastAsia" w:cstheme="minorEastAsia"/>
                      <w:szCs w:val="21"/>
                      <w:lang w:val="en-US" w:eastAsia="zh-CN"/>
                    </w:rPr>
                    <w:t>90</w:t>
                  </w:r>
                  <w:r>
                    <w:rPr>
                      <w:rFonts w:hint="eastAsia" w:asciiTheme="minorEastAsia" w:hAnsiTheme="minorEastAsia" w:eastAsiaTheme="minorEastAsia" w:cstheme="minorEastAsia"/>
                      <w:szCs w:val="21"/>
                      <w:lang w:val="zh-CN"/>
                    </w:rPr>
                    <w:t>%</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合同评审率100%</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处理顾客反馈信息率和售后服务100%</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采购货物的质量合格率 100%</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采购到位率</w:t>
                  </w: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lang w:val="zh-CN"/>
                    </w:rPr>
                    <w:t>%</w:t>
                  </w:r>
                </w:p>
              </w:tc>
              <w:tc>
                <w:tcPr>
                  <w:tcW w:w="1649" w:type="dxa"/>
                  <w:noWrap w:val="0"/>
                  <w:vAlign w:val="top"/>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restart"/>
                  <w:noWrap w:val="0"/>
                  <w:vAlign w:val="center"/>
                </w:tcPr>
                <w:p>
                  <w:pPr>
                    <w:bidi w:val="0"/>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环境目标</w:t>
                  </w: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环境文件控制100%</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环境培训100%</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办公固废物分类处置率100%</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水、电最大限度节约</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火灾发生为零</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采购环保型材料100%</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销售环保产品100%</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负责资金的提供满足管理体系要求</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办公固废物回收率达</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lang w:val="zh-CN"/>
                    </w:rPr>
                    <w:t>0%</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restart"/>
                  <w:noWrap w:val="0"/>
                  <w:vAlign w:val="center"/>
                </w:tcPr>
                <w:p>
                  <w:pPr>
                    <w:bidi w:val="0"/>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安全目标</w:t>
                  </w: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安全文件控制100%</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安全岗位培训100%</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火灾发生为零</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触电事故为零</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恶性交通事故为零</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应急事件演练不少于2次</w:t>
                  </w:r>
                  <w:r>
                    <w:rPr>
                      <w:rFonts w:hint="eastAsia" w:asciiTheme="minorEastAsia" w:hAnsiTheme="minorEastAsia" w:eastAsiaTheme="minorEastAsia" w:cstheme="minorEastAsia"/>
                      <w:szCs w:val="21"/>
                      <w:lang w:val="en-US" w:eastAsia="zh-CN"/>
                    </w:rPr>
                    <w:t>/年</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vMerge w:val="continue"/>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负责资金的提供满足管理体系要求</w:t>
                  </w:r>
                </w:p>
              </w:tc>
              <w:tc>
                <w:tcPr>
                  <w:tcW w:w="1649" w:type="dxa"/>
                  <w:noWrap w:val="0"/>
                  <w:vAlign w:val="center"/>
                </w:tcPr>
                <w:p>
                  <w:pPr>
                    <w:bidi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460" w:type="dxa"/>
                  <w:noWrap w:val="0"/>
                  <w:vAlign w:val="center"/>
                </w:tcPr>
                <w:p>
                  <w:pPr>
                    <w:bidi w:val="0"/>
                    <w:jc w:val="left"/>
                    <w:rPr>
                      <w:rFonts w:hint="eastAsia" w:asciiTheme="minorEastAsia" w:hAnsiTheme="minorEastAsia" w:eastAsiaTheme="minorEastAsia" w:cstheme="minorEastAsia"/>
                      <w:szCs w:val="21"/>
                      <w:lang w:val="zh-CN"/>
                    </w:rPr>
                  </w:pPr>
                </w:p>
              </w:tc>
              <w:tc>
                <w:tcPr>
                  <w:tcW w:w="3958" w:type="dxa"/>
                  <w:noWrap w:val="0"/>
                  <w:vAlign w:val="center"/>
                </w:tcPr>
                <w:p>
                  <w:pPr>
                    <w:bidi w:val="0"/>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考核人：</w:t>
                  </w:r>
                </w:p>
              </w:tc>
              <w:tc>
                <w:tcPr>
                  <w:tcW w:w="1649" w:type="dxa"/>
                  <w:noWrap w:val="0"/>
                  <w:vAlign w:val="center"/>
                </w:tcPr>
                <w:p>
                  <w:pPr>
                    <w:bidi w:val="0"/>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黑喃楠</w:t>
                  </w:r>
                  <w:r>
                    <w:rPr>
                      <w:rFonts w:hint="eastAsia" w:asciiTheme="minorEastAsia" w:hAnsiTheme="minorEastAsia" w:eastAsiaTheme="minorEastAsia" w:cstheme="minorEastAsia"/>
                      <w:szCs w:val="21"/>
                      <w:lang w:val="en-US" w:eastAsia="zh-CN"/>
                    </w:rPr>
                    <w:t>2022.10.4</w:t>
                  </w:r>
                  <w:bookmarkStart w:id="2" w:name="_GoBack"/>
                  <w:bookmarkEnd w:id="2"/>
                </w:p>
              </w:tc>
            </w:tr>
          </w:tbl>
          <w:p>
            <w:pP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sym w:font="Wingdings 2" w:char="F098"/>
            </w:r>
            <w:r>
              <w:rPr>
                <w:rFonts w:hint="eastAsia" w:asciiTheme="minorEastAsia" w:hAnsiTheme="minorEastAsia" w:eastAsiaTheme="minorEastAsia" w:cstheme="minorEastAsia"/>
                <w:szCs w:val="21"/>
                <w:lang w:val="zh-CN"/>
              </w:rPr>
              <w:t>查管理方案实施情况：</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提供了《重要环境因素目标、指标管理方案》《安全目标及管理方案》，针对重要环境因素、不可接受风险的管理现状制定了管理方案、责任部门、经费预算、措施实施验证，阶段验收情况：</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——查目标指标</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lang w:val="zh-CN" w:eastAsia="zh-CN"/>
              </w:rPr>
              <w:t xml:space="preserve"> 严格控制火灾发生，消防设备配备、控制火灾发生率0%：</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管理方案：1.按照各项消防设施和消防设备在办公区和生产区。</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2.消防设备按照位置明显，易于使用，定期检查。</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3.在特殊地区严禁烟火和张贴防火标示。</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4.定期对安防设备进行检测和演练。</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5.加强防火意识和防火设备使用培训。</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eastAsia="zh-CN"/>
              </w:rPr>
              <w:t>责任部门：办公室、生产部，执行时间：</w:t>
            </w:r>
            <w:r>
              <w:rPr>
                <w:rFonts w:hint="eastAsia" w:asciiTheme="minorEastAsia" w:hAnsiTheme="minorEastAsia" w:eastAsiaTheme="minorEastAsia" w:cstheme="minorEastAsia"/>
                <w:szCs w:val="21"/>
                <w:lang w:val="en-US" w:eastAsia="zh-CN"/>
              </w:rPr>
              <w:t>2022年一年；费用预算1000元。</w:t>
            </w:r>
          </w:p>
          <w:p>
            <w:pPr>
              <w:jc w:val="both"/>
              <w:rPr>
                <w:rFonts w:hint="eastAsia" w:ascii="楷体" w:hAnsi="楷体" w:eastAsia="楷体"/>
                <w:sz w:val="24"/>
              </w:rPr>
            </w:pP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kern w:val="2"/>
                <w:sz w:val="21"/>
                <w:szCs w:val="21"/>
                <w:lang w:val="en-US" w:eastAsia="zh-CN" w:bidi="ar-SA"/>
              </w:rPr>
              <w:t>查目标</w:t>
            </w:r>
            <w:r>
              <w:rPr>
                <w:rFonts w:hint="eastAsia" w:asciiTheme="minorEastAsia" w:hAnsiTheme="minorEastAsia" w:eastAsiaTheme="minorEastAsia" w:cstheme="minorEastAsia"/>
                <w:szCs w:val="21"/>
                <w:lang w:val="en-US" w:eastAsia="zh-CN"/>
              </w:rPr>
              <w:t>值指标-杜绝</w:t>
            </w:r>
            <w:r>
              <w:rPr>
                <w:rFonts w:hint="eastAsia" w:asciiTheme="minorEastAsia" w:hAnsiTheme="minorEastAsia" w:eastAsiaTheme="minorEastAsia" w:cstheme="minorEastAsia"/>
                <w:szCs w:val="21"/>
                <w:lang w:val="zh-CN" w:eastAsia="zh-CN"/>
              </w:rPr>
              <w:t>新冠肺炎感染</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管理方案：1.做好员工人员从过年到上班期间的行踪排查、身体状况排查</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2.配备足够的防疫物资，并定期发放和管理</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3.配备专用的防疫物资投放箱</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4.做好外来人员和厂区人员进出厂体温检测和健康码检查</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5.积极配合村委的防疫控制要求</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6.制定防疫应急预案和控制制度</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每日对厂区各个角落进行消毒，并由专人进行检查</w:t>
            </w:r>
          </w:p>
          <w:p>
            <w:pPr>
              <w:tabs>
                <w:tab w:val="left" w:pos="1825"/>
              </w:tabs>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责任部门：全公司，监控部门：办公室</w:t>
            </w:r>
            <w:r>
              <w:rPr>
                <w:rFonts w:hint="eastAsia" w:asciiTheme="minorEastAsia" w:hAnsiTheme="minorEastAsia" w:eastAsiaTheme="minorEastAsia" w:cstheme="minorEastAsia"/>
                <w:szCs w:val="21"/>
                <w:lang w:val="zh-CN" w:eastAsia="zh-CN"/>
              </w:rPr>
              <w:t>，执行时间：</w:t>
            </w:r>
            <w:r>
              <w:rPr>
                <w:rFonts w:hint="eastAsia" w:asciiTheme="minorEastAsia" w:hAnsiTheme="minorEastAsia" w:eastAsiaTheme="minorEastAsia" w:cstheme="minorEastAsia"/>
                <w:szCs w:val="21"/>
                <w:lang w:val="en-US" w:eastAsia="zh-CN"/>
              </w:rPr>
              <w:t>2022年全年。</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en-US" w:eastAsia="zh-CN"/>
              </w:rPr>
              <w:t>——查目标指标-</w:t>
            </w:r>
            <w:r>
              <w:rPr>
                <w:rFonts w:hint="eastAsia" w:asciiTheme="minorEastAsia" w:hAnsiTheme="minorEastAsia" w:eastAsiaTheme="minorEastAsia" w:cstheme="minorEastAsia"/>
                <w:szCs w:val="21"/>
                <w:lang w:val="zh-CN" w:eastAsia="zh-CN"/>
              </w:rPr>
              <w:t>严控固废物乱丢、弃撒，一般固废物回收率达到80%以上，制定了管理方案：</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1.生产区设置专门可回收废弃物、下脚料存放场地。固废物应分类进行存放。</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2.在办公区域垃圾箱进行分类，可回收、不可回收废物进行分类，并定期进行处理。</w:t>
            </w:r>
          </w:p>
          <w:p>
            <w:pPr>
              <w:tabs>
                <w:tab w:val="left" w:pos="1825"/>
              </w:tabs>
              <w:jc w:val="left"/>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zh-CN" w:eastAsia="zh-CN"/>
              </w:rPr>
              <w:t>各部门对办公活动中产生的可回收废物收集后交综合部集中处置</w:t>
            </w:r>
          </w:p>
          <w:p>
            <w:pPr>
              <w:tabs>
                <w:tab w:val="left" w:pos="1825"/>
              </w:tabs>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eastAsia="zh-CN"/>
              </w:rPr>
              <w:t>责任部门：生产部、办公室，执行时间：</w:t>
            </w:r>
            <w:r>
              <w:rPr>
                <w:rFonts w:hint="eastAsia" w:asciiTheme="minorEastAsia" w:hAnsiTheme="minorEastAsia" w:eastAsiaTheme="minorEastAsia" w:cstheme="minorEastAsia"/>
                <w:szCs w:val="21"/>
                <w:lang w:val="en-US" w:eastAsia="zh-CN"/>
              </w:rPr>
              <w:t>2022年一年，费用预算：1500元；</w:t>
            </w:r>
          </w:p>
          <w:p>
            <w:pPr>
              <w:numPr>
                <w:ilvl w:val="0"/>
                <w:numId w:val="0"/>
              </w:numPr>
              <w:ind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另查其他环境、安全目标指标“</w:t>
            </w:r>
            <w:r>
              <w:rPr>
                <w:rFonts w:hint="eastAsia" w:asciiTheme="minorEastAsia" w:hAnsiTheme="minorEastAsia" w:eastAsiaTheme="minorEastAsia" w:cstheme="minorEastAsia"/>
                <w:szCs w:val="21"/>
                <w:lang w:val="zh-CN" w:eastAsia="zh-CN"/>
              </w:rPr>
              <w:t>全年生产作业重伤发生率和死亡率为0</w:t>
            </w:r>
            <w:r>
              <w:rPr>
                <w:rFonts w:hint="eastAsia" w:asciiTheme="minorEastAsia" w:hAnsiTheme="minorEastAsia" w:eastAsiaTheme="minorEastAsia" w:cstheme="minorEastAsia"/>
                <w:szCs w:val="21"/>
                <w:lang w:val="en-US" w:eastAsia="zh-CN"/>
              </w:rPr>
              <w:t>”等，制定了管理方案，落实了相应的控制措施、负责人、完成时间等。符合要求。</w:t>
            </w:r>
          </w:p>
        </w:tc>
        <w:tc>
          <w:tcPr>
            <w:tcW w:w="314"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4"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组织的知识</w:t>
            </w:r>
          </w:p>
        </w:tc>
        <w:tc>
          <w:tcPr>
            <w:tcW w:w="289" w:type="pct"/>
            <w:noWrap w:val="0"/>
            <w:vAlign w:val="center"/>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QEO</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7.1.6</w:t>
            </w:r>
          </w:p>
        </w:tc>
        <w:tc>
          <w:tcPr>
            <w:tcW w:w="3881" w:type="pct"/>
            <w:noWrap w:val="0"/>
            <w:vAlign w:val="center"/>
          </w:tcPr>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办公室组织各部门确定体系运行过程所需的知识，以获得提供合格的产品和服务。为应对不断变化的需求和发展趋势，应考虑现有的知识，确定如何获得更多必要的知识并进行更新。组织的知识包括：</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 1）内部来源：知识产权；经历；从失败和成功项目得到的经验教训；得到和分享未形成文件的知识和经验，过程、服务的改进结果；管理措施：通过管理评审和文件实施前的审批，将企业知识固化，确保了文件的有效性；</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构建学习型组织并建立有效的培训机制，从内部发掘、培养人员，大大降低了人员流动，确保了经验方面的知识可以通过交流、传帮带等方式保持、共享。</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2）外部来源：标准；学术交流；专业会议，从顾客或外部供方收集的知识。</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随着公司的发展，通过网络获取标准、外培学习，引进先进技术等方式不断补充新的知识。通过满意度调查了解顾客需求，通过相关方调查了解顾客意见等。</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与黑喃楠主管沟通，公司的管理方面文件由办公室负责，必要时下放到所需岗位；技术文件如产品标准，客户要求等由市场部负责。</w:t>
            </w:r>
          </w:p>
          <w:p>
            <w:pPr>
              <w:tabs>
                <w:tab w:val="left" w:pos="1825"/>
              </w:tabs>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视频查看办公室有文件柜，各种文件分类保存，一些产品标准等以电子版形式存放在公司电脑上，目前公司各种知识没有发生丢失现象。</w:t>
            </w:r>
          </w:p>
        </w:tc>
        <w:tc>
          <w:tcPr>
            <w:tcW w:w="314"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14" w:type="pct"/>
            <w:noWrap w:val="0"/>
            <w:vAlign w:val="top"/>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能力、</w:t>
            </w:r>
          </w:p>
          <w:p>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意识</w:t>
            </w:r>
          </w:p>
          <w:p>
            <w:pPr>
              <w:rPr>
                <w:rFonts w:hint="eastAsia" w:asciiTheme="minorEastAsia" w:hAnsiTheme="minorEastAsia" w:eastAsiaTheme="minorEastAsia" w:cstheme="minorEastAsia"/>
                <w:kern w:val="2"/>
                <w:sz w:val="21"/>
                <w:szCs w:val="21"/>
                <w:lang w:val="en-US" w:eastAsia="zh-CN" w:bidi="ar-SA"/>
              </w:rPr>
            </w:pPr>
          </w:p>
        </w:tc>
        <w:tc>
          <w:tcPr>
            <w:tcW w:w="289" w:type="pct"/>
            <w:noWrap w:val="0"/>
            <w:vAlign w:val="top"/>
          </w:tcPr>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QEO</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7.1.2</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QEO</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7.2/</w:t>
            </w:r>
          </w:p>
          <w:p>
            <w:pPr>
              <w:tabs>
                <w:tab w:val="left" w:pos="1825"/>
              </w:tabs>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7.3</w:t>
            </w:r>
          </w:p>
          <w:p>
            <w:pPr>
              <w:tabs>
                <w:tab w:val="left" w:pos="1825"/>
              </w:tabs>
              <w:jc w:val="left"/>
              <w:rPr>
                <w:rFonts w:hint="eastAsia" w:asciiTheme="minorEastAsia" w:hAnsiTheme="minorEastAsia" w:eastAsiaTheme="minorEastAsia" w:cstheme="minorEastAsia"/>
                <w:kern w:val="2"/>
                <w:sz w:val="21"/>
                <w:szCs w:val="21"/>
                <w:lang w:val="en-US" w:eastAsia="zh-CN" w:bidi="ar-SA"/>
              </w:rPr>
            </w:pPr>
          </w:p>
        </w:tc>
        <w:tc>
          <w:tcPr>
            <w:tcW w:w="3881" w:type="pct"/>
            <w:noWrap w:val="0"/>
            <w:vAlign w:val="top"/>
          </w:tcPr>
          <w:p>
            <w:pPr>
              <w:tabs>
                <w:tab w:val="left" w:pos="1825"/>
              </w:tabs>
              <w:jc w:val="left"/>
              <w:rPr>
                <w:rFonts w:hint="eastAsia"/>
                <w:lang w:val="en-US" w:eastAsia="zh-CN"/>
              </w:rPr>
            </w:pPr>
            <w:r>
              <w:rPr>
                <w:rFonts w:hint="eastAsia"/>
                <w:lang w:val="en-US" w:eastAsia="zh-CN"/>
              </w:rPr>
              <w:t>黑喃楠主管介绍，办公室负责人力资源管理工作，根据公司制定的《岗位任职要求》，确定岗位资格要求并进行招聘和管理；会同各部门做好培训需求调查以及结合公司的考核结果，编制</w:t>
            </w:r>
            <w:r>
              <w:rPr>
                <w:rFonts w:hint="eastAsia"/>
                <w:lang w:val="en-US" w:eastAsia="zh-CN"/>
              </w:rPr>
              <w:fldChar w:fldCharType="begin"/>
            </w:r>
            <w:r>
              <w:rPr>
                <w:rFonts w:hint="eastAsia"/>
                <w:lang w:val="en-US" w:eastAsia="zh-CN"/>
              </w:rPr>
              <w:instrText xml:space="preserve"> HYPERLINK "http://www.kesum.cn/zx" \t "_blank" </w:instrText>
            </w:r>
            <w:r>
              <w:rPr>
                <w:rFonts w:hint="eastAsia"/>
                <w:lang w:val="en-US" w:eastAsia="zh-CN"/>
              </w:rPr>
              <w:fldChar w:fldCharType="separate"/>
            </w:r>
            <w:r>
              <w:rPr>
                <w:rFonts w:hint="eastAsia"/>
                <w:lang w:val="en-US" w:eastAsia="zh-CN"/>
              </w:rPr>
              <w:t>培训</w:t>
            </w:r>
            <w:r>
              <w:rPr>
                <w:rFonts w:hint="eastAsia"/>
                <w:lang w:val="en-US" w:eastAsia="zh-CN"/>
              </w:rPr>
              <w:fldChar w:fldCharType="end"/>
            </w:r>
            <w:r>
              <w:rPr>
                <w:rFonts w:hint="eastAsia"/>
                <w:lang w:val="en-US" w:eastAsia="zh-CN"/>
              </w:rPr>
              <w:t>计划并组织实施。</w:t>
            </w:r>
          </w:p>
          <w:p>
            <w:pPr>
              <w:tabs>
                <w:tab w:val="left" w:pos="1825"/>
              </w:tabs>
              <w:jc w:val="left"/>
              <w:rPr>
                <w:rFonts w:hint="eastAsia"/>
                <w:lang w:val="en-US" w:eastAsia="zh-CN"/>
              </w:rPr>
            </w:pPr>
            <w:r>
              <w:rPr>
                <w:rFonts w:hint="eastAsia"/>
                <w:lang w:val="en-US" w:eastAsia="zh-CN"/>
              </w:rPr>
              <w:t>目前公司在职人员15人，各部门配置了所需人员，包括行政办公人员，采购销售人员，质检人员等。通过培训和其他措施提高员工的能力，增强员工的质量、环境与职业健康安全管理的意识和能力，使员工满足所从事的质量、环境、职业健康安全工作对能力的要求，以胜任其工作岗位。。</w:t>
            </w:r>
          </w:p>
          <w:p>
            <w:pPr>
              <w:tabs>
                <w:tab w:val="left" w:pos="1825"/>
              </w:tabs>
              <w:jc w:val="left"/>
              <w:rPr>
                <w:rFonts w:hint="eastAsia"/>
                <w:lang w:val="en-US" w:eastAsia="zh-CN"/>
              </w:rPr>
            </w:pPr>
            <w:r>
              <w:rPr>
                <w:rFonts w:hint="eastAsia"/>
                <w:lang w:val="en-US" w:eastAsia="zh-CN"/>
              </w:rPr>
              <w:t>查《岗位任职要求》，对总经理、办公室、生产部等人员工作能力权限、任职要求与内容等做出了规定。</w:t>
            </w:r>
          </w:p>
          <w:p>
            <w:pPr>
              <w:tabs>
                <w:tab w:val="left" w:pos="1825"/>
              </w:tabs>
              <w:jc w:val="left"/>
              <w:rPr>
                <w:rFonts w:hint="eastAsia"/>
                <w:lang w:val="en-US" w:eastAsia="zh-CN"/>
              </w:rPr>
            </w:pPr>
            <w:r>
              <w:rPr>
                <w:rFonts w:hint="eastAsia"/>
                <w:lang w:val="en-US" w:eastAsia="zh-CN"/>
              </w:rPr>
              <w:t>抽查办公室主任，其学历、工作经验等均符合任职要求。</w:t>
            </w:r>
          </w:p>
          <w:p>
            <w:pPr>
              <w:tabs>
                <w:tab w:val="left" w:pos="1825"/>
              </w:tabs>
              <w:jc w:val="left"/>
              <w:rPr>
                <w:rFonts w:hint="eastAsia"/>
                <w:lang w:val="en-US" w:eastAsia="zh-CN"/>
              </w:rPr>
            </w:pPr>
            <w:r>
              <w:rPr>
                <w:rFonts w:hint="eastAsia"/>
                <w:lang w:val="en-US" w:eastAsia="zh-CN"/>
              </w:rPr>
              <w:t>提供《2022年管理岗位任职情况评定记录》，其中包括：管理层、办公室、生产部人员。考评时间：2022.9.11， 评定：黑喃喃   审批：李昊泽  日期： 2022.9.11</w:t>
            </w:r>
          </w:p>
          <w:p>
            <w:pPr>
              <w:tabs>
                <w:tab w:val="left" w:pos="1825"/>
              </w:tabs>
              <w:jc w:val="left"/>
              <w:rPr>
                <w:rFonts w:hint="eastAsia"/>
                <w:lang w:val="en-US" w:eastAsia="zh-CN"/>
              </w:rPr>
            </w:pPr>
            <w:r>
              <w:rPr>
                <w:rFonts w:hint="eastAsia"/>
                <w:lang w:val="en-US" w:eastAsia="zh-CN"/>
              </w:rPr>
              <w:t>提供《2022年培训计划》，及《培训记录》。培训内容包括：安全、环保、质量培训、方针、手册（程序文件）培训、灭火器的使用和应急预案培训、环境、安全因素识别和评价培训、安全生产培训、操作规范、审核要点和注意事项等，目前各项培训按计划实施中。</w:t>
            </w:r>
          </w:p>
          <w:p>
            <w:pPr>
              <w:tabs>
                <w:tab w:val="left" w:pos="1825"/>
              </w:tabs>
              <w:jc w:val="left"/>
              <w:rPr>
                <w:rFonts w:hint="eastAsia"/>
                <w:lang w:val="en-US" w:eastAsia="zh-CN"/>
              </w:rPr>
            </w:pPr>
            <w:r>
              <w:rPr>
                <w:rFonts w:hint="eastAsia"/>
                <w:lang w:val="en-US" w:eastAsia="zh-CN"/>
              </w:rPr>
              <w:t>查培训记录：</w:t>
            </w:r>
          </w:p>
          <w:p>
            <w:pPr>
              <w:tabs>
                <w:tab w:val="left" w:pos="1825"/>
              </w:tabs>
              <w:jc w:val="left"/>
              <w:rPr>
                <w:rFonts w:hint="eastAsia"/>
                <w:lang w:val="en-US" w:eastAsia="zh-CN"/>
              </w:rPr>
            </w:pPr>
            <w:r>
              <w:rPr>
                <w:rFonts w:hint="eastAsia"/>
                <w:lang w:val="en-US" w:eastAsia="zh-CN"/>
              </w:rPr>
              <w:t>——抽培训记录：安全生产培训、操作规范，培训时间：2022.9.7，培训效果：经提问和交流，学员基本掌握了安全操作规程的要求，培训有效。验证人：孙赞云。</w:t>
            </w:r>
          </w:p>
          <w:p>
            <w:pPr>
              <w:tabs>
                <w:tab w:val="left" w:pos="1825"/>
              </w:tabs>
              <w:jc w:val="left"/>
              <w:rPr>
                <w:rFonts w:hint="eastAsia"/>
                <w:lang w:val="en-US" w:eastAsia="zh-CN"/>
              </w:rPr>
            </w:pPr>
            <w:r>
              <w:rPr>
                <w:rFonts w:hint="eastAsia"/>
                <w:lang w:val="en-US" w:eastAsia="zh-CN"/>
              </w:rPr>
              <w:t>——抽培训记录：灭火器的使用和应急预案，培训时间：2022.6.30，培训效果：经验证，培训有效。验证人：孙祚亮。</w:t>
            </w:r>
          </w:p>
          <w:p>
            <w:pPr>
              <w:tabs>
                <w:tab w:val="left" w:pos="1825"/>
              </w:tabs>
              <w:jc w:val="left"/>
              <w:rPr>
                <w:rFonts w:hint="eastAsia"/>
                <w:lang w:val="en-US" w:eastAsia="zh-CN"/>
              </w:rPr>
            </w:pPr>
            <w:r>
              <w:rPr>
                <w:rFonts w:hint="eastAsia"/>
                <w:lang w:val="en-US" w:eastAsia="zh-CN"/>
              </w:rPr>
              <w:t>——抽培训内容：内审员培训，培训时间：2022.9.15，培训内容：内审控制程序、内审检查表的编制、内审报告的编制、三体系标准等，经提问，回答正确。验证人：咨询老师</w:t>
            </w:r>
          </w:p>
          <w:p>
            <w:pPr>
              <w:tabs>
                <w:tab w:val="left" w:pos="1825"/>
              </w:tabs>
              <w:jc w:val="left"/>
              <w:rPr>
                <w:rFonts w:hint="eastAsia"/>
                <w:lang w:val="en-US" w:eastAsia="zh-CN"/>
              </w:rPr>
            </w:pPr>
            <w:r>
              <w:rPr>
                <w:rFonts w:hint="eastAsia"/>
                <w:lang w:val="en-US" w:eastAsia="zh-CN"/>
              </w:rPr>
              <w:t>另查其他培训记录2份，已按计划完成。</w:t>
            </w:r>
          </w:p>
          <w:p>
            <w:pPr>
              <w:tabs>
                <w:tab w:val="left" w:pos="1825"/>
              </w:tabs>
              <w:jc w:val="left"/>
              <w:rPr>
                <w:rFonts w:hint="eastAsia"/>
                <w:lang w:val="en-US" w:eastAsia="zh-CN"/>
              </w:rPr>
            </w:pPr>
            <w:r>
              <w:rPr>
                <w:rFonts w:hint="eastAsia"/>
                <w:lang w:val="en-US" w:eastAsia="zh-CN"/>
              </w:rPr>
              <w:t>无特殊岗位人员。</w:t>
            </w:r>
          </w:p>
          <w:p>
            <w:pPr>
              <w:tabs>
                <w:tab w:val="left" w:pos="1825"/>
              </w:tabs>
              <w:jc w:val="left"/>
              <w:rPr>
                <w:rFonts w:hint="eastAsia" w:eastAsia="宋体"/>
                <w:lang w:val="en-US" w:eastAsia="zh-CN"/>
              </w:rPr>
            </w:pPr>
            <w:r>
              <w:rPr>
                <w:rFonts w:hint="eastAsia"/>
                <w:lang w:val="en-US" w:eastAsia="zh-CN"/>
              </w:rPr>
              <w:t>办</w:t>
            </w:r>
            <w:r>
              <w:rPr>
                <w:rFonts w:hint="eastAsia" w:eastAsia="宋体"/>
                <w:lang w:val="en-US" w:eastAsia="zh-CN"/>
              </w:rPr>
              <w:t>公室负责人员招聘工作，黑喃楠主任介绍，目前新厂建设中，新厂建设好之后将扩产并进行人员招聘。</w:t>
            </w:r>
          </w:p>
          <w:p>
            <w:pPr>
              <w:tabs>
                <w:tab w:val="left" w:pos="1825"/>
              </w:tabs>
              <w:jc w:val="left"/>
              <w:rPr>
                <w:rFonts w:hint="eastAsia"/>
                <w:lang w:val="en-US" w:eastAsia="zh-CN"/>
              </w:rPr>
            </w:pPr>
            <w:r>
              <w:rPr>
                <w:rFonts w:hint="eastAsia"/>
                <w:lang w:val="en-US" w:eastAsia="zh-CN"/>
              </w:rPr>
              <w:t>黑喃楠主管介绍，公司通过日常的内/外部培训、沟通、表扬等方式使公司控制范围内开展工作的人员知晓管理体系方针，相关的管理体系目标，对管理体系有效性的贡献，包括改进绩效的益处，以及不符合管理体系要求可能引发的后果。确保公司内所有部门和每一个人都知晓各自应承担的相关质量、环境、安全责任，每一位员工清楚自己所做的每一项工作可能产生的负面影响、以及降低这些影响的控制措施和目标/指标，并在绩效考核的约束氛围中自觉实施。</w:t>
            </w:r>
          </w:p>
          <w:p>
            <w:pPr>
              <w:tabs>
                <w:tab w:val="left" w:pos="1825"/>
              </w:tabs>
              <w:jc w:val="left"/>
              <w:rPr>
                <w:rFonts w:hint="eastAsia"/>
                <w:lang w:val="en-US" w:eastAsia="zh-CN"/>
              </w:rPr>
            </w:pPr>
            <w:r>
              <w:rPr>
                <w:rFonts w:hint="eastAsia"/>
                <w:lang w:val="en-US" w:eastAsia="zh-CN"/>
              </w:rPr>
              <w:t>办公室人员参与了体系建设，如编制管理规定、管理手册、程序文件等。办公室主管黑喃楠能说出公司管理方针。</w:t>
            </w:r>
          </w:p>
          <w:p>
            <w:pPr>
              <w:tabs>
                <w:tab w:val="left" w:pos="1825"/>
              </w:tabs>
              <w:jc w:val="left"/>
              <w:rPr>
                <w:rFonts w:hint="eastAsia"/>
                <w:lang w:val="en-US" w:eastAsia="zh-CN"/>
              </w:rPr>
            </w:pPr>
            <w:r>
              <w:rPr>
                <w:rFonts w:hint="eastAsia"/>
                <w:lang w:val="en-US" w:eastAsia="zh-CN"/>
              </w:rPr>
              <w:t>办公室人员知晓个人的职能、在体系中承担的任务，不按体系规定执行的后果。</w:t>
            </w:r>
          </w:p>
        </w:tc>
        <w:tc>
          <w:tcPr>
            <w:tcW w:w="314"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14" w:type="pct"/>
            <w:noWrap w:val="0"/>
            <w:vAlign w:val="top"/>
          </w:tcPr>
          <w:p>
            <w:pP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Cs w:val="21"/>
              </w:rPr>
              <w:t>信息交流、沟通</w:t>
            </w:r>
          </w:p>
        </w:tc>
        <w:tc>
          <w:tcPr>
            <w:tcW w:w="858" w:type="dxa"/>
            <w:noWrap w:val="0"/>
            <w:vAlign w:val="top"/>
          </w:tcPr>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QEO7.4</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0" w:leftChars="0" w:firstLine="0" w:firstLineChars="0"/>
              <w:jc w:val="left"/>
              <w:textAlignment w:val="auto"/>
              <w:rPr>
                <w:rFonts w:hint="eastAsia" w:asciiTheme="minorEastAsia" w:hAnsiTheme="minorEastAsia" w:eastAsiaTheme="minorEastAsia" w:cstheme="minorEastAsia"/>
                <w:bCs/>
                <w:spacing w:val="10"/>
                <w:kern w:val="2"/>
                <w:sz w:val="21"/>
                <w:lang w:val="en-US" w:eastAsia="zh-CN" w:bidi="ar-SA"/>
              </w:rPr>
            </w:pPr>
            <w:r>
              <w:rPr>
                <w:rFonts w:hint="eastAsia" w:ascii="Times New Roman" w:hAnsi="Times New Roman" w:cs="Times New Roman"/>
                <w:b w:val="0"/>
                <w:bCs/>
                <w:sz w:val="21"/>
                <w:szCs w:val="21"/>
                <w:lang w:val="en-US" w:eastAsia="zh-CN"/>
              </w:rPr>
              <w:t>O5.4</w:t>
            </w:r>
          </w:p>
        </w:tc>
        <w:tc>
          <w:tcPr>
            <w:tcW w:w="11523" w:type="dxa"/>
            <w:noWrap w:val="0"/>
            <w:vAlign w:val="top"/>
          </w:tcPr>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sym w:font="Wingdings 2" w:char="F098"/>
            </w:r>
            <w:r>
              <w:rPr>
                <w:rFonts w:hint="eastAsia" w:ascii="Times New Roman" w:hAnsi="Times New Roman" w:cs="Times New Roman"/>
                <w:b w:val="0"/>
                <w:bCs/>
                <w:sz w:val="21"/>
                <w:szCs w:val="21"/>
                <w:lang w:val="en-US" w:eastAsia="zh-CN"/>
              </w:rPr>
              <w:t>制定了《信息交流控制程序》，内容符合标准要求:</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与负责人沟通：</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1、管理者代表负责与总经理就公司的管理体系的方针、目标、指标及体系运行的有效性进行协商、沟通和交流。</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2、办公室负责本程序的编制、修订；负责策划公司对内、对外环境和职业健康安全管理体系运行信息的协商、沟通和交流渠道。</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3、各职能部门负责本职能部门业务范围内管理体系信息的协商、沟通和交流的实施，负责信息的接收、传递工作，并保存相关记录。</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4、办公室负责本公司内部、外部信息的协商、沟通和交流；</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5、生产部负责</w:t>
            </w:r>
            <w:r>
              <w:rPr>
                <w:rFonts w:hint="eastAsia" w:cs="Times New Roman"/>
                <w:b w:val="0"/>
                <w:bCs/>
                <w:sz w:val="21"/>
                <w:szCs w:val="21"/>
                <w:lang w:val="en-US" w:eastAsia="zh-CN"/>
              </w:rPr>
              <w:t>产品生产交货期等</w:t>
            </w:r>
            <w:r>
              <w:rPr>
                <w:rFonts w:hint="eastAsia" w:ascii="Times New Roman" w:hAnsi="Times New Roman" w:cs="Times New Roman"/>
                <w:b w:val="0"/>
                <w:bCs/>
                <w:sz w:val="21"/>
                <w:szCs w:val="21"/>
                <w:lang w:val="en-US" w:eastAsia="zh-CN"/>
              </w:rPr>
              <w:t>与顾客及相关方的协商、沟通和信息交流，并保存相关记录。</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6、沟通对象：内部沟通的对象可能是相关区域和层级的管理者和其他员工，外部沟通的对象可能是利益相关方，包括顾客和主要供应商等。</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7、沟通内容：</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a、生产车间向进入车间人员进行环境安全管理的相关要求告知，向进入现场的外来人员沟通职业健康安全管理的要求。</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b、针对相关方通过合同、订单、相关方告知书等施加影响由办公室来具体实施。</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8、沟通方式：电话、会议、培训、文件、记录传递、微信等方式进行内外部沟通，各部门定期通过会议方式进行内部沟通。</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9、自体系运行以来，公司内外部沟通良好，未出现因为沟通不畅通而影响体系正常运行的情况。</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sym w:font="Wingdings 2" w:char="F098"/>
            </w:r>
            <w:r>
              <w:rPr>
                <w:rFonts w:hint="eastAsia" w:ascii="Times New Roman" w:hAnsi="Times New Roman" w:cs="Times New Roman"/>
                <w:b w:val="0"/>
                <w:bCs/>
                <w:sz w:val="21"/>
                <w:szCs w:val="21"/>
                <w:lang w:val="en-US" w:eastAsia="zh-CN"/>
              </w:rPr>
              <w:t>查见有</w:t>
            </w:r>
            <w:r>
              <w:rPr>
                <w:rFonts w:hint="eastAsia" w:cs="Times New Roman"/>
                <w:b w:val="0"/>
                <w:bCs/>
                <w:sz w:val="21"/>
                <w:szCs w:val="21"/>
                <w:lang w:val="en-US" w:eastAsia="zh-CN"/>
              </w:rPr>
              <w:t>：</w:t>
            </w:r>
            <w:r>
              <w:rPr>
                <w:rFonts w:hint="eastAsia" w:ascii="Times New Roman" w:hAnsi="Times New Roman" w:cs="Times New Roman"/>
                <w:b w:val="0"/>
                <w:bCs/>
                <w:sz w:val="21"/>
                <w:szCs w:val="21"/>
                <w:lang w:val="en-US" w:eastAsia="zh-CN"/>
              </w:rPr>
              <w:t>培训计划、内审计划、管理评审计划、职业健康安全事务代表任命书、管理者代表任命书、致相关方的信件等信息交流沟通记录。</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sym w:font="Wingdings 2" w:char="F098"/>
            </w:r>
            <w:r>
              <w:rPr>
                <w:rFonts w:hint="eastAsia" w:ascii="Times New Roman" w:hAnsi="Times New Roman" w:cs="Times New Roman"/>
                <w:b w:val="0"/>
                <w:bCs/>
                <w:sz w:val="21"/>
                <w:szCs w:val="21"/>
                <w:lang w:val="en-US" w:eastAsia="zh-CN"/>
              </w:rPr>
              <w:t>经全体员工大会选举，并公司任命</w:t>
            </w:r>
            <w:r>
              <w:rPr>
                <w:rFonts w:hint="eastAsia" w:cs="Times New Roman"/>
                <w:b w:val="0"/>
                <w:bCs/>
                <w:sz w:val="21"/>
                <w:szCs w:val="21"/>
                <w:lang w:val="en-US" w:eastAsia="zh-CN"/>
              </w:rPr>
              <w:t>孙赞云</w:t>
            </w:r>
            <w:r>
              <w:rPr>
                <w:rFonts w:hint="eastAsia" w:ascii="Times New Roman" w:hAnsi="Times New Roman" w:cs="Times New Roman"/>
                <w:b w:val="0"/>
                <w:bCs/>
                <w:sz w:val="21"/>
                <w:szCs w:val="21"/>
                <w:lang w:val="en-US" w:eastAsia="zh-CN"/>
              </w:rPr>
              <w:t>同志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争取每年为一线岗位人员体检一次等。现有的沟通渠道和方法能满足要求。</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Chars="0"/>
              <w:jc w:val="left"/>
              <w:textAlignment w:val="auto"/>
              <w:rPr>
                <w:rFonts w:hint="eastAsia" w:ascii="Times New Roman" w:hAnsi="Times New Roman" w:cs="Times New Roman"/>
                <w:b w:val="0"/>
                <w:bCs/>
                <w:sz w:val="21"/>
                <w:szCs w:val="21"/>
                <w:lang w:val="en-US" w:eastAsia="zh-CN"/>
              </w:rPr>
            </w:pPr>
            <w:r>
              <w:rPr>
                <w:rFonts w:hint="eastAsia" w:cs="Times New Roman"/>
                <w:b w:val="0"/>
                <w:bCs/>
                <w:sz w:val="21"/>
                <w:szCs w:val="21"/>
                <w:lang w:val="en-US" w:eastAsia="zh-CN"/>
              </w:rPr>
              <w:t>视频</w:t>
            </w:r>
            <w:r>
              <w:rPr>
                <w:rFonts w:hint="eastAsia" w:ascii="Times New Roman" w:hAnsi="Times New Roman" w:cs="Times New Roman"/>
                <w:b w:val="0"/>
                <w:bCs/>
                <w:sz w:val="21"/>
                <w:szCs w:val="21"/>
                <w:lang w:val="en-US" w:eastAsia="zh-CN"/>
              </w:rPr>
              <w:t>沟通，</w:t>
            </w:r>
            <w:r>
              <w:rPr>
                <w:rFonts w:hint="eastAsia" w:cs="Times New Roman"/>
                <w:b w:val="0"/>
                <w:bCs/>
                <w:sz w:val="21"/>
                <w:szCs w:val="21"/>
                <w:lang w:val="en-US" w:eastAsia="zh-CN"/>
              </w:rPr>
              <w:t>孙赞云</w:t>
            </w:r>
            <w:r>
              <w:rPr>
                <w:rFonts w:hint="eastAsia" w:ascii="Times New Roman" w:hAnsi="Times New Roman" w:cs="Times New Roman"/>
                <w:b w:val="0"/>
                <w:bCs/>
                <w:sz w:val="21"/>
                <w:szCs w:val="21"/>
                <w:lang w:val="en-US" w:eastAsia="zh-CN"/>
              </w:rPr>
              <w:t>清楚自己作为安全事务代表的职责。</w:t>
            </w:r>
          </w:p>
          <w:p>
            <w:pPr>
              <w:keepNext w:val="0"/>
              <w:keepLines w:val="0"/>
              <w:pageBreakBefore w:val="0"/>
              <w:widowControl w:val="0"/>
              <w:numPr>
                <w:ilvl w:val="0"/>
                <w:numId w:val="0"/>
              </w:numPr>
              <w:kinsoku/>
              <w:wordWrap/>
              <w:overflowPunct/>
              <w:topLinePunct w:val="0"/>
              <w:autoSpaceDE/>
              <w:autoSpaceDN/>
              <w:bidi w:val="0"/>
              <w:snapToGrid w:val="0"/>
              <w:spacing w:line="300" w:lineRule="exact"/>
              <w:ind w:left="0" w:leftChars="0" w:firstLine="0" w:firstLineChars="0"/>
              <w:jc w:val="left"/>
              <w:textAlignment w:val="auto"/>
              <w:rPr>
                <w:rFonts w:hint="eastAsia" w:asciiTheme="minorEastAsia" w:hAnsiTheme="minorEastAsia" w:eastAsiaTheme="minorEastAsia" w:cstheme="minorEastAsia"/>
                <w:kern w:val="2"/>
                <w:sz w:val="21"/>
                <w:lang w:val="en-US" w:eastAsia="zh-CN" w:bidi="ar-SA"/>
              </w:rPr>
            </w:pPr>
            <w:r>
              <w:rPr>
                <w:rFonts w:hint="eastAsia" w:ascii="Times New Roman" w:hAnsi="Times New Roman" w:cs="Times New Roman"/>
                <w:b w:val="0"/>
                <w:bCs/>
                <w:sz w:val="21"/>
                <w:szCs w:val="21"/>
                <w:lang w:val="en-US" w:eastAsia="zh-CN"/>
              </w:rPr>
              <w:t>审核中未发现因沟通不利不及时而造成（影响）某项工作不能正常运行的情况。</w:t>
            </w:r>
          </w:p>
        </w:tc>
        <w:tc>
          <w:tcPr>
            <w:tcW w:w="314" w:type="pct"/>
            <w:noWrap w:val="0"/>
            <w:vAlign w:val="top"/>
          </w:tcPr>
          <w:p>
            <w:pPr>
              <w:rPr>
                <w:rFonts w:hint="eastAsia" w:asciiTheme="minorEastAsia" w:hAnsiTheme="minorEastAsia" w:eastAsiaTheme="minorEastAsia" w:cstheme="minorEastAsia"/>
              </w:rPr>
            </w:pPr>
          </w:p>
          <w:p>
            <w:pPr>
              <w:pStyle w:val="19"/>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19"/>
              <w:rPr>
                <w:rFonts w:hint="eastAsia" w:asciiTheme="minorEastAsia" w:hAnsiTheme="minorEastAsia" w:eastAsiaTheme="minorEastAsia" w:cstheme="minorEastAsia"/>
                <w:sz w:val="21"/>
                <w:szCs w:val="21"/>
              </w:rPr>
            </w:pPr>
          </w:p>
          <w:p>
            <w:pPr>
              <w:pStyle w:val="19"/>
              <w:rPr>
                <w:rFonts w:hint="eastAsia" w:asciiTheme="minorEastAsia" w:hAnsiTheme="minorEastAsia" w:eastAsiaTheme="minorEastAsia" w:cstheme="minorEastAsia"/>
                <w:sz w:val="21"/>
                <w:szCs w:val="21"/>
              </w:rPr>
            </w:pPr>
          </w:p>
          <w:p>
            <w:pPr>
              <w:pStyle w:val="19"/>
              <w:rPr>
                <w:rFonts w:hint="eastAsia" w:asciiTheme="minorEastAsia" w:hAnsiTheme="minorEastAsia" w:eastAsiaTheme="minorEastAsia" w:cstheme="minorEastAsia"/>
                <w:sz w:val="21"/>
                <w:szCs w:val="21"/>
              </w:rPr>
            </w:pPr>
          </w:p>
          <w:p>
            <w:pPr>
              <w:pStyle w:val="19"/>
              <w:rPr>
                <w:rFonts w:hint="eastAsia" w:asciiTheme="minorEastAsia" w:hAnsiTheme="minorEastAsia" w:eastAsiaTheme="minorEastAsia" w:cstheme="minorEastAsia"/>
                <w:sz w:val="21"/>
                <w:szCs w:val="21"/>
              </w:rPr>
            </w:pPr>
          </w:p>
          <w:p>
            <w:pPr>
              <w:pStyle w:val="19"/>
              <w:ind w:left="0" w:leftChars="0" w:firstLine="0" w:firstLineChars="0"/>
              <w:rPr>
                <w:rFonts w:hint="eastAsia" w:asciiTheme="minorEastAsia" w:hAnsiTheme="minorEastAsia" w:eastAsiaTheme="minorEastAsia" w:cstheme="minorEastAsia"/>
                <w:sz w:val="21"/>
                <w:szCs w:val="21"/>
              </w:rPr>
            </w:pPr>
          </w:p>
          <w:p>
            <w:pPr>
              <w:pStyle w:val="19"/>
              <w:rPr>
                <w:rFonts w:hint="eastAsia" w:asciiTheme="minorEastAsia" w:hAnsiTheme="minorEastAsia" w:eastAsiaTheme="minorEastAsia" w:cstheme="minorEastAsia"/>
                <w:sz w:val="21"/>
                <w:szCs w:val="21"/>
              </w:rPr>
            </w:pPr>
          </w:p>
          <w:p>
            <w:pPr>
              <w:pStyle w:val="19"/>
              <w:ind w:left="0" w:leftChars="0" w:firstLine="0" w:firstLineChars="0"/>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514"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顾客满意</w:t>
            </w:r>
          </w:p>
        </w:tc>
        <w:tc>
          <w:tcPr>
            <w:tcW w:w="289"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Q9.1.2</w:t>
            </w:r>
          </w:p>
        </w:tc>
        <w:tc>
          <w:tcPr>
            <w:tcW w:w="3881" w:type="pct"/>
            <w:noWrap w:val="0"/>
            <w:vAlign w:val="center"/>
          </w:tcPr>
          <w:p>
            <w:pP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sym w:font="Wingdings 2" w:char="F098"/>
            </w:r>
            <w:r>
              <w:rPr>
                <w:rFonts w:hint="eastAsia" w:asciiTheme="minorEastAsia" w:hAnsiTheme="minorEastAsia" w:eastAsiaTheme="minorEastAsia" w:cstheme="minorEastAsia"/>
                <w:sz w:val="21"/>
                <w:szCs w:val="21"/>
                <w:lang w:val="zh-CN"/>
              </w:rPr>
              <w:t>公司通过电话，走访等形式，接受顾客反馈，了解顾客满意度信息，发放调查表对顾客满意度进行定量测量。</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rPr>
              <w:t>查企业于</w:t>
            </w:r>
            <w:r>
              <w:rPr>
                <w:rFonts w:hint="eastAsia" w:asciiTheme="minorEastAsia" w:hAnsiTheme="minorEastAsia" w:eastAsiaTheme="minorEastAsia" w:cstheme="minorEastAsia"/>
                <w:sz w:val="21"/>
                <w:szCs w:val="21"/>
                <w:lang w:val="en-US" w:eastAsia="zh-CN"/>
              </w:rPr>
              <w:t>2022年9月15日进行了顾客满意度调查。</w:t>
            </w:r>
          </w:p>
          <w:p>
            <w:pP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提供“顾客满意度调查表”</w:t>
            </w:r>
            <w:r>
              <w:rPr>
                <w:rFonts w:hint="eastAsia" w:asciiTheme="minorEastAsia" w:hAnsiTheme="minorEastAsia" w:eastAsiaTheme="minorEastAsia" w:cstheme="minorEastAsia"/>
                <w:sz w:val="21"/>
                <w:szCs w:val="21"/>
                <w:lang w:val="en-US" w:eastAsia="zh-CN"/>
              </w:rPr>
              <w:t>3份</w:t>
            </w:r>
            <w:r>
              <w:rPr>
                <w:rFonts w:hint="eastAsia" w:asciiTheme="minorEastAsia" w:hAnsiTheme="minorEastAsia" w:eastAsiaTheme="minorEastAsia" w:cstheme="minorEastAsia"/>
                <w:sz w:val="21"/>
                <w:szCs w:val="21"/>
                <w:lang w:val="zh-CN"/>
              </w:rPr>
              <w:t>，调查对象有“</w:t>
            </w:r>
            <w:r>
              <w:rPr>
                <w:rFonts w:hint="eastAsia" w:asciiTheme="minorEastAsia" w:hAnsiTheme="minorEastAsia" w:eastAsiaTheme="minorEastAsia" w:cstheme="minorEastAsia"/>
                <w:color w:val="auto"/>
                <w:kern w:val="2"/>
                <w:sz w:val="21"/>
                <w:szCs w:val="21"/>
                <w:lang w:val="en-US" w:eastAsia="zh-CN" w:bidi="ar-SA"/>
              </w:rPr>
              <w:t>闽铖电力科技有限公司</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color w:val="auto"/>
                <w:kern w:val="2"/>
                <w:sz w:val="21"/>
                <w:szCs w:val="21"/>
                <w:lang w:val="en-US" w:eastAsia="zh-CN" w:bidi="ar-SA"/>
              </w:rPr>
              <w:t>陕西巨瑞能电气有限公司</w:t>
            </w:r>
            <w:r>
              <w:rPr>
                <w:rFonts w:hint="eastAsia" w:asciiTheme="minorEastAsia" w:hAnsiTheme="minorEastAsia" w:eastAsiaTheme="minorEastAsia" w:cstheme="minorEastAsia"/>
                <w:sz w:val="21"/>
                <w:szCs w:val="21"/>
                <w:lang w:val="zh-CN"/>
              </w:rPr>
              <w:t>”等，调查主要内容：产品</w:t>
            </w:r>
            <w:r>
              <w:rPr>
                <w:rFonts w:hint="eastAsia" w:asciiTheme="minorEastAsia" w:hAnsiTheme="minorEastAsia" w:eastAsiaTheme="minorEastAsia" w:cstheme="minorEastAsia"/>
                <w:sz w:val="21"/>
                <w:szCs w:val="21"/>
              </w:rPr>
              <w:t>外观、</w:t>
            </w:r>
            <w:r>
              <w:rPr>
                <w:rFonts w:hint="eastAsia" w:asciiTheme="minorEastAsia" w:hAnsiTheme="minorEastAsia" w:eastAsiaTheme="minorEastAsia" w:cstheme="minorEastAsia"/>
                <w:sz w:val="21"/>
                <w:szCs w:val="21"/>
                <w:lang w:val="zh-CN"/>
              </w:rPr>
              <w:t>性能、</w:t>
            </w:r>
            <w:r>
              <w:rPr>
                <w:rFonts w:hint="eastAsia" w:asciiTheme="minorEastAsia" w:hAnsiTheme="minorEastAsia" w:eastAsiaTheme="minorEastAsia" w:cstheme="minorEastAsia"/>
                <w:sz w:val="21"/>
                <w:szCs w:val="21"/>
              </w:rPr>
              <w:t>价格、</w:t>
            </w:r>
            <w:r>
              <w:rPr>
                <w:rFonts w:hint="eastAsia" w:asciiTheme="minorEastAsia" w:hAnsiTheme="minorEastAsia" w:eastAsiaTheme="minorEastAsia" w:cstheme="minorEastAsia"/>
                <w:sz w:val="21"/>
                <w:szCs w:val="21"/>
                <w:lang w:eastAsia="zh-CN"/>
              </w:rPr>
              <w:t>交货期、技术能力</w:t>
            </w:r>
            <w:r>
              <w:rPr>
                <w:rFonts w:hint="eastAsia" w:asciiTheme="minorEastAsia" w:hAnsiTheme="minorEastAsia" w:eastAsiaTheme="minorEastAsia" w:cstheme="minorEastAsia"/>
                <w:sz w:val="21"/>
                <w:szCs w:val="21"/>
              </w:rPr>
              <w:t>等方面的满意程度</w:t>
            </w:r>
            <w:r>
              <w:rPr>
                <w:rFonts w:hint="eastAsia" w:asciiTheme="minorEastAsia" w:hAnsiTheme="minorEastAsia" w:eastAsiaTheme="minorEastAsia" w:cstheme="minorEastAsia"/>
                <w:sz w:val="21"/>
                <w:szCs w:val="21"/>
                <w:lang w:val="zh-CN"/>
              </w:rPr>
              <w:t>等，</w:t>
            </w:r>
            <w:r>
              <w:rPr>
                <w:rFonts w:hint="eastAsia" w:asciiTheme="minorEastAsia" w:hAnsiTheme="minorEastAsia" w:eastAsiaTheme="minorEastAsia" w:cstheme="minorEastAsia"/>
                <w:sz w:val="21"/>
                <w:szCs w:val="21"/>
              </w:rPr>
              <w:t>各项得分求平均值得最终结果</w:t>
            </w:r>
            <w:r>
              <w:rPr>
                <w:rFonts w:hint="eastAsia" w:asciiTheme="minorEastAsia" w:hAnsiTheme="minorEastAsia" w:eastAsiaTheme="minorEastAsia" w:cstheme="minorEastAsia"/>
                <w:sz w:val="21"/>
                <w:szCs w:val="21"/>
                <w:lang w:val="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了《</w:t>
            </w:r>
            <w:r>
              <w:rPr>
                <w:rFonts w:hint="eastAsia" w:asciiTheme="minorEastAsia" w:hAnsiTheme="minorEastAsia" w:eastAsiaTheme="minorEastAsia" w:cstheme="minorEastAsia"/>
                <w:sz w:val="21"/>
                <w:szCs w:val="21"/>
              </w:rPr>
              <w:t>顾客满意度分析报告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经数据分析，顾客满意度为100%。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经本次调查，顾客对本公司的满意度还是相当高的，顾客满意度达到公司的质量目标。办公室以后应尽量大范围的进行顾客满意度调查，可以随货发放“顾客满意度调查表”，尽量覆盖公司的所有客户。并及时对客户满意度调查情况进行分析，发现问题及时改进，达到顾客满意度持续提高。在用户中长期建立起本公司的良好形象。</w:t>
            </w:r>
          </w:p>
        </w:tc>
        <w:tc>
          <w:tcPr>
            <w:tcW w:w="314"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分析与评价</w:t>
            </w:r>
          </w:p>
        </w:tc>
        <w:tc>
          <w:tcPr>
            <w:tcW w:w="289" w:type="pct"/>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Q9.1.3</w:t>
            </w:r>
          </w:p>
        </w:tc>
        <w:tc>
          <w:tcPr>
            <w:tcW w:w="3881"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查通过体系运行所进行监视和测量结果的分析评价：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1、产品的符合性：通过进货检验、工序检验、成品检验及不合格品的控制达到产品的符合性；</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2、顾客满意程度：每</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rPr>
              <w:t>对客户进行顾客满意度调查，经统计顾客满意度达到100%，达到了预期目标</w:t>
            </w:r>
            <w:r>
              <w:rPr>
                <w:rFonts w:hint="eastAsia" w:asciiTheme="minorEastAsia" w:hAnsiTheme="minorEastAsia" w:eastAsiaTheme="minorEastAsia" w:cstheme="minorEastAsia"/>
                <w:sz w:val="21"/>
                <w:szCs w:val="21"/>
                <w:lang w:eastAsia="zh-CN"/>
              </w:rPr>
              <w:t>，具体见</w:t>
            </w:r>
            <w:r>
              <w:rPr>
                <w:rFonts w:hint="eastAsia" w:asciiTheme="minorEastAsia" w:hAnsiTheme="minorEastAsia" w:eastAsiaTheme="minorEastAsia" w:cstheme="minorEastAsia"/>
                <w:sz w:val="21"/>
                <w:szCs w:val="21"/>
                <w:lang w:val="en-US" w:eastAsia="zh-CN"/>
              </w:rPr>
              <w:t>9.1.2记录；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3、供应商绩效：</w:t>
            </w:r>
            <w:r>
              <w:rPr>
                <w:rFonts w:hint="eastAsia" w:asciiTheme="minorEastAsia" w:hAnsiTheme="minorEastAsia" w:eastAsiaTheme="minorEastAsia" w:cstheme="minorEastAsia"/>
                <w:sz w:val="21"/>
                <w:szCs w:val="21"/>
                <w:lang w:eastAsia="zh-CN"/>
              </w:rPr>
              <w:t>定期</w:t>
            </w:r>
            <w:r>
              <w:rPr>
                <w:rFonts w:hint="eastAsia" w:asciiTheme="minorEastAsia" w:hAnsiTheme="minorEastAsia" w:eastAsiaTheme="minorEastAsia" w:cstheme="minorEastAsia"/>
                <w:sz w:val="21"/>
                <w:szCs w:val="21"/>
              </w:rPr>
              <w:t>统计供应商交付绩效，从产品质量、交货期、价格、售后服务等方面进行评价。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查《统计分析报告》，统计分析项目：</w:t>
            </w:r>
            <w:r>
              <w:rPr>
                <w:rFonts w:hint="eastAsia" w:asciiTheme="minorEastAsia" w:hAnsiTheme="minorEastAsia" w:eastAsiaTheme="minorEastAsia" w:cstheme="minorEastAsia"/>
                <w:sz w:val="21"/>
                <w:szCs w:val="21"/>
              </w:rPr>
              <w:t>原材料、外协件入场合格检验</w:t>
            </w:r>
            <w:r>
              <w:rPr>
                <w:rFonts w:hint="eastAsia" w:asciiTheme="minorEastAsia" w:hAnsiTheme="minorEastAsia" w:eastAsiaTheme="minorEastAsia" w:cstheme="minorEastAsia"/>
                <w:sz w:val="21"/>
                <w:szCs w:val="21"/>
                <w:lang w:eastAsia="zh-CN"/>
              </w:rPr>
              <w:t>，对2022年6月至今对原材料检验产品件合格情况进行统计，共计抽取10份进厂情况进行合格率统计，其中共出具《不合格品通知单》0份，但是进行了让步处理，不影响产品质量，合格率为100％。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4、质量管理绩效和有效性：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对员工：每月进行工时定额考核，奖惩分明；</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对公司：a.遵章守法，严格执行</w:t>
            </w:r>
            <w:r>
              <w:rPr>
                <w:rFonts w:hint="eastAsia" w:asciiTheme="minorEastAsia" w:hAnsiTheme="minorEastAsia" w:eastAsiaTheme="minorEastAsia" w:cstheme="minorEastAsia"/>
                <w:sz w:val="21"/>
                <w:szCs w:val="21"/>
                <w:lang w:eastAsia="zh-CN"/>
              </w:rPr>
              <w:t>合同要求或</w:t>
            </w:r>
            <w:r>
              <w:rPr>
                <w:rFonts w:hint="eastAsia" w:asciiTheme="minorEastAsia" w:hAnsiTheme="minorEastAsia" w:eastAsiaTheme="minorEastAsia" w:cstheme="minorEastAsia"/>
                <w:sz w:val="21"/>
                <w:szCs w:val="21"/>
              </w:rPr>
              <w:t>客户提供的产品图纸，不断满足客户潜在的要求，赢得市场，赢得效益；</w:t>
            </w:r>
          </w:p>
          <w:p>
            <w:pPr>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b.通过内审、管评，不断改进完善管理体系运行；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5、针对识别出的风险和机遇采取了相应的措施；优选供应商，加强质量管理、拓展销售渠道</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6、管理体系改进的需求：通过体系运行，产品的符合性、内审、管评的有效性及企业持续改进，不断完善各项软硬件环境，提高产品质量，满足客户需求。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7、各部门目标考核记录来看，各部门分解的目标均已完成。</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综上所述，基本符合标准要求。</w:t>
            </w:r>
          </w:p>
        </w:tc>
        <w:tc>
          <w:tcPr>
            <w:tcW w:w="314"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内审</w:t>
            </w:r>
          </w:p>
        </w:tc>
        <w:tc>
          <w:tcPr>
            <w:tcW w:w="289" w:type="pct"/>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QEO</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9.2</w:t>
            </w:r>
          </w:p>
        </w:tc>
        <w:tc>
          <w:tcPr>
            <w:tcW w:w="3881" w:type="pct"/>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执行《内部审核管理程序》，对内部审核方案策划规定：内审每年进行一次，按部门/过程审核。管代介绍内审的安排和做法，与程序文件“内部审核程序”相符。视频询问管代，参与了内部审核。提供了相关记录。</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●查内审：</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提供了《三标体系内审计划》，计划包含审核目的，范围，依据及审核方法。编制：黑喃楠， 批准：李昊泽 ，日期：2022.9.10</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提供了2022年内审员授权书，审核组成员：黑喃楠、孙祚亮，经过总经理任命，经过了内审员培训，基本掌握了内审的方法。</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了《2022年内部审核实施计划》，计划涉及了所有部门及相关过程。计划编制合理，无漏条款现象。按策划的时间于2022年9月20-21日组织实施了内审，查审核记录《内审检查表》，审核内容基本符合规定。有内审首/末次会议记录，记录了会议主要内容。</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提供了《内部审核报告JL/NS-05 》，审核结论：通过内审，审核组认为建立QES管理体系基本符合标准要求，QES管理体系的实施对员工建立企业环境背景的认知，风险和机遇意识的建立、增强质量、环境保护意识和对管理、生产和服务过程进行控制起到了一定的规范作用。</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实施QES管理体系，各部门职责分工更为明确，部门之间增强了沟通，对QES管理体系和产品质量影响重大的过程，能够按照要求实施并达到较好的控制结果，为产品质量的符合性提供了保证，在体系运行期间未发生质量、环境污染事故、重大安全事故、重大质量、环境、安全投诉。QES管理体系的运行具备了实现QES管理方针、QES目标的能力，具备了管理体系持续改进的能力。</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对审核中发现的不符合项各部门要分析并制定纠正或纠正措施，并在规定的期限内完成整改，交由审核员进行验证。</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本次内审提出不符合项1项，查见《内审不符合报告》，不符合分布在生产部车间，不符合事实描述清楚，进行了原因分析，制定了纠正措施，纠正措施已实施。</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内审员经过了任命和培训，熟悉内审流程和方法，提供了内审员培训记录，审核员没有审核自己部门工作，具有独立性。内审符合要求。</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122680" cy="1621790"/>
                  <wp:effectExtent l="0" t="0" r="7620" b="3810"/>
                  <wp:docPr id="7" name="图片 7" descr="166753115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7531159831"/>
                          <pic:cNvPicPr>
                            <a:picLocks noChangeAspect="1"/>
                          </pic:cNvPicPr>
                        </pic:nvPicPr>
                        <pic:blipFill>
                          <a:blip r:embed="rId6"/>
                          <a:stretch>
                            <a:fillRect/>
                          </a:stretch>
                        </pic:blipFill>
                        <pic:spPr>
                          <a:xfrm>
                            <a:off x="0" y="0"/>
                            <a:ext cx="1122680" cy="1621790"/>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内审签到表</w:t>
            </w:r>
          </w:p>
        </w:tc>
        <w:tc>
          <w:tcPr>
            <w:tcW w:w="314"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514" w:type="pct"/>
            <w:noWrap w:val="0"/>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不符合和纠正措施</w:t>
            </w:r>
          </w:p>
          <w:p>
            <w:pPr>
              <w:rPr>
                <w:rFonts w:hint="eastAsia" w:asciiTheme="minorEastAsia" w:hAnsiTheme="minorEastAsia" w:eastAsiaTheme="minorEastAsia" w:cstheme="minorEastAsia"/>
                <w:sz w:val="21"/>
                <w:szCs w:val="21"/>
                <w:lang w:val="en-US" w:eastAsia="zh-CN"/>
              </w:rPr>
            </w:pPr>
          </w:p>
        </w:tc>
        <w:tc>
          <w:tcPr>
            <w:tcW w:w="289" w:type="pct"/>
            <w:noWrap w:val="0"/>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QEO</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10.2</w:t>
            </w:r>
          </w:p>
        </w:tc>
        <w:tc>
          <w:tcPr>
            <w:tcW w:w="3881" w:type="pct"/>
            <w:noWrap w:val="0"/>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制定并执行</w:t>
            </w:r>
            <w:r>
              <w:rPr>
                <w:rFonts w:hint="eastAsia" w:asciiTheme="minorEastAsia" w:hAnsiTheme="minorEastAsia" w:eastAsiaTheme="minorEastAsia" w:cstheme="minorEastAsia"/>
                <w:sz w:val="21"/>
                <w:szCs w:val="21"/>
                <w:lang w:val="en-US" w:eastAsia="zh-CN"/>
              </w:rPr>
              <w:t>《纠正措施控制程序》，</w:t>
            </w:r>
            <w:r>
              <w:rPr>
                <w:rFonts w:hint="eastAsia" w:asciiTheme="minorEastAsia" w:hAnsiTheme="minorEastAsia" w:eastAsiaTheme="minorEastAsia" w:cstheme="minorEastAsia"/>
                <w:sz w:val="21"/>
                <w:szCs w:val="21"/>
                <w:lang w:eastAsia="zh-CN"/>
              </w:rPr>
              <w:t xml:space="preserve">对事故事件报告、调查、处理等以及纠正措施制定、实施、验证作了规定，其内容符合标准及组织实际要求。 </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查纠正措施实施情况：</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对内审中提出不符合项进行了原因分析,并制定、实施了纠正措施，并由内审员对所采取的纠正措施进行了验证，纠正措施有效；管理评审中发现的薄弱环节，分析了原因，并采取了纠正措施。体系运行以来公司按照体系的要求，通过运行控制、加强培训，防止不符合/不合格的发生，不符合得到了有效控制，人员质量、环保、安全意识有了明显提高，没有发现潜在的不符合，没有发生重大质量事故和投诉处罚，没有发生环境、职业健康安全事件和投</w:t>
            </w:r>
            <w:r>
              <w:rPr>
                <w:rFonts w:hint="eastAsia" w:asciiTheme="minorEastAsia" w:hAnsiTheme="minorEastAsia" w:eastAsiaTheme="minorEastAsia" w:cstheme="minorEastAsia"/>
                <w:sz w:val="21"/>
                <w:szCs w:val="21"/>
                <w:lang w:val="en-US" w:eastAsia="zh-CN"/>
              </w:rPr>
              <w:t>诉处罚。</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对体系运行检查中发现的不符合，进行原因分析并制定纠正措施。</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企业纠正和预防措施的管理符合标准规定要求。</w:t>
            </w:r>
          </w:p>
        </w:tc>
        <w:tc>
          <w:tcPr>
            <w:tcW w:w="314"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14" w:type="pct"/>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应急准备和响应</w:t>
            </w:r>
          </w:p>
        </w:tc>
        <w:tc>
          <w:tcPr>
            <w:tcW w:w="911" w:type="dxa"/>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EO8.2</w:t>
            </w:r>
          </w:p>
        </w:tc>
        <w:tc>
          <w:tcPr>
            <w:tcW w:w="11506" w:type="dxa"/>
            <w:noWrap w:val="0"/>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执行公司《应急准备与响应控制程序》，识别了可能发生的紧急情况如火灾、触电、传染病等公共卫生事件等。编制有《环境、职业健康安全应急预案》，其中包括火灾、触电等的应急预案，有政府下发的新冠肺炎专项应急预案。</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●企业介绍，应急准备工作开展以下活动：</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——建立有应急组织，提供出应急组织机构图、消防队人员名单、职责权限规定等。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——配备相应的消防器材、急救器材，防疫用品。</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——进行消防常识和能力的培训、潜在的火灾爆炸的常识和能力的培训，急救知识的培训。</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●该部门介绍开展了消防器材的使用和人员紧急疏散演练活动：</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提供了演练记录。</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——消防演练，时间：</w:t>
            </w:r>
            <w:r>
              <w:rPr>
                <w:rFonts w:hint="eastAsia" w:ascii="楷体" w:hAnsi="楷体" w:eastAsia="楷体"/>
                <w:szCs w:val="21"/>
                <w:lang w:val="en-US" w:eastAsia="zh-CN"/>
              </w:rPr>
              <w:t>2022.6.30，</w:t>
            </w:r>
            <w:r>
              <w:rPr>
                <w:rFonts w:hint="eastAsia" w:asciiTheme="minorEastAsia" w:hAnsiTheme="minorEastAsia" w:eastAsiaTheme="minorEastAsia" w:cstheme="minorEastAsia"/>
                <w:sz w:val="21"/>
                <w:szCs w:val="21"/>
                <w:lang w:val="en-US" w:eastAsia="zh-CN"/>
              </w:rPr>
              <w:t xml:space="preserve">演练组织部门：办公室，总指挥：孙祚亮，参加人员：全体人员  </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演练前对公司员工进行演练过程计划实施的培训，明确演练目的、过程实施控制、岗位职责等，对公司参加演练工作人员进行消防演练常识、逃生、自我防护要求的培训。演练记录有事故发生的时间、原因，急救和处理过程。</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演练结束后对演练效果进行了总结，包括人员到位、物资到位、协调组织情况等；基本达到目的，部分环节有待改进；</w:t>
            </w:r>
          </w:p>
          <w:p>
            <w:pP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评价：效果良好，全体人员消防意识有所提高，到目前无火灾事故发生。</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——机械伤害演练，时间：2022.9.7， 演练组织部门：办公室，指挥：孙祚亮，参加人员：全体人员  </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演练前对公司员工进行演练过程计划实施的培训，明确演练目的、过程实施控制、岗位职责等。演练记录有事故发生的时间、原因，急救和处理过程。</w:t>
            </w:r>
          </w:p>
          <w:p>
            <w:pPr>
              <w:rPr>
                <w:rFonts w:hint="eastAsia" w:eastAsia="楷体"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演练结束后对演练实战效果进行了总结。预案适宜性充分性评审：完全满足应急要求，能够全部执行。</w:t>
            </w:r>
          </w:p>
        </w:tc>
        <w:tc>
          <w:tcPr>
            <w:tcW w:w="314"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bl>
    <w:p>
      <w:pPr>
        <w:pStyle w:val="11"/>
      </w:pPr>
    </w:p>
    <w:p>
      <w:pPr>
        <w:pStyle w:val="11"/>
      </w:pPr>
      <w:r>
        <w:rPr>
          <w:rFonts w:hint="eastAsia"/>
          <w:lang w:eastAsia="zh-CN"/>
        </w:rPr>
        <w:t>注：不符合标注“</w:t>
      </w:r>
      <w:r>
        <w:rPr>
          <w:rFonts w:hint="eastAsia"/>
          <w:lang w:val="en-US" w:eastAsia="zh-CN"/>
        </w:rPr>
        <w:t>N</w:t>
      </w:r>
      <w:r>
        <w:rPr>
          <w:rFonts w:hint="eastAsia"/>
          <w:lang w:eastAsia="zh-CN"/>
        </w:rPr>
        <w:t>”</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8910"/>
        <w:tab w:val="left" w:pos="9142"/>
        <w:tab w:val="clear" w:pos="4153"/>
      </w:tabs>
      <w:spacing w:line="320" w:lineRule="exact"/>
      <w:ind w:left="-86" w:leftChars="-41" w:firstLine="810" w:firstLineChars="450"/>
      <w:jc w:val="left"/>
      <w:rPr>
        <w:rStyle w:val="2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1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24"/>
        <w:rFonts w:hint="default"/>
      </w:rPr>
      <w:t>北京国标联合认证有限公司</w:t>
    </w:r>
    <w:r>
      <w:rPr>
        <w:rStyle w:val="24"/>
        <w:rFonts w:hint="default"/>
      </w:rPr>
      <w:tab/>
    </w:r>
    <w:r>
      <w:rPr>
        <w:rStyle w:val="24"/>
        <w:rFonts w:hint="default"/>
      </w:rPr>
      <w:tab/>
    </w:r>
    <w:r>
      <w:rPr>
        <w:rStyle w:val="24"/>
        <w:rFonts w:hint="default"/>
      </w:rPr>
      <w:tab/>
    </w:r>
  </w:p>
  <w:p>
    <w:pPr>
      <w:pStyle w:val="12"/>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 xml:space="preserve"> ISC-B-II-12(05版)</w:t>
                </w:r>
              </w:p>
            </w:txbxContent>
          </v:textbox>
        </v:shape>
      </w:pict>
    </w:r>
    <w:r>
      <w:rPr>
        <w:rStyle w:val="24"/>
        <w:rFonts w:hint="default"/>
        <w:w w:val="90"/>
      </w:rPr>
      <w:t>Beijing International Standard united Certification Co.,Ltd.</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88622"/>
    <w:multiLevelType w:val="singleLevel"/>
    <w:tmpl w:val="E6688622"/>
    <w:lvl w:ilvl="0" w:tentative="0">
      <w:start w:val="9"/>
      <w:numFmt w:val="decimal"/>
      <w:pStyle w:val="26"/>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MmNiNTA4Y2RiYTNkMzhmODU1Yjg5OTYxMzY5NzMifQ=="/>
  </w:docVars>
  <w:rsids>
    <w:rsidRoot w:val="00172A27"/>
    <w:rsid w:val="000446B9"/>
    <w:rsid w:val="00083BC3"/>
    <w:rsid w:val="000E2732"/>
    <w:rsid w:val="00165E6E"/>
    <w:rsid w:val="00172A27"/>
    <w:rsid w:val="00211DB6"/>
    <w:rsid w:val="00223A24"/>
    <w:rsid w:val="002360D5"/>
    <w:rsid w:val="00251D2E"/>
    <w:rsid w:val="002A623A"/>
    <w:rsid w:val="002F2502"/>
    <w:rsid w:val="003D3EDA"/>
    <w:rsid w:val="004121DE"/>
    <w:rsid w:val="00434D9A"/>
    <w:rsid w:val="00435B26"/>
    <w:rsid w:val="00441793"/>
    <w:rsid w:val="00482E71"/>
    <w:rsid w:val="00505289"/>
    <w:rsid w:val="005331E3"/>
    <w:rsid w:val="00677C75"/>
    <w:rsid w:val="00687DEA"/>
    <w:rsid w:val="006C0FA1"/>
    <w:rsid w:val="0075460D"/>
    <w:rsid w:val="00755FAA"/>
    <w:rsid w:val="007B5841"/>
    <w:rsid w:val="007F4E9F"/>
    <w:rsid w:val="0088308D"/>
    <w:rsid w:val="0088483B"/>
    <w:rsid w:val="008A39AA"/>
    <w:rsid w:val="009A70B7"/>
    <w:rsid w:val="009B5238"/>
    <w:rsid w:val="009B6EDF"/>
    <w:rsid w:val="009C44D5"/>
    <w:rsid w:val="00A301F6"/>
    <w:rsid w:val="00A7157B"/>
    <w:rsid w:val="00AA0DAB"/>
    <w:rsid w:val="00B15FD5"/>
    <w:rsid w:val="00B6409C"/>
    <w:rsid w:val="00BA2C64"/>
    <w:rsid w:val="00C43D2E"/>
    <w:rsid w:val="00C57F19"/>
    <w:rsid w:val="00C8683C"/>
    <w:rsid w:val="00D10CAC"/>
    <w:rsid w:val="00DA5F3B"/>
    <w:rsid w:val="00E807C2"/>
    <w:rsid w:val="00ED4B5B"/>
    <w:rsid w:val="00EE6AC2"/>
    <w:rsid w:val="00F00191"/>
    <w:rsid w:val="00F05C2A"/>
    <w:rsid w:val="00F24FCD"/>
    <w:rsid w:val="00F848E2"/>
    <w:rsid w:val="00FB191E"/>
    <w:rsid w:val="010F7FF3"/>
    <w:rsid w:val="01842762"/>
    <w:rsid w:val="01A82662"/>
    <w:rsid w:val="02523B07"/>
    <w:rsid w:val="02B50726"/>
    <w:rsid w:val="02CD3CC1"/>
    <w:rsid w:val="032C18A2"/>
    <w:rsid w:val="03DD1CE2"/>
    <w:rsid w:val="045333A8"/>
    <w:rsid w:val="048C6EE4"/>
    <w:rsid w:val="049D76C3"/>
    <w:rsid w:val="05AA02EA"/>
    <w:rsid w:val="05AD1B88"/>
    <w:rsid w:val="06986394"/>
    <w:rsid w:val="069A69A2"/>
    <w:rsid w:val="06C642C0"/>
    <w:rsid w:val="071602E4"/>
    <w:rsid w:val="07834179"/>
    <w:rsid w:val="07CD02C0"/>
    <w:rsid w:val="07F4584C"/>
    <w:rsid w:val="080D2DB2"/>
    <w:rsid w:val="081C087A"/>
    <w:rsid w:val="087F5A5E"/>
    <w:rsid w:val="089D7C92"/>
    <w:rsid w:val="08D55A15"/>
    <w:rsid w:val="08F06A48"/>
    <w:rsid w:val="09175C96"/>
    <w:rsid w:val="095261F1"/>
    <w:rsid w:val="0955726C"/>
    <w:rsid w:val="09573CFF"/>
    <w:rsid w:val="09A908B8"/>
    <w:rsid w:val="0AA542C9"/>
    <w:rsid w:val="0AAB206E"/>
    <w:rsid w:val="0AF81AF7"/>
    <w:rsid w:val="0CB24370"/>
    <w:rsid w:val="0CB5709F"/>
    <w:rsid w:val="0CC815A3"/>
    <w:rsid w:val="0D0C188A"/>
    <w:rsid w:val="0D18022F"/>
    <w:rsid w:val="0D57284E"/>
    <w:rsid w:val="0D795C50"/>
    <w:rsid w:val="0E0F46AC"/>
    <w:rsid w:val="0E146C48"/>
    <w:rsid w:val="0F461C36"/>
    <w:rsid w:val="0F5F0397"/>
    <w:rsid w:val="0F6D5D93"/>
    <w:rsid w:val="0FD61CDB"/>
    <w:rsid w:val="105D580F"/>
    <w:rsid w:val="10AF4A06"/>
    <w:rsid w:val="110D7335"/>
    <w:rsid w:val="117D2D56"/>
    <w:rsid w:val="121F3E0E"/>
    <w:rsid w:val="12244F80"/>
    <w:rsid w:val="12C02EFB"/>
    <w:rsid w:val="12DB7D35"/>
    <w:rsid w:val="13097082"/>
    <w:rsid w:val="1340228E"/>
    <w:rsid w:val="13837902"/>
    <w:rsid w:val="138C54D3"/>
    <w:rsid w:val="140137CB"/>
    <w:rsid w:val="142E34B0"/>
    <w:rsid w:val="144E09DA"/>
    <w:rsid w:val="147848D7"/>
    <w:rsid w:val="148A7C64"/>
    <w:rsid w:val="148C39B2"/>
    <w:rsid w:val="14A10B0A"/>
    <w:rsid w:val="151237B6"/>
    <w:rsid w:val="161948F8"/>
    <w:rsid w:val="16294BEA"/>
    <w:rsid w:val="16802341"/>
    <w:rsid w:val="16F5338F"/>
    <w:rsid w:val="1755215E"/>
    <w:rsid w:val="17E72CD8"/>
    <w:rsid w:val="182757CA"/>
    <w:rsid w:val="19355CC5"/>
    <w:rsid w:val="19680B28"/>
    <w:rsid w:val="19A846E9"/>
    <w:rsid w:val="19DC491F"/>
    <w:rsid w:val="1A16534C"/>
    <w:rsid w:val="1A954C6D"/>
    <w:rsid w:val="1B4239E1"/>
    <w:rsid w:val="1B4909F4"/>
    <w:rsid w:val="1BE97638"/>
    <w:rsid w:val="1C8B122A"/>
    <w:rsid w:val="1D1B6E43"/>
    <w:rsid w:val="1DC31AF1"/>
    <w:rsid w:val="1DC43E7C"/>
    <w:rsid w:val="1DF736E1"/>
    <w:rsid w:val="1E635082"/>
    <w:rsid w:val="1EC831EB"/>
    <w:rsid w:val="1ED307E2"/>
    <w:rsid w:val="1F0A3BEB"/>
    <w:rsid w:val="1F1A7E37"/>
    <w:rsid w:val="1F2E38E2"/>
    <w:rsid w:val="1F856DAB"/>
    <w:rsid w:val="1FEE6024"/>
    <w:rsid w:val="201063F5"/>
    <w:rsid w:val="204D5FEA"/>
    <w:rsid w:val="206A094A"/>
    <w:rsid w:val="206D21E8"/>
    <w:rsid w:val="207C79FC"/>
    <w:rsid w:val="2178173F"/>
    <w:rsid w:val="21867A05"/>
    <w:rsid w:val="22097CEF"/>
    <w:rsid w:val="222A53DB"/>
    <w:rsid w:val="226118D9"/>
    <w:rsid w:val="227855A0"/>
    <w:rsid w:val="22D36C7A"/>
    <w:rsid w:val="23571659"/>
    <w:rsid w:val="238D0D17"/>
    <w:rsid w:val="239006C7"/>
    <w:rsid w:val="2398654C"/>
    <w:rsid w:val="23C22EE2"/>
    <w:rsid w:val="246F1264"/>
    <w:rsid w:val="24E61397"/>
    <w:rsid w:val="25931B77"/>
    <w:rsid w:val="25950217"/>
    <w:rsid w:val="259D70CC"/>
    <w:rsid w:val="25EB42DB"/>
    <w:rsid w:val="27506FC9"/>
    <w:rsid w:val="2752510C"/>
    <w:rsid w:val="277420AE"/>
    <w:rsid w:val="27CA237A"/>
    <w:rsid w:val="27D8088F"/>
    <w:rsid w:val="27DB7654"/>
    <w:rsid w:val="28966C30"/>
    <w:rsid w:val="2A2C559A"/>
    <w:rsid w:val="2B054B6B"/>
    <w:rsid w:val="2B33546A"/>
    <w:rsid w:val="2BD559B4"/>
    <w:rsid w:val="2C024716"/>
    <w:rsid w:val="2C64742D"/>
    <w:rsid w:val="2CF726C7"/>
    <w:rsid w:val="2D2A393B"/>
    <w:rsid w:val="2D424A3C"/>
    <w:rsid w:val="2DDF0A87"/>
    <w:rsid w:val="2DE405F9"/>
    <w:rsid w:val="2E6764C9"/>
    <w:rsid w:val="2E70537D"/>
    <w:rsid w:val="2E9F5C62"/>
    <w:rsid w:val="2F53041D"/>
    <w:rsid w:val="2F5F4DFE"/>
    <w:rsid w:val="2FE01DC9"/>
    <w:rsid w:val="3048367F"/>
    <w:rsid w:val="30CE6A2C"/>
    <w:rsid w:val="30D83F84"/>
    <w:rsid w:val="310B76AB"/>
    <w:rsid w:val="31172428"/>
    <w:rsid w:val="31174143"/>
    <w:rsid w:val="311E2B2F"/>
    <w:rsid w:val="31BB1005"/>
    <w:rsid w:val="31C25868"/>
    <w:rsid w:val="31D9137F"/>
    <w:rsid w:val="31FB2A20"/>
    <w:rsid w:val="32C27B60"/>
    <w:rsid w:val="32FC7B27"/>
    <w:rsid w:val="33264F6B"/>
    <w:rsid w:val="332C1E5A"/>
    <w:rsid w:val="340D2DD0"/>
    <w:rsid w:val="34835E72"/>
    <w:rsid w:val="34F07218"/>
    <w:rsid w:val="357C4FF0"/>
    <w:rsid w:val="359F1CD5"/>
    <w:rsid w:val="35AD3F57"/>
    <w:rsid w:val="360D5BA8"/>
    <w:rsid w:val="364A6DFC"/>
    <w:rsid w:val="36F17277"/>
    <w:rsid w:val="37076A9B"/>
    <w:rsid w:val="371F710E"/>
    <w:rsid w:val="372E2279"/>
    <w:rsid w:val="37311C27"/>
    <w:rsid w:val="37C36BD9"/>
    <w:rsid w:val="37D050DF"/>
    <w:rsid w:val="39765215"/>
    <w:rsid w:val="39FA4695"/>
    <w:rsid w:val="39FE4185"/>
    <w:rsid w:val="3A6F3596"/>
    <w:rsid w:val="3AA770DD"/>
    <w:rsid w:val="3AAB598F"/>
    <w:rsid w:val="3AD279CD"/>
    <w:rsid w:val="3BFA04A9"/>
    <w:rsid w:val="3C3B1043"/>
    <w:rsid w:val="3C9C1A33"/>
    <w:rsid w:val="3CFF58C3"/>
    <w:rsid w:val="3D430101"/>
    <w:rsid w:val="3D5210F2"/>
    <w:rsid w:val="3D6E1622"/>
    <w:rsid w:val="3D8F7591"/>
    <w:rsid w:val="3DA07AD8"/>
    <w:rsid w:val="3E833AAE"/>
    <w:rsid w:val="3EBA43F3"/>
    <w:rsid w:val="3EDE747D"/>
    <w:rsid w:val="3F30107F"/>
    <w:rsid w:val="3F4F7037"/>
    <w:rsid w:val="3F7722E4"/>
    <w:rsid w:val="3FE71217"/>
    <w:rsid w:val="3FFC40F9"/>
    <w:rsid w:val="402358E4"/>
    <w:rsid w:val="40955117"/>
    <w:rsid w:val="416D3A05"/>
    <w:rsid w:val="41AE46E3"/>
    <w:rsid w:val="41CC061B"/>
    <w:rsid w:val="42350960"/>
    <w:rsid w:val="42666D6B"/>
    <w:rsid w:val="42750D5C"/>
    <w:rsid w:val="42B44C7C"/>
    <w:rsid w:val="42D71A17"/>
    <w:rsid w:val="43FB34E3"/>
    <w:rsid w:val="44000F96"/>
    <w:rsid w:val="444C6D00"/>
    <w:rsid w:val="44767327"/>
    <w:rsid w:val="447B63D2"/>
    <w:rsid w:val="448939E8"/>
    <w:rsid w:val="44E4041B"/>
    <w:rsid w:val="462336CA"/>
    <w:rsid w:val="464C44CA"/>
    <w:rsid w:val="468974CC"/>
    <w:rsid w:val="46B34549"/>
    <w:rsid w:val="470D5BB3"/>
    <w:rsid w:val="478A7058"/>
    <w:rsid w:val="48A91760"/>
    <w:rsid w:val="49CF3448"/>
    <w:rsid w:val="4A065CCD"/>
    <w:rsid w:val="4ACC5BD9"/>
    <w:rsid w:val="4AE4195E"/>
    <w:rsid w:val="4AE515FF"/>
    <w:rsid w:val="4B1A2B33"/>
    <w:rsid w:val="4B1C090F"/>
    <w:rsid w:val="4B4439C2"/>
    <w:rsid w:val="4BD411EA"/>
    <w:rsid w:val="4BEA4569"/>
    <w:rsid w:val="4C067384"/>
    <w:rsid w:val="4C422E07"/>
    <w:rsid w:val="4C5F211F"/>
    <w:rsid w:val="4D2954CD"/>
    <w:rsid w:val="4D7B7443"/>
    <w:rsid w:val="4DB8446C"/>
    <w:rsid w:val="4E2645D9"/>
    <w:rsid w:val="4E432B3D"/>
    <w:rsid w:val="4E484948"/>
    <w:rsid w:val="4E4E112E"/>
    <w:rsid w:val="4E7820C0"/>
    <w:rsid w:val="4E906B84"/>
    <w:rsid w:val="4F9D0EFE"/>
    <w:rsid w:val="4FBC446F"/>
    <w:rsid w:val="50534713"/>
    <w:rsid w:val="50EF6F21"/>
    <w:rsid w:val="512A5408"/>
    <w:rsid w:val="51713A23"/>
    <w:rsid w:val="51B178D7"/>
    <w:rsid w:val="52A33A2B"/>
    <w:rsid w:val="533505B9"/>
    <w:rsid w:val="533B19FC"/>
    <w:rsid w:val="53C71634"/>
    <w:rsid w:val="53D70873"/>
    <w:rsid w:val="53EC33B3"/>
    <w:rsid w:val="54887ACF"/>
    <w:rsid w:val="559D43FA"/>
    <w:rsid w:val="55CA2C97"/>
    <w:rsid w:val="562B5EAA"/>
    <w:rsid w:val="56306A8D"/>
    <w:rsid w:val="56595C72"/>
    <w:rsid w:val="566C29CD"/>
    <w:rsid w:val="567535C9"/>
    <w:rsid w:val="56A8690E"/>
    <w:rsid w:val="56EA7907"/>
    <w:rsid w:val="5794182D"/>
    <w:rsid w:val="57DD5F3B"/>
    <w:rsid w:val="57E069DE"/>
    <w:rsid w:val="57F61A9D"/>
    <w:rsid w:val="58A753F3"/>
    <w:rsid w:val="596C2A61"/>
    <w:rsid w:val="59A4342A"/>
    <w:rsid w:val="59C503C4"/>
    <w:rsid w:val="5B435A44"/>
    <w:rsid w:val="5B4E0839"/>
    <w:rsid w:val="5B982B2D"/>
    <w:rsid w:val="5C8A7B5D"/>
    <w:rsid w:val="5C90184F"/>
    <w:rsid w:val="5DA91E5B"/>
    <w:rsid w:val="5DD60DF1"/>
    <w:rsid w:val="5DDB4A18"/>
    <w:rsid w:val="5EB9533F"/>
    <w:rsid w:val="5EBB7FE7"/>
    <w:rsid w:val="5EFF1C82"/>
    <w:rsid w:val="5EFF572F"/>
    <w:rsid w:val="5F7E4D8D"/>
    <w:rsid w:val="5F8B6CA4"/>
    <w:rsid w:val="5FD40796"/>
    <w:rsid w:val="603A402A"/>
    <w:rsid w:val="604C0FCC"/>
    <w:rsid w:val="608F34D9"/>
    <w:rsid w:val="60F041D8"/>
    <w:rsid w:val="60FD48E7"/>
    <w:rsid w:val="61354081"/>
    <w:rsid w:val="618E553F"/>
    <w:rsid w:val="61960A21"/>
    <w:rsid w:val="6247665C"/>
    <w:rsid w:val="6248062A"/>
    <w:rsid w:val="626F3307"/>
    <w:rsid w:val="62853BC4"/>
    <w:rsid w:val="62AE1EC2"/>
    <w:rsid w:val="63356ED5"/>
    <w:rsid w:val="634B193A"/>
    <w:rsid w:val="638F0C6D"/>
    <w:rsid w:val="639130C5"/>
    <w:rsid w:val="63BA5E61"/>
    <w:rsid w:val="63CA5825"/>
    <w:rsid w:val="64033FC2"/>
    <w:rsid w:val="64D8544F"/>
    <w:rsid w:val="64F47DAF"/>
    <w:rsid w:val="65091C99"/>
    <w:rsid w:val="656C2C83"/>
    <w:rsid w:val="657A1AA1"/>
    <w:rsid w:val="658D65D9"/>
    <w:rsid w:val="659A0956"/>
    <w:rsid w:val="65A745D1"/>
    <w:rsid w:val="65DC4ACB"/>
    <w:rsid w:val="66067D9A"/>
    <w:rsid w:val="66365258"/>
    <w:rsid w:val="66D25ECE"/>
    <w:rsid w:val="66F627FA"/>
    <w:rsid w:val="67A535E2"/>
    <w:rsid w:val="684A43D1"/>
    <w:rsid w:val="685B4D0D"/>
    <w:rsid w:val="689B6EBF"/>
    <w:rsid w:val="68F23C58"/>
    <w:rsid w:val="68F452C7"/>
    <w:rsid w:val="691B497C"/>
    <w:rsid w:val="692B32B1"/>
    <w:rsid w:val="6A023D8F"/>
    <w:rsid w:val="6A2230B3"/>
    <w:rsid w:val="6A4C5F97"/>
    <w:rsid w:val="6B1637B6"/>
    <w:rsid w:val="6B3B04E6"/>
    <w:rsid w:val="6B674B73"/>
    <w:rsid w:val="6B6932A5"/>
    <w:rsid w:val="6B8F67CD"/>
    <w:rsid w:val="6C423718"/>
    <w:rsid w:val="6CCF5389"/>
    <w:rsid w:val="6D183F84"/>
    <w:rsid w:val="6D414939"/>
    <w:rsid w:val="6D532C4E"/>
    <w:rsid w:val="6D583155"/>
    <w:rsid w:val="6EA3225C"/>
    <w:rsid w:val="6F046E40"/>
    <w:rsid w:val="6F1A5811"/>
    <w:rsid w:val="6F3767C1"/>
    <w:rsid w:val="70724202"/>
    <w:rsid w:val="713C0B14"/>
    <w:rsid w:val="719E7794"/>
    <w:rsid w:val="71A87053"/>
    <w:rsid w:val="71CD6C87"/>
    <w:rsid w:val="721F290F"/>
    <w:rsid w:val="72216EF5"/>
    <w:rsid w:val="7236678B"/>
    <w:rsid w:val="723A2DA8"/>
    <w:rsid w:val="723B26D6"/>
    <w:rsid w:val="72486967"/>
    <w:rsid w:val="729A1F96"/>
    <w:rsid w:val="72A41658"/>
    <w:rsid w:val="72C81D85"/>
    <w:rsid w:val="72E505AA"/>
    <w:rsid w:val="72F606FE"/>
    <w:rsid w:val="734D1F8A"/>
    <w:rsid w:val="73740A39"/>
    <w:rsid w:val="73843460"/>
    <w:rsid w:val="74195FCC"/>
    <w:rsid w:val="742F2BB2"/>
    <w:rsid w:val="743C3640"/>
    <w:rsid w:val="758C7D84"/>
    <w:rsid w:val="75AB44BA"/>
    <w:rsid w:val="763A22AD"/>
    <w:rsid w:val="76DD5309"/>
    <w:rsid w:val="772A140E"/>
    <w:rsid w:val="777C610E"/>
    <w:rsid w:val="77EA751B"/>
    <w:rsid w:val="78395DAD"/>
    <w:rsid w:val="78832A30"/>
    <w:rsid w:val="7980722C"/>
    <w:rsid w:val="799043B8"/>
    <w:rsid w:val="7A771C84"/>
    <w:rsid w:val="7AAF67FA"/>
    <w:rsid w:val="7C17769E"/>
    <w:rsid w:val="7C690A14"/>
    <w:rsid w:val="7D8775BA"/>
    <w:rsid w:val="7DB11D69"/>
    <w:rsid w:val="7E3C3C99"/>
    <w:rsid w:val="7E4159BB"/>
    <w:rsid w:val="7E616FF2"/>
    <w:rsid w:val="7F285F22"/>
    <w:rsid w:val="7F387A7F"/>
    <w:rsid w:val="7F636901"/>
    <w:rsid w:val="7F736048"/>
    <w:rsid w:val="7F821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jc w:val="center"/>
      <w:outlineLvl w:val="0"/>
    </w:pPr>
    <w:rPr>
      <w:rFonts w:ascii="Calibri" w:hAnsi="Calibri"/>
      <w:b/>
      <w:kern w:val="44"/>
      <w:sz w:val="44"/>
      <w:szCs w:val="22"/>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99"/>
    <w:pPr>
      <w:spacing w:line="420" w:lineRule="exact"/>
    </w:pPr>
    <w:rPr>
      <w:sz w:val="24"/>
    </w:rPr>
  </w:style>
  <w:style w:type="paragraph" w:styleId="7">
    <w:name w:val="Body Text Indent"/>
    <w:basedOn w:val="1"/>
    <w:qFormat/>
    <w:uiPriority w:val="0"/>
    <w:pPr>
      <w:ind w:left="420" w:firstLine="744"/>
    </w:pPr>
    <w:rPr>
      <w:rFonts w:ascii="宋体" w:hAnsi="宋体"/>
      <w:szCs w:val="24"/>
    </w:rPr>
  </w:style>
  <w:style w:type="paragraph" w:styleId="8">
    <w:name w:val="Block Text"/>
    <w:basedOn w:val="1"/>
    <w:qFormat/>
    <w:uiPriority w:val="0"/>
    <w:pPr>
      <w:ind w:left="1785" w:right="3407"/>
    </w:pPr>
    <w:rPr>
      <w:sz w:val="24"/>
    </w:rPr>
  </w:style>
  <w:style w:type="paragraph" w:styleId="9">
    <w:name w:val="Plain Text"/>
    <w:basedOn w:val="1"/>
    <w:qFormat/>
    <w:uiPriority w:val="0"/>
    <w:rPr>
      <w:rFonts w:ascii="宋体" w:hAnsi="Courier New"/>
    </w:rPr>
  </w:style>
  <w:style w:type="paragraph" w:styleId="10">
    <w:name w:val="Balloon Text"/>
    <w:basedOn w:val="1"/>
    <w:link w:val="23"/>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next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7"/>
    <w:unhideWhenUsed/>
    <w:qFormat/>
    <w:uiPriority w:val="99"/>
    <w:pPr>
      <w:tabs>
        <w:tab w:val="left" w:pos="540"/>
      </w:tabs>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338DE6"/>
      <w:u w:val="none"/>
    </w:rPr>
  </w:style>
  <w:style w:type="paragraph" w:customStyle="1" w:styleId="19">
    <w:name w:val="正文 首行缩进:  2 字符"/>
    <w:basedOn w:val="1"/>
    <w:qFormat/>
    <w:uiPriority w:val="0"/>
    <w:pPr>
      <w:ind w:firstLine="200" w:firstLineChars="200"/>
    </w:pPr>
    <w:rPr>
      <w:rFonts w:cs="宋体"/>
      <w:sz w:val="24"/>
      <w:szCs w:val="20"/>
    </w:rPr>
  </w:style>
  <w:style w:type="paragraph" w:customStyle="1" w:styleId="20">
    <w:name w:val="表格文字"/>
    <w:basedOn w:val="1"/>
    <w:qFormat/>
    <w:uiPriority w:val="0"/>
    <w:pPr>
      <w:spacing w:before="25" w:after="25"/>
    </w:pPr>
    <w:rPr>
      <w:bCs/>
      <w:spacing w:val="10"/>
    </w:rPr>
  </w:style>
  <w:style w:type="character" w:customStyle="1" w:styleId="21">
    <w:name w:val="页眉 字符"/>
    <w:basedOn w:val="17"/>
    <w:link w:val="12"/>
    <w:qFormat/>
    <w:uiPriority w:val="99"/>
    <w:rPr>
      <w:rFonts w:ascii="Times New Roman" w:hAnsi="Times New Roman" w:eastAsia="宋体" w:cs="Times New Roman"/>
      <w:sz w:val="18"/>
      <w:szCs w:val="18"/>
    </w:rPr>
  </w:style>
  <w:style w:type="character" w:customStyle="1" w:styleId="22">
    <w:name w:val="页脚 字符"/>
    <w:basedOn w:val="17"/>
    <w:link w:val="11"/>
    <w:qFormat/>
    <w:uiPriority w:val="99"/>
    <w:rPr>
      <w:rFonts w:ascii="Times New Roman" w:hAnsi="Times New Roman" w:eastAsia="宋体" w:cs="Times New Roman"/>
      <w:sz w:val="18"/>
      <w:szCs w:val="18"/>
    </w:rPr>
  </w:style>
  <w:style w:type="character" w:customStyle="1" w:styleId="23">
    <w:name w:val="批注框文本 字符"/>
    <w:basedOn w:val="17"/>
    <w:link w:val="10"/>
    <w:semiHidden/>
    <w:qFormat/>
    <w:uiPriority w:val="99"/>
    <w:rPr>
      <w:rFonts w:ascii="Times New Roman" w:hAnsi="Times New Roman" w:eastAsia="宋体" w:cs="Times New Roman"/>
      <w:sz w:val="18"/>
      <w:szCs w:val="18"/>
    </w:rPr>
  </w:style>
  <w:style w:type="character" w:customStyle="1" w:styleId="24">
    <w:name w:val="Char Char1"/>
    <w:qFormat/>
    <w:locked/>
    <w:uiPriority w:val="0"/>
    <w:rPr>
      <w:rFonts w:hint="eastAsia" w:ascii="宋体" w:hAnsi="Courier New" w:eastAsia="宋体"/>
      <w:kern w:val="2"/>
      <w:sz w:val="21"/>
      <w:lang w:val="en-US" w:eastAsia="zh-CN" w:bidi="ar-SA"/>
    </w:rPr>
  </w:style>
  <w:style w:type="paragraph" w:customStyle="1" w:styleId="25">
    <w:name w:val="Table Paragraph"/>
    <w:basedOn w:val="1"/>
    <w:unhideWhenUsed/>
    <w:qFormat/>
    <w:uiPriority w:val="1"/>
    <w:rPr>
      <w:rFonts w:hint="eastAsia"/>
      <w:sz w:val="24"/>
    </w:rPr>
  </w:style>
  <w:style w:type="paragraph" w:customStyle="1" w:styleId="26">
    <w:name w:val="Char"/>
    <w:basedOn w:val="1"/>
    <w:qFormat/>
    <w:uiPriority w:val="0"/>
    <w:pPr>
      <w:numPr>
        <w:ilvl w:val="0"/>
        <w:numId w:val="1"/>
      </w:numPr>
      <w:tabs>
        <w:tab w:val="left" w:pos="252"/>
      </w:tabs>
    </w:pPr>
    <w:rPr>
      <w:sz w:val="24"/>
    </w:rPr>
  </w:style>
  <w:style w:type="paragraph" w:styleId="27">
    <w:name w:val="List Paragraph"/>
    <w:basedOn w:val="1"/>
    <w:qFormat/>
    <w:uiPriority w:val="99"/>
    <w:pPr>
      <w:ind w:firstLine="420" w:firstLineChars="200"/>
    </w:pPr>
  </w:style>
  <w:style w:type="paragraph" w:customStyle="1" w:styleId="28">
    <w:name w:val="Char Char Char Char"/>
    <w:basedOn w:val="1"/>
    <w:qFormat/>
    <w:uiPriority w:val="0"/>
    <w:rPr>
      <w:rFonts w:ascii="Tahoma" w:hAnsi="Tahoma"/>
      <w:sz w:val="24"/>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Char Char Char Char1"/>
    <w:basedOn w:val="1"/>
    <w:qFormat/>
    <w:uiPriority w:val="0"/>
    <w:rPr>
      <w:rFonts w:ascii="Tahoma" w:hAnsi="Tahoma"/>
      <w:sz w:val="24"/>
    </w:rPr>
  </w:style>
  <w:style w:type="paragraph" w:customStyle="1" w:styleId="31">
    <w:name w:val="纯文本1"/>
    <w:basedOn w:val="1"/>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6581</Words>
  <Characters>7104</Characters>
  <Lines>119</Lines>
  <Paragraphs>33</Paragraphs>
  <TotalTime>19</TotalTime>
  <ScaleCrop>false</ScaleCrop>
  <LinksUpToDate>false</LinksUpToDate>
  <CharactersWithSpaces>7170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2022-11-08T06:39:30Z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C750CBA7631E4663AE248E0CA462FBD5</vt:lpwstr>
  </property>
</Properties>
</file>