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1156-2022-QEO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石家庄安迅电力设备有限公司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2022年11月03日 上午至2022年11月03日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4"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w:t>
            </w:r>
            <w:r>
              <w:rPr>
                <w:rFonts w:hint="eastAsia" w:ascii="宋体" w:hAnsi="宋体"/>
                <w:b/>
                <w:color w:val="000000"/>
                <w:szCs w:val="21"/>
                <w:lang w:val="en-US" w:eastAsia="zh-CN"/>
              </w:rPr>
              <w:t xml:space="preserve"> </w:t>
            </w:r>
            <w:r>
              <w:rPr>
                <w:rFonts w:hint="eastAsia" w:ascii="宋体" w:hAnsi="宋体"/>
                <w:b/>
                <w:color w:val="000000"/>
                <w:szCs w:val="21"/>
                <w:lang w:val="de-DE"/>
              </w:rPr>
              <w: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rFonts w:asciiTheme="minorEastAsia" w:hAnsiTheme="minorEastAsia" w:eastAsiaTheme="minorEastAsia"/>
                <w:sz w:val="20"/>
              </w:rPr>
              <w:t>河北省石家庄市晋州市经济开发区赵位村村东</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38"/>
        <w:gridCol w:w="207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938" w:type="dxa"/>
            <w:vAlign w:val="center"/>
          </w:tcPr>
          <w:p>
            <w:pPr>
              <w:spacing w:line="240" w:lineRule="exact"/>
              <w:jc w:val="center"/>
              <w:rPr>
                <w:b/>
                <w:color w:val="000000"/>
                <w:szCs w:val="21"/>
              </w:rPr>
            </w:pPr>
            <w:r>
              <w:rPr>
                <w:rFonts w:hint="eastAsia"/>
                <w:szCs w:val="21"/>
              </w:rPr>
              <w:t>审核员注册证书号</w:t>
            </w:r>
          </w:p>
        </w:tc>
        <w:tc>
          <w:tcPr>
            <w:tcW w:w="2072"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938"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2072" w:type="dxa"/>
            <w:vAlign w:val="center"/>
          </w:tcPr>
          <w:p>
            <w:pPr>
              <w:spacing w:line="240" w:lineRule="exact"/>
              <w:jc w:val="center"/>
              <w:rPr>
                <w:b/>
                <w:color w:val="000000"/>
                <w:szCs w:val="21"/>
              </w:rPr>
            </w:pPr>
            <w:r>
              <w:rPr>
                <w:b/>
                <w:color w:val="000000"/>
                <w:szCs w:val="21"/>
              </w:rPr>
              <w:t>Q:17.12.03,17.12.05,29.12.00</w:t>
            </w:r>
          </w:p>
          <w:p>
            <w:pPr>
              <w:spacing w:line="240" w:lineRule="exact"/>
              <w:jc w:val="center"/>
              <w:rPr>
                <w:b/>
                <w:color w:val="000000"/>
                <w:szCs w:val="21"/>
              </w:rPr>
            </w:pPr>
            <w:r>
              <w:rPr>
                <w:b/>
                <w:color w:val="000000"/>
                <w:szCs w:val="21"/>
              </w:rPr>
              <w:t>E:17.12.03,17.12.05,29.12.00</w:t>
            </w:r>
          </w:p>
          <w:p>
            <w:pPr>
              <w:spacing w:line="240" w:lineRule="exact"/>
              <w:jc w:val="center"/>
              <w:rPr>
                <w:b/>
                <w:color w:val="000000"/>
                <w:szCs w:val="21"/>
              </w:rPr>
            </w:pPr>
            <w:r>
              <w:rPr>
                <w:b/>
                <w:color w:val="000000"/>
                <w:szCs w:val="21"/>
              </w:rPr>
              <w:t>O:17.12.03,17.12.05,29.12.00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938"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2072" w:type="dxa"/>
            <w:vAlign w:val="center"/>
          </w:tcPr>
          <w:p>
            <w:pPr>
              <w:spacing w:line="240" w:lineRule="exact"/>
              <w:jc w:val="center"/>
              <w:rPr>
                <w:b/>
                <w:color w:val="000000"/>
                <w:szCs w:val="21"/>
              </w:rPr>
            </w:pPr>
            <w:r>
              <w:rPr>
                <w:b/>
                <w:color w:val="000000"/>
                <w:szCs w:val="21"/>
              </w:rPr>
              <w:t>Q:17.12.03,17.12.05,29.12.00</w:t>
            </w:r>
          </w:p>
          <w:p>
            <w:pPr>
              <w:spacing w:line="240" w:lineRule="exact"/>
              <w:jc w:val="center"/>
              <w:rPr>
                <w:b/>
                <w:color w:val="000000"/>
                <w:szCs w:val="21"/>
              </w:rPr>
            </w:pPr>
            <w:r>
              <w:rPr>
                <w:b/>
                <w:color w:val="000000"/>
                <w:szCs w:val="21"/>
              </w:rPr>
              <w:t>E:17.12.03,17.12.05,29.12.00</w:t>
            </w:r>
          </w:p>
          <w:p>
            <w:pPr>
              <w:spacing w:line="240" w:lineRule="exact"/>
              <w:jc w:val="center"/>
              <w:rPr>
                <w:b/>
                <w:color w:val="000000"/>
                <w:szCs w:val="21"/>
              </w:rPr>
            </w:pPr>
            <w:r>
              <w:rPr>
                <w:b/>
                <w:color w:val="000000"/>
                <w:szCs w:val="21"/>
              </w:rPr>
              <w:t>O:17.12.03,17.12.05,29.12.00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938" w:type="dxa"/>
            <w:vAlign w:val="center"/>
          </w:tcPr>
          <w:p>
            <w:pPr>
              <w:rPr>
                <w:b/>
                <w:color w:val="000000"/>
                <w:szCs w:val="21"/>
              </w:rPr>
            </w:pPr>
            <w:r>
              <w:rPr>
                <w:rFonts w:hint="eastAsia"/>
                <w:b/>
                <w:color w:val="000000"/>
                <w:szCs w:val="21"/>
              </w:rPr>
              <w:t>工作单位</w:t>
            </w:r>
          </w:p>
        </w:tc>
        <w:tc>
          <w:tcPr>
            <w:tcW w:w="3160"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938" w:type="dxa"/>
            <w:vAlign w:val="center"/>
          </w:tcPr>
          <w:p>
            <w:pPr>
              <w:rPr>
                <w:b/>
                <w:color w:val="000000"/>
                <w:szCs w:val="21"/>
              </w:rPr>
            </w:pPr>
          </w:p>
        </w:tc>
        <w:tc>
          <w:tcPr>
            <w:tcW w:w="3160"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石家庄安迅电力设备有限公司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河北省石家庄市晋州市经济开发区赵位村村东</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052260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河北省石家庄市晋州市经济开发区赵位村村东</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052260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李昊泽</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15369135666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李昊泽</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default" w:ascii="宋体" w:eastAsia="宋体"/>
                <w:b/>
                <w:color w:val="000000"/>
                <w:szCs w:val="21"/>
                <w:lang w:val="en-US" w:eastAsia="zh-CN"/>
              </w:rPr>
            </w:pPr>
            <w:r>
              <w:rPr>
                <w:rFonts w:hint="eastAsia" w:ascii="宋体"/>
                <w:b/>
                <w:color w:val="000000"/>
                <w:szCs w:val="21"/>
                <w:lang w:val="en-US" w:eastAsia="zh-CN"/>
              </w:rPr>
              <w:t>黑喃楠</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tabs>
                <w:tab w:val="left" w:pos="360"/>
              </w:tabs>
              <w:rPr>
                <w:rFonts w:ascii="宋体" w:hAnsi="宋体"/>
                <w:b/>
                <w:color w:val="000000"/>
                <w:szCs w:val="21"/>
              </w:rPr>
            </w:pPr>
            <w:r>
              <w:rPr>
                <w:rFonts w:hint="eastAsia"/>
                <w:sz w:val="20"/>
              </w:rPr>
              <w:t>电工工具（标识牌、防撞警示牌）的加工与销售；安全工具柜、登杆脚扣、防鸟刺、隔离栅栏、伞式支架、铝合金梯、伸缩围栏、电力安全工器具、电力金具、铁附件、绝缘手套、绝缘靴的销售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标识牌</w:t>
            </w:r>
            <w:r>
              <w:rPr>
                <w:rFonts w:hint="eastAsia" w:cs="Times New Roman"/>
                <w:kern w:val="2"/>
                <w:sz w:val="21"/>
                <w:lang w:val="en-US" w:eastAsia="zh-CN" w:bidi="ar-SA"/>
              </w:rPr>
              <w:t>、防撞警示牌</w:t>
            </w:r>
            <w:r>
              <w:rPr>
                <w:rFonts w:hint="eastAsia" w:ascii="Times New Roman" w:hAnsi="Times New Roman" w:eastAsia="宋体" w:cs="Times New Roman"/>
                <w:kern w:val="2"/>
                <w:sz w:val="21"/>
                <w:lang w:val="en-US" w:eastAsia="zh-CN" w:bidi="ar-SA"/>
              </w:rPr>
              <w:t>：</w:t>
            </w:r>
            <w:r>
              <w:rPr>
                <w:rFonts w:hint="eastAsia" w:cs="Times New Roman"/>
                <w:kern w:val="2"/>
                <w:sz w:val="21"/>
                <w:lang w:val="en-US" w:eastAsia="zh-CN" w:bidi="ar-SA"/>
              </w:rPr>
              <w:t>排版、喷绘</w:t>
            </w:r>
            <w:r>
              <w:rPr>
                <w:rFonts w:hint="eastAsia" w:ascii="Times New Roman" w:hAnsi="Times New Roman" w:eastAsia="宋体" w:cs="Times New Roman"/>
                <w:kern w:val="2"/>
                <w:sz w:val="21"/>
                <w:lang w:val="en-US" w:eastAsia="zh-CN" w:bidi="ar-SA"/>
              </w:rPr>
              <w:t>--覆膜--裁剪--</w:t>
            </w:r>
            <w:r>
              <w:rPr>
                <w:rFonts w:hint="eastAsia" w:cs="Times New Roman"/>
                <w:kern w:val="2"/>
                <w:sz w:val="21"/>
                <w:lang w:val="en-US" w:eastAsia="zh-CN" w:bidi="ar-SA"/>
              </w:rPr>
              <w:t>（</w:t>
            </w:r>
            <w:r>
              <w:rPr>
                <w:rFonts w:hint="eastAsia" w:ascii="Times New Roman" w:hAnsi="Times New Roman" w:eastAsia="宋体" w:cs="Times New Roman"/>
                <w:kern w:val="2"/>
                <w:sz w:val="21"/>
                <w:lang w:val="en-US" w:eastAsia="zh-CN" w:bidi="ar-SA"/>
              </w:rPr>
              <w:t>打孔</w:t>
            </w:r>
            <w:r>
              <w:rPr>
                <w:rFonts w:hint="eastAsia" w:cs="Times New Roman"/>
                <w:kern w:val="2"/>
                <w:sz w:val="21"/>
                <w:lang w:val="en-US" w:eastAsia="zh-CN" w:bidi="ar-SA"/>
              </w:rPr>
              <w:t>）</w:t>
            </w:r>
            <w:r>
              <w:rPr>
                <w:rFonts w:hint="eastAsia" w:ascii="Times New Roman" w:hAnsi="Times New Roman" w:eastAsia="宋体" w:cs="Times New Roman"/>
                <w:kern w:val="2"/>
                <w:sz w:val="21"/>
                <w:lang w:val="en-US" w:eastAsia="zh-CN" w:bidi="ar-SA"/>
              </w:rPr>
              <w:t>--检验--包装--入库</w:t>
            </w:r>
          </w:p>
          <w:p>
            <w:pPr>
              <w:tabs>
                <w:tab w:val="left" w:pos="360"/>
              </w:tabs>
              <w:ind w:left="360" w:hanging="360"/>
              <w:rPr>
                <w:rFonts w:ascii="宋体"/>
                <w:color w:val="000000"/>
                <w:szCs w:val="21"/>
              </w:rPr>
            </w:pPr>
            <w:r>
              <w:rPr>
                <w:rFonts w:hint="eastAsia" w:cs="Times New Roman"/>
                <w:kern w:val="2"/>
                <w:sz w:val="21"/>
                <w:lang w:val="en-US" w:eastAsia="zh-CN" w:bidi="ar-SA"/>
              </w:rPr>
              <w:t>销售流程：</w:t>
            </w:r>
            <w:r>
              <w:rPr>
                <w:rFonts w:hint="default" w:ascii="Times New Roman" w:hAnsi="Times New Roman" w:eastAsia="宋体" w:cs="Times New Roman"/>
                <w:kern w:val="2"/>
                <w:sz w:val="21"/>
                <w:lang w:val="en-US" w:eastAsia="zh-CN" w:bidi="ar-SA"/>
              </w:rPr>
              <w:t>业务洽谈—签订合同―产品采购―发货―验收―结算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sz w:val="21"/>
                <w:szCs w:val="21"/>
              </w:rPr>
              <w:t>电工工具(标识牌、防撞警示牌、安全工具柜、登杆脚扣、防鸟刺、隔离栅栏、伞式支架、铝合金梯、伸缩围栏)的加工与销售；电力安全工器具、电力金具、铁附件、绝缘手套、绝缘靴的销售</w:t>
            </w:r>
          </w:p>
        </w:tc>
        <w:tc>
          <w:tcPr>
            <w:tcW w:w="2006" w:type="dxa"/>
            <w:gridSpan w:val="3"/>
            <w:vAlign w:val="center"/>
          </w:tcPr>
          <w:p>
            <w:pPr>
              <w:spacing w:line="400" w:lineRule="exact"/>
              <w:rPr>
                <w:rFonts w:ascii="宋体" w:hAnsi="宋体"/>
                <w:b/>
                <w:color w:val="000000"/>
                <w:szCs w:val="21"/>
              </w:rPr>
            </w:pPr>
            <w:r>
              <w:rPr>
                <w:sz w:val="21"/>
                <w:szCs w:val="21"/>
              </w:rPr>
              <w:t>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电工工具(标识牌、防撞警示牌、安全工具柜、登杆脚扣、防鸟刺、隔离栅栏、伞式支架、铝合金梯、伸缩围栏)的加工与销售；电力安全工器具、电力金具、铁附件、绝缘手套、绝缘靴的销售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电工工具(标识牌、防撞警示牌、安全工具柜、登杆脚扣、防鸟刺、隔离栅栏、伞式支架、铝合金梯、伸缩围栏)的加工与销售；电力安全工器具、电力金具、铁附件、绝缘手套、绝缘靴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r>
              <w:rPr>
                <w:rFonts w:hint="eastAsia"/>
                <w:sz w:val="20"/>
              </w:rPr>
              <w:t>电工工具（标识牌、防撞警示牌）的加工与销售；安全工具柜、登杆脚扣、防鸟刺、隔离栅栏、伞式支架、铝合金梯、伸缩围栏、电力安全工器具、电力金具、铁附件、绝缘手套、绝缘靴的销售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sz w:val="21"/>
          <w:szCs w:val="21"/>
          <w:lang w:eastAsia="zh-CN"/>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84"/>
        <w:gridCol w:w="1375"/>
        <w:gridCol w:w="609"/>
        <w:gridCol w:w="3050"/>
        <w:gridCol w:w="185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bCs/>
                <w:sz w:val="21"/>
                <w:szCs w:val="21"/>
                <w:lang w:val="en-US" w:eastAsia="zh-CN"/>
              </w:rPr>
            </w:pPr>
            <w:bookmarkStart w:id="35" w:name="_GoBack"/>
            <w:r>
              <w:rPr>
                <w:rFonts w:eastAsia="黑体" w:cs="Arial"/>
                <w:sz w:val="21"/>
                <w:szCs w:val="21"/>
                <w:lang w:eastAsia="zh-CN"/>
              </w:rPr>
              <w:t>场所编号</w:t>
            </w:r>
          </w:p>
        </w:tc>
        <w:tc>
          <w:tcPr>
            <w:tcW w:w="1684"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75"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60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3050"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p>
        </w:tc>
        <w:tc>
          <w:tcPr>
            <w:tcW w:w="185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684" w:type="dxa"/>
          </w:tcPr>
          <w:p>
            <w:pPr>
              <w:spacing w:before="40" w:after="40"/>
              <w:rPr>
                <w:rFonts w:eastAsia="黑体"/>
                <w:szCs w:val="21"/>
                <w:lang w:val="de-DE" w:eastAsia="ja-JP"/>
              </w:rPr>
            </w:pPr>
            <w:r>
              <w:rPr>
                <w:rFonts w:hint="eastAsia" w:eastAsia="黑体"/>
                <w:szCs w:val="21"/>
                <w:lang w:val="de-DE" w:eastAsia="ja-JP"/>
              </w:rPr>
              <w:t>石家庄安迅电力设备有限公司</w:t>
            </w:r>
            <w:r>
              <w:rPr>
                <w:rFonts w:hint="eastAsia" w:eastAsia="黑体"/>
                <w:szCs w:val="21"/>
                <w:lang w:val="en-US" w:eastAsia="zh-CN"/>
              </w:rPr>
              <w:t>/</w:t>
            </w:r>
            <w:r>
              <w:rPr>
                <w:rFonts w:hint="eastAsia" w:eastAsia="黑体"/>
                <w:szCs w:val="21"/>
                <w:lang w:val="de-DE" w:eastAsia="ja-JP"/>
              </w:rPr>
              <w:t>河北省石家庄市晋州市经济开发区赵位村村东</w:t>
            </w:r>
          </w:p>
        </w:tc>
        <w:tc>
          <w:tcPr>
            <w:tcW w:w="1375" w:type="dxa"/>
          </w:tcPr>
          <w:p>
            <w:pPr>
              <w:spacing w:before="40" w:after="40"/>
              <w:rPr>
                <w:rFonts w:eastAsia="黑体"/>
                <w:szCs w:val="21"/>
                <w:lang w:val="de-DE" w:eastAsia="ja-JP"/>
              </w:rPr>
            </w:pPr>
            <w:r>
              <w:rPr>
                <w:rFonts w:hint="eastAsia" w:eastAsia="黑体"/>
                <w:szCs w:val="21"/>
                <w:lang w:val="de-DE" w:eastAsia="ja-JP"/>
              </w:rPr>
              <w:t>河北省石家庄市晋州市经济开发区赵位村村东</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3050" w:type="dxa"/>
            <w:vAlign w:val="center"/>
          </w:tcPr>
          <w:p>
            <w:pPr>
              <w:pStyle w:val="21"/>
              <w:rPr>
                <w:rFonts w:eastAsia="黑体" w:cs="Arial"/>
                <w:sz w:val="21"/>
                <w:szCs w:val="21"/>
                <w:lang w:val="en-US" w:eastAsia="ja-JP"/>
              </w:rPr>
            </w:pPr>
            <w:r>
              <w:rPr>
                <w:rFonts w:hint="eastAsia"/>
                <w:sz w:val="20"/>
              </w:rPr>
              <w:t>电工工具（标识牌、防撞警示牌）的加工与销售；安全工具柜、登杆脚扣、防鸟刺、隔离栅栏、伞式支架、铝合金梯、伸缩围栏、电力安全工器具、电力金具、铁附件、绝缘手套、绝缘靴的销售</w:t>
            </w:r>
          </w:p>
        </w:tc>
        <w:tc>
          <w:tcPr>
            <w:tcW w:w="1859" w:type="dxa"/>
            <w:vAlign w:val="center"/>
          </w:tcPr>
          <w:p>
            <w:pPr>
              <w:spacing w:before="40" w:after="40"/>
              <w:rPr>
                <w:rFonts w:hint="eastAsia"/>
                <w:lang w:val="en-US" w:eastAsia="zh-CN"/>
              </w:rPr>
            </w:pPr>
            <w:r>
              <w:rPr>
                <w:rFonts w:hint="eastAsia"/>
                <w:lang w:val="en-US" w:eastAsia="zh-CN"/>
              </w:rPr>
              <w:t>GB/T19001-2016</w:t>
            </w:r>
          </w:p>
          <w:p>
            <w:pPr>
              <w:pStyle w:val="26"/>
              <w:rPr>
                <w:rFonts w:hint="eastAsia" w:eastAsia="黑体"/>
                <w:szCs w:val="21"/>
                <w:lang w:val="en-US" w:eastAsia="zh-CN"/>
              </w:rPr>
            </w:pPr>
            <w:r>
              <w:rPr>
                <w:rFonts w:hint="eastAsia" w:eastAsia="黑体"/>
                <w:szCs w:val="21"/>
                <w:lang w:val="en-US" w:eastAsia="zh-CN"/>
              </w:rPr>
              <w:t>GB/T24001-2016</w:t>
            </w:r>
          </w:p>
          <w:p>
            <w:pPr>
              <w:pStyle w:val="26"/>
              <w:rPr>
                <w:rFonts w:hint="default" w:eastAsia="黑体"/>
                <w:szCs w:val="21"/>
                <w:lang w:val="en-US" w:eastAsia="zh-CN"/>
              </w:rPr>
            </w:pPr>
            <w:r>
              <w:rPr>
                <w:rFonts w:hint="eastAsia" w:eastAsia="黑体"/>
                <w:szCs w:val="21"/>
                <w:lang w:val="en-US" w:eastAsia="zh-CN"/>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bookmarkEnd w:id="35"/>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20-21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年10月8日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组装、标牌排版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运输、焊接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rPr>
              <w:t>2022-11-0</w:t>
            </w:r>
            <w:bookmarkEnd w:id="34"/>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rPr>
                <w:rFonts w:hint="eastAsia"/>
                <w:sz w:val="20"/>
              </w:rPr>
              <w:t>电工工具（标识牌、防撞警示牌）的加工与销售；安全工具柜、登杆脚扣、防鸟刺、隔离栅栏、伞式支架、铝合金梯、伸缩围栏、电力安全工器具、电力金具、铁附件、绝缘手套、绝缘靴的销售</w:t>
            </w:r>
          </w:p>
        </w:tc>
        <w:tc>
          <w:tcPr>
            <w:tcW w:w="1541" w:type="dxa"/>
            <w:vAlign w:val="center"/>
          </w:tcPr>
          <w:p>
            <w:pPr>
              <w:spacing w:line="400" w:lineRule="exact"/>
              <w:rPr>
                <w:rFonts w:ascii="宋体" w:hAnsi="宋体"/>
                <w:b/>
                <w:color w:val="000000"/>
                <w:szCs w:val="21"/>
              </w:rPr>
            </w:pPr>
            <w:r>
              <w:rPr>
                <w:sz w:val="20"/>
              </w:rPr>
              <w:t>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rFonts w:hint="eastAsia"/>
                <w:sz w:val="20"/>
              </w:rPr>
              <w:t>电工工具（标识牌、防撞警示牌）的加工与销售；安全工具柜、登杆脚扣、防鸟刺、隔离栅栏、伞式支架、铝合金梯、伸缩围栏、电力安全工器具、电力金具、铁附件、绝缘手套、绝缘靴的销售所涉及场所的相关环境管理活动</w:t>
            </w:r>
          </w:p>
        </w:tc>
        <w:tc>
          <w:tcPr>
            <w:tcW w:w="1541" w:type="dxa"/>
            <w:vAlign w:val="center"/>
          </w:tcPr>
          <w:p>
            <w:pPr>
              <w:spacing w:line="400" w:lineRule="exact"/>
              <w:rPr>
                <w:rFonts w:ascii="宋体" w:hAnsi="宋体"/>
                <w:b/>
                <w:color w:val="000000"/>
                <w:szCs w:val="21"/>
              </w:rPr>
            </w:pPr>
            <w:r>
              <w:rPr>
                <w:sz w:val="20"/>
              </w:rPr>
              <w:t>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sz w:val="20"/>
              </w:rPr>
              <w:t>电工工具（标识牌、防撞警示牌）的加工与销售；安全工具柜、登杆脚扣、防鸟刺、隔离栅栏、伞式支架、铝合金梯、伸缩围栏、电力安全工器具、电力金具、铁附件、绝缘手套、绝缘靴的销售所涉及场所的相关职业健康安全管理活动</w:t>
            </w:r>
          </w:p>
        </w:tc>
        <w:tc>
          <w:tcPr>
            <w:tcW w:w="1541" w:type="dxa"/>
            <w:vAlign w:val="center"/>
          </w:tcPr>
          <w:p>
            <w:pPr>
              <w:spacing w:line="400" w:lineRule="exact"/>
              <w:rPr>
                <w:rFonts w:ascii="宋体" w:hAnsi="宋体"/>
                <w:b/>
                <w:color w:val="000000"/>
                <w:szCs w:val="21"/>
              </w:rPr>
            </w:pPr>
            <w:r>
              <w:rPr>
                <w:sz w:val="20"/>
              </w:rPr>
              <w:t>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吉洁</w:t>
      </w:r>
      <w:r>
        <w:rPr>
          <w:rFonts w:ascii="宋体" w:hAnsi="宋体"/>
          <w:b/>
          <w:color w:val="000000"/>
          <w:szCs w:val="21"/>
        </w:rPr>
        <w:t xml:space="preserve">     </w:t>
      </w:r>
    </w:p>
    <w:p>
      <w:pPr>
        <w:ind w:firstLine="4849" w:firstLineChars="23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2022年11月3日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754"/>
        <w:gridCol w:w="2382"/>
        <w:gridCol w:w="1322"/>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542"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8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22"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542"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管理体系手册</w:t>
            </w:r>
            <w:r>
              <w:rPr>
                <w:rFonts w:hint="eastAsia"/>
                <w:color w:val="000000"/>
                <w:sz w:val="21"/>
                <w:szCs w:val="21"/>
                <w:lang w:eastAsia="zh-CN"/>
              </w:rPr>
              <w:t>》</w:t>
            </w:r>
            <w:r>
              <w:rPr>
                <w:rFonts w:hint="eastAsia"/>
                <w:color w:val="000000"/>
                <w:sz w:val="21"/>
                <w:szCs w:val="21"/>
                <w:lang w:val="en-US" w:eastAsia="zh-CN"/>
              </w:rPr>
              <w:t>识别的范围与实际不符</w:t>
            </w:r>
          </w:p>
        </w:tc>
        <w:tc>
          <w:tcPr>
            <w:tcW w:w="2382" w:type="dxa"/>
            <w:vAlign w:val="center"/>
          </w:tcPr>
          <w:p>
            <w:pPr>
              <w:pStyle w:val="8"/>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GB/T19001-2016</w:t>
            </w:r>
          </w:p>
          <w:p>
            <w:pPr>
              <w:pStyle w:val="8"/>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GB/T24001-2016</w:t>
            </w:r>
          </w:p>
          <w:p>
            <w:pPr>
              <w:pStyle w:val="8"/>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GB/T45001-2020</w:t>
            </w:r>
          </w:p>
        </w:tc>
        <w:tc>
          <w:tcPr>
            <w:tcW w:w="1322"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4.3</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4542"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管理体系手册</w:t>
            </w:r>
            <w:r>
              <w:rPr>
                <w:rFonts w:hint="eastAsia"/>
                <w:color w:val="000000"/>
                <w:sz w:val="21"/>
                <w:szCs w:val="21"/>
                <w:lang w:eastAsia="zh-CN"/>
              </w:rPr>
              <w:t>》</w:t>
            </w:r>
            <w:r>
              <w:rPr>
                <w:rFonts w:hint="eastAsia"/>
                <w:color w:val="000000"/>
                <w:sz w:val="21"/>
                <w:szCs w:val="21"/>
                <w:lang w:val="en-US" w:eastAsia="zh-CN"/>
              </w:rPr>
              <w:t>识别的外包过程与实际不符</w:t>
            </w:r>
          </w:p>
        </w:tc>
        <w:tc>
          <w:tcPr>
            <w:tcW w:w="2382" w:type="dxa"/>
            <w:vAlign w:val="center"/>
          </w:tcPr>
          <w:p>
            <w:pPr>
              <w:pStyle w:val="8"/>
              <w:pBdr>
                <w:bottom w:val="none" w:color="auto" w:sz="0" w:space="0"/>
              </w:pBdr>
              <w:ind w:right="600"/>
              <w:jc w:val="both"/>
              <w:rPr>
                <w:color w:val="000000"/>
                <w:sz w:val="21"/>
                <w:szCs w:val="21"/>
              </w:rPr>
            </w:pPr>
            <w:r>
              <w:rPr>
                <w:rFonts w:hint="eastAsia"/>
                <w:color w:val="000000"/>
                <w:sz w:val="21"/>
                <w:szCs w:val="21"/>
                <w:lang w:val="en-US" w:eastAsia="zh-CN"/>
              </w:rPr>
              <w:t>GB/T19001-2016</w:t>
            </w:r>
          </w:p>
        </w:tc>
        <w:tc>
          <w:tcPr>
            <w:tcW w:w="1322"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8.4.1</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3</w:t>
            </w:r>
          </w:p>
        </w:tc>
        <w:tc>
          <w:tcPr>
            <w:tcW w:w="4542"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管理体系手册</w:t>
            </w:r>
            <w:r>
              <w:rPr>
                <w:rFonts w:hint="eastAsia"/>
                <w:color w:val="000000"/>
                <w:sz w:val="21"/>
                <w:szCs w:val="21"/>
                <w:lang w:eastAsia="zh-CN"/>
              </w:rPr>
              <w:t>》</w:t>
            </w:r>
            <w:r>
              <w:rPr>
                <w:rFonts w:hint="eastAsia"/>
                <w:color w:val="000000"/>
                <w:sz w:val="21"/>
                <w:szCs w:val="21"/>
                <w:lang w:val="en-US" w:eastAsia="zh-CN"/>
              </w:rPr>
              <w:t>识别的关键过程与实际不符</w:t>
            </w:r>
          </w:p>
        </w:tc>
        <w:tc>
          <w:tcPr>
            <w:tcW w:w="2382" w:type="dxa"/>
            <w:vAlign w:val="center"/>
          </w:tcPr>
          <w:p>
            <w:pPr>
              <w:pStyle w:val="8"/>
              <w:pBdr>
                <w:bottom w:val="none" w:color="auto" w:sz="0" w:space="0"/>
              </w:pBdr>
              <w:ind w:right="600"/>
              <w:jc w:val="both"/>
              <w:rPr>
                <w:color w:val="000000"/>
                <w:sz w:val="21"/>
                <w:szCs w:val="21"/>
              </w:rPr>
            </w:pPr>
            <w:r>
              <w:rPr>
                <w:rFonts w:hint="eastAsia"/>
                <w:color w:val="000000"/>
                <w:sz w:val="21"/>
                <w:szCs w:val="21"/>
                <w:lang w:val="en-US" w:eastAsia="zh-CN"/>
              </w:rPr>
              <w:t>GB/T19001-2016</w:t>
            </w:r>
          </w:p>
        </w:tc>
        <w:tc>
          <w:tcPr>
            <w:tcW w:w="1322"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8.5.1</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4542"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提供的流程图与实际不符</w:t>
            </w:r>
          </w:p>
        </w:tc>
        <w:tc>
          <w:tcPr>
            <w:tcW w:w="2382" w:type="dxa"/>
            <w:vAlign w:val="center"/>
          </w:tcPr>
          <w:p>
            <w:pPr>
              <w:pStyle w:val="8"/>
              <w:pBdr>
                <w:bottom w:val="none" w:color="auto" w:sz="0" w:space="0"/>
              </w:pBdr>
              <w:ind w:right="600"/>
              <w:jc w:val="both"/>
              <w:rPr>
                <w:color w:val="000000"/>
                <w:sz w:val="21"/>
                <w:szCs w:val="21"/>
              </w:rPr>
            </w:pPr>
            <w:r>
              <w:rPr>
                <w:rFonts w:hint="eastAsia"/>
                <w:color w:val="000000"/>
                <w:sz w:val="21"/>
                <w:szCs w:val="21"/>
                <w:lang w:val="en-US" w:eastAsia="zh-CN"/>
              </w:rPr>
              <w:t>GB/T19001-2016</w:t>
            </w:r>
          </w:p>
        </w:tc>
        <w:tc>
          <w:tcPr>
            <w:tcW w:w="1322"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李昊泽</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018F27FA"/>
    <w:rsid w:val="0D1C7D1F"/>
    <w:rsid w:val="264D4DE2"/>
    <w:rsid w:val="2A9C3D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rPr>
      <w:sz w:val="28"/>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 w:type="paragraph" w:customStyle="1" w:styleId="26">
    <w:name w:val="无间隔1"/>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10</TotalTime>
  <ScaleCrop>false</ScaleCrop>
  <LinksUpToDate>false</LinksUpToDate>
  <CharactersWithSpaces>9461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2022-11-05T03:54:38Z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2052-11.1.0.12598</vt:lpwstr>
  </property>
</Properties>
</file>