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0694-2022-QEO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重庆缔美物业服务有限公司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重庆缔美物业服务有限公司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重庆市九龙坡区石桥铺渝州路33-25-10-2号</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重庆市渝北区东湖南路力帆时代2幢6-3</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文小波</w:t>
            </w:r>
            <w:bookmarkEnd w:id="10"/>
          </w:p>
        </w:tc>
        <w:tc>
          <w:tcPr>
            <w:tcW w:w="1313" w:type="dxa"/>
            <w:vAlign w:val="center"/>
          </w:tcPr>
          <w:p>
            <w:r>
              <w:rPr>
                <w:rFonts w:hint="eastAsia"/>
              </w:rPr>
              <w:t>电话.</w:t>
            </w:r>
          </w:p>
        </w:tc>
        <w:tc>
          <w:tcPr>
            <w:tcW w:w="2180" w:type="dxa"/>
            <w:vAlign w:val="center"/>
          </w:tcPr>
          <w:p>
            <w:bookmarkStart w:id="11" w:name="联系人电话"/>
            <w:r>
              <w:t>17815137137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田茜</w:t>
            </w:r>
            <w:bookmarkEnd w:id="13"/>
          </w:p>
        </w:tc>
        <w:tc>
          <w:tcPr>
            <w:tcW w:w="1313" w:type="dxa"/>
            <w:vAlign w:val="center"/>
          </w:tcPr>
          <w:p>
            <w:r>
              <w:rPr>
                <w:rFonts w:hint="eastAsia"/>
              </w:rPr>
              <w:t>管理者代表</w:t>
            </w:r>
          </w:p>
        </w:tc>
        <w:tc>
          <w:tcPr>
            <w:tcW w:w="2180" w:type="dxa"/>
          </w:tcPr>
          <w:p>
            <w:bookmarkStart w:id="14" w:name="管理者代表"/>
            <w:r>
              <w:t>文小波</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hAnsi="宋体"/>
                <w:color w:val="auto"/>
                <w:szCs w:val="21"/>
              </w:rPr>
              <w:t>收集招标信息—评标（合同评审）--签订合同--物业交接—提供物业管理服务—物业管理服务管理检查评价—持续改进</w:t>
            </w:r>
            <w:r>
              <w:rPr>
                <w:rFonts w:hint="eastAsia" w:ascii="宋体" w:hAnsi="宋体"/>
                <w:color w:val="FF0000"/>
                <w:szCs w:val="21"/>
              </w:rPr>
              <w:t>。</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2022年11月01日 上午至2022年11月02日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□结合审核   </w:t>
            </w:r>
            <w:r>
              <w:rPr>
                <w:rFonts w:hint="eastAsia"/>
                <w:lang w:eastAsia="zh-CN"/>
              </w:rPr>
              <w:t>■</w:t>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vAlign w:val="top"/>
          </w:tcPr>
          <w:p>
            <w:r>
              <w:rPr>
                <w:rFonts w:hint="eastAsia"/>
              </w:rPr>
              <w:t xml:space="preserve">■初审二阶段  □监督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sz w:val="21"/>
                <w:szCs w:val="21"/>
              </w:rPr>
              <w:t>重庆市渝北区东湖南路力帆时代2幢6-3</w:t>
            </w:r>
            <w:r>
              <w:rPr>
                <w:rFonts w:hint="eastAsia"/>
                <w:sz w:val="21"/>
                <w:szCs w:val="21"/>
                <w:lang w:val="en-US" w:eastAsia="zh-CN"/>
              </w:rPr>
              <w:t>/</w:t>
            </w:r>
            <w:r>
              <w:rPr>
                <w:rFonts w:hint="eastAsia" w:ascii="宋体" w:hAnsi="宋体"/>
                <w:color w:val="000000"/>
                <w:sz w:val="21"/>
              </w:rPr>
              <w:t>重庆市江北区西城大道西大街27好平安财富中心B座16、17层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4" w:name="审核范围"/>
            <w:r>
              <w:t>Q：物业管理服务</w:t>
            </w:r>
          </w:p>
          <w:p>
            <w:r>
              <w:t>E：物业管理服务所涉及场所的相关环境管理活动</w:t>
            </w:r>
          </w:p>
          <w:p>
            <w:r>
              <w:t>O：物业管理服务所涉及场所的相关职业健康安全管理活动</w:t>
            </w:r>
            <w:bookmarkEnd w:id="24"/>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5" w:name="专业代码"/>
            <w:r>
              <w:t>Q：35.15.00</w:t>
            </w:r>
          </w:p>
          <w:p>
            <w:r>
              <w:t>E：35.15.00</w:t>
            </w:r>
          </w:p>
          <w:p>
            <w:r>
              <w:t>O：35.15.00</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vAlign w:val="top"/>
          </w:tcPr>
          <w:p>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rPr>
              <w:t xml:space="preserve">    </w:t>
            </w:r>
            <w:r>
              <w:rPr>
                <w:rFonts w:hint="eastAsia"/>
                <w:u w:val="single"/>
              </w:rPr>
              <w:t xml:space="preserve"> </w:t>
            </w:r>
            <w:r>
              <w:rPr>
                <w:rFonts w:hint="eastAsia"/>
                <w:color w:val="000000"/>
                <w:szCs w:val="18"/>
                <w:u w:val="single"/>
                <w:lang w:val="en-US" w:eastAsia="zh-CN"/>
              </w:rPr>
              <w:t>2021</w:t>
            </w:r>
            <w:r>
              <w:rPr>
                <w:rFonts w:hint="eastAsia"/>
                <w:color w:val="000000"/>
                <w:szCs w:val="18"/>
                <w:u w:val="single"/>
              </w:rPr>
              <w:t>年</w:t>
            </w:r>
            <w:r>
              <w:rPr>
                <w:rFonts w:hint="eastAsia"/>
                <w:color w:val="000000"/>
                <w:szCs w:val="18"/>
                <w:u w:val="single"/>
                <w:lang w:val="en-US" w:eastAsia="zh-CN"/>
              </w:rPr>
              <w:t>12</w:t>
            </w:r>
            <w:r>
              <w:rPr>
                <w:rFonts w:hint="eastAsia"/>
                <w:color w:val="000000"/>
                <w:szCs w:val="18"/>
                <w:u w:val="single"/>
              </w:rPr>
              <w:t>月</w:t>
            </w:r>
            <w:r>
              <w:rPr>
                <w:rFonts w:hint="eastAsia"/>
                <w:color w:val="000000"/>
                <w:szCs w:val="18"/>
                <w:u w:val="single"/>
                <w:lang w:val="en-US" w:eastAsia="zh-CN"/>
              </w:rPr>
              <w:t>26</w:t>
            </w:r>
            <w:r>
              <w:rPr>
                <w:rFonts w:hint="eastAsia"/>
                <w:color w:val="000000"/>
                <w:szCs w:val="18"/>
                <w:u w:val="single"/>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628"/>
        <w:gridCol w:w="184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628" w:type="dxa"/>
            <w:shd w:val="clear" w:color="auto" w:fill="F3F3F3"/>
            <w:tcMar>
              <w:left w:w="57" w:type="dxa"/>
              <w:right w:w="57" w:type="dxa"/>
            </w:tcMar>
          </w:tcPr>
          <w:p>
            <w:r>
              <w:rPr>
                <w:rFonts w:hint="eastAsia"/>
              </w:rPr>
              <w:t>审核范围（产品和过程）</w:t>
            </w:r>
          </w:p>
          <w:p/>
          <w:p/>
        </w:tc>
        <w:tc>
          <w:tcPr>
            <w:tcW w:w="1844"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lang w:val="de-DE" w:eastAsia="ja-JP"/>
              </w:rPr>
            </w:pPr>
            <w:r>
              <w:rPr>
                <w:sz w:val="21"/>
                <w:szCs w:val="21"/>
              </w:rPr>
              <w:t>重庆缔美物业服务有限公司</w:t>
            </w:r>
            <w:r>
              <w:rPr>
                <w:rFonts w:hint="eastAsia"/>
                <w:sz w:val="21"/>
                <w:szCs w:val="21"/>
                <w:lang w:val="en-US" w:eastAsia="zh-CN"/>
              </w:rPr>
              <w:t>/</w:t>
            </w:r>
            <w:r>
              <w:rPr>
                <w:sz w:val="21"/>
                <w:szCs w:val="21"/>
              </w:rPr>
              <w:t>重庆市九龙坡区石桥铺渝州路33-25-10-2号</w:t>
            </w:r>
          </w:p>
        </w:tc>
        <w:tc>
          <w:tcPr>
            <w:tcW w:w="2267" w:type="dxa"/>
            <w:vAlign w:val="top"/>
          </w:tcPr>
          <w:p>
            <w:pPr>
              <w:spacing w:before="40" w:after="40"/>
              <w:rPr>
                <w:lang w:val="de-DE" w:eastAsia="ja-JP"/>
              </w:rPr>
            </w:pPr>
            <w:r>
              <w:rPr>
                <w:sz w:val="21"/>
                <w:szCs w:val="21"/>
              </w:rPr>
              <w:t>重庆市渝北区东湖南路力帆时代2幢6-3</w:t>
            </w:r>
            <w:r>
              <w:rPr>
                <w:rFonts w:hint="eastAsia"/>
                <w:sz w:val="21"/>
                <w:szCs w:val="21"/>
                <w:lang w:val="en-US" w:eastAsia="zh-CN"/>
              </w:rPr>
              <w:t>/</w:t>
            </w:r>
            <w:r>
              <w:rPr>
                <w:rFonts w:hint="eastAsia" w:ascii="宋体" w:hAnsi="宋体"/>
                <w:color w:val="000000"/>
                <w:sz w:val="21"/>
              </w:rPr>
              <w:t>重庆市江北区西城大道西大街27好平安财富中心B座16、17层</w:t>
            </w:r>
          </w:p>
        </w:tc>
        <w:tc>
          <w:tcPr>
            <w:tcW w:w="571" w:type="dxa"/>
            <w:vAlign w:val="center"/>
          </w:tcPr>
          <w:p>
            <w:pPr>
              <w:spacing w:before="40" w:after="40"/>
              <w:rPr>
                <w:lang w:eastAsia="ja-JP"/>
              </w:rPr>
            </w:pPr>
            <w:r>
              <w:rPr>
                <w:rFonts w:hint="eastAsia" w:eastAsia="黑体"/>
                <w:szCs w:val="21"/>
                <w:lang w:val="en-US" w:eastAsia="zh-CN"/>
              </w:rPr>
              <w:t>23</w:t>
            </w:r>
          </w:p>
        </w:tc>
        <w:tc>
          <w:tcPr>
            <w:tcW w:w="1628" w:type="dxa"/>
            <w:vAlign w:val="center"/>
          </w:tcPr>
          <w:p>
            <w:pPr>
              <w:pStyle w:val="21"/>
              <w:rPr>
                <w:lang w:eastAsia="ja-JP"/>
              </w:rPr>
            </w:pPr>
            <w:r>
              <w:t>物业管理服务</w:t>
            </w:r>
          </w:p>
        </w:tc>
        <w:tc>
          <w:tcPr>
            <w:tcW w:w="1844" w:type="dxa"/>
            <w:vAlign w:val="center"/>
          </w:tcPr>
          <w:p>
            <w:pPr>
              <w:spacing w:before="40" w:after="40"/>
              <w:rPr>
                <w:rFonts w:hint="eastAsia" w:ascii="Times New Roman" w:hAnsi="Times New Roman" w:cs="Times New Roman"/>
                <w:kern w:val="2"/>
                <w:sz w:val="20"/>
                <w:szCs w:val="20"/>
                <w:lang w:val="en-US" w:eastAsia="zh-CN" w:bidi="ar-SA"/>
              </w:rPr>
            </w:pPr>
            <w:r>
              <w:rPr>
                <w:rFonts w:hint="eastAsia" w:ascii="Times New Roman" w:hAnsi="Times New Roman" w:eastAsia="Times New Roman" w:cs="Times New Roman"/>
                <w:kern w:val="2"/>
                <w:sz w:val="20"/>
                <w:szCs w:val="20"/>
                <w:lang w:val="en-GB" w:eastAsia="de-DE" w:bidi="ar-SA"/>
              </w:rPr>
              <w:t>GB/T19001-2016</w:t>
            </w:r>
            <w:r>
              <w:rPr>
                <w:rFonts w:hint="eastAsia" w:ascii="Times New Roman" w:hAnsi="Times New Roman" w:cs="Times New Roman"/>
                <w:kern w:val="2"/>
                <w:sz w:val="20"/>
                <w:szCs w:val="20"/>
                <w:lang w:val="en-US" w:eastAsia="zh-CN" w:bidi="ar-SA"/>
              </w:rPr>
              <w:t>；</w:t>
            </w:r>
          </w:p>
          <w:p>
            <w:pPr>
              <w:spacing w:before="40" w:after="40"/>
              <w:rPr>
                <w:lang w:eastAsia="ja-JP"/>
              </w:rPr>
            </w:pPr>
            <w:r>
              <w:rPr>
                <w:rFonts w:hint="eastAsia" w:ascii="Times New Roman" w:hAnsi="Times New Roman" w:eastAsia="Times New Roman" w:cs="Times New Roman"/>
                <w:kern w:val="2"/>
                <w:sz w:val="20"/>
                <w:szCs w:val="20"/>
                <w:lang w:val="en-GB" w:eastAsia="de-DE" w:bidi="ar-SA"/>
              </w:rPr>
              <w:t>GB/T24001-2016</w:t>
            </w:r>
            <w:r>
              <w:rPr>
                <w:rFonts w:hint="eastAsia" w:ascii="Times New Roman" w:hAnsi="Times New Roman" w:cs="Times New Roman"/>
                <w:kern w:val="2"/>
                <w:sz w:val="20"/>
                <w:szCs w:val="20"/>
                <w:lang w:val="en-US" w:eastAsia="zh-CN" w:bidi="ar-SA"/>
              </w:rPr>
              <w:t>；</w:t>
            </w:r>
            <w:r>
              <w:rPr>
                <w:rFonts w:hint="eastAsia" w:ascii="Times New Roman" w:hAnsi="Times New Roman" w:eastAsia="Times New Roman" w:cs="Times New Roman"/>
                <w:kern w:val="2"/>
                <w:sz w:val="20"/>
                <w:szCs w:val="20"/>
                <w:lang w:val="en-GB" w:eastAsia="de-DE" w:bidi="ar-SA"/>
              </w:rPr>
              <w:t>GB/T45001-2020</w:t>
            </w:r>
            <w:r>
              <w:rPr>
                <w:rFonts w:hint="eastAsia" w:ascii="Times New Roman" w:hAnsi="Times New Roman" w:cs="Times New Roman"/>
                <w:kern w:val="2"/>
                <w:sz w:val="20"/>
                <w:szCs w:val="20"/>
                <w:lang w:val="en-GB" w:eastAsia="zh-CN" w:bidi="ar-SA"/>
              </w:rPr>
              <w:t>。</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黑体" w:hAnsi="黑体" w:eastAsia="黑体" w:cs="黑体"/>
                    <w:szCs w:val="21"/>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628" w:type="dxa"/>
            <w:vAlign w:val="center"/>
          </w:tcPr>
          <w:p>
            <w:pPr>
              <w:rPr>
                <w:lang w:eastAsia="ja-JP"/>
              </w:rPr>
            </w:pPr>
          </w:p>
        </w:tc>
        <w:tc>
          <w:tcPr>
            <w:tcW w:w="1844"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628" w:type="dxa"/>
            <w:vAlign w:val="center"/>
          </w:tcPr>
          <w:p>
            <w:pPr>
              <w:rPr>
                <w:lang w:eastAsia="ja-JP"/>
              </w:rPr>
            </w:pPr>
          </w:p>
        </w:tc>
        <w:tc>
          <w:tcPr>
            <w:tcW w:w="1844"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628" w:type="dxa"/>
            <w:vAlign w:val="center"/>
          </w:tcPr>
          <w:p>
            <w:pPr>
              <w:rPr>
                <w:lang w:eastAsia="ja-JP"/>
              </w:rPr>
            </w:pPr>
          </w:p>
        </w:tc>
        <w:tc>
          <w:tcPr>
            <w:tcW w:w="1844"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628" w:type="dxa"/>
            <w:vAlign w:val="center"/>
          </w:tcPr>
          <w:p>
            <w:pPr>
              <w:rPr>
                <w:lang w:eastAsia="ja-JP"/>
              </w:rPr>
            </w:pPr>
          </w:p>
        </w:tc>
        <w:tc>
          <w:tcPr>
            <w:tcW w:w="1844"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Q:35.15.00</w:t>
            </w:r>
          </w:p>
          <w:p>
            <w:r>
              <w:t>E:35.15.00</w:t>
            </w:r>
          </w:p>
          <w:p>
            <w: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r>
              <w:t>E:35.15.00</w:t>
            </w:r>
          </w:p>
          <w:p>
            <w: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 xml:space="preserve">QMS □EcMS </w:t>
      </w:r>
      <w:r>
        <w:rPr>
          <w:rFonts w:hint="eastAsia"/>
          <w:lang w:eastAsia="zh-CN"/>
        </w:rPr>
        <w:t>■</w:t>
      </w:r>
      <w:r>
        <w:rPr>
          <w:rFonts w:hint="eastAsia"/>
        </w:rPr>
        <w:t xml:space="preserve">EMS </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rPr>
              <w:t>一阶段审核发现的</w:t>
            </w:r>
            <w:r>
              <w:rPr>
                <w:rFonts w:hint="eastAsia"/>
                <w:szCs w:val="21"/>
              </w:rPr>
              <w:t>不能提供</w:t>
            </w:r>
            <w:r>
              <w:rPr>
                <w:rFonts w:hint="eastAsia"/>
                <w:szCs w:val="21"/>
                <w:lang w:val="en-US" w:eastAsia="zh-CN"/>
              </w:rPr>
              <w:t>万用表的</w:t>
            </w:r>
            <w:r>
              <w:rPr>
                <w:rFonts w:hint="eastAsia"/>
                <w:szCs w:val="21"/>
              </w:rPr>
              <w:t>有效校准证书。</w:t>
            </w:r>
            <w:r>
              <w:rPr>
                <w:rFonts w:hint="eastAsia"/>
              </w:rPr>
              <w:t>未能完成整改，已开具不符合项报告，需整改。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lang w:eastAsia="zh-CN"/>
              </w:rPr>
              <w:t>□</w:t>
            </w: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0</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0</w:t>
            </w:r>
          </w:p>
        </w:tc>
        <w:tc>
          <w:tcPr>
            <w:tcW w:w="156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0</w:t>
            </w:r>
          </w:p>
        </w:tc>
        <w:tc>
          <w:tcPr>
            <w:tcW w:w="2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lang w:eastAsia="zh-CN"/>
              </w:rPr>
              <w:t>□</w:t>
            </w:r>
            <w:r>
              <w:rPr>
                <w:rFonts w:hint="eastAsia"/>
                <w:highlight w:val="none"/>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6" w:name="Q勾选Add2"/>
            <w:r>
              <w:rPr>
                <w:rFonts w:hint="eastAsia"/>
              </w:rPr>
              <w:t>■</w:t>
            </w:r>
            <w:bookmarkEnd w:id="26"/>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7" w:name="E勾选Add2"/>
            <w:r>
              <w:rPr>
                <w:rFonts w:hint="eastAsia"/>
              </w:rPr>
              <w:t>■</w:t>
            </w:r>
            <w:bookmarkEnd w:id="27"/>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S勾选Add2"/>
            <w:r>
              <w:rPr>
                <w:rFonts w:hint="eastAsia"/>
              </w:rPr>
              <w:t>■</w:t>
            </w:r>
            <w:bookmarkEnd w:id="28"/>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hint="eastAsia" w:ascii="宋体" w:hAnsi="宋体" w:cs="宋体"/>
                <w:color w:val="000000"/>
                <w:kern w:val="0"/>
                <w:szCs w:val="21"/>
              </w:rPr>
              <w:t>物业管理服务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rFonts w:hint="eastAsia" w:ascii="宋体" w:hAnsi="宋体" w:cs="宋体"/>
                <w:color w:val="000000"/>
                <w:kern w:val="0"/>
                <w:szCs w:val="21"/>
              </w:rPr>
              <w:t>物业管理服务所涉及场所的相关环境管理活动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rFonts w:hint="eastAsia" w:ascii="宋体" w:hAnsi="宋体" w:cs="宋体"/>
                <w:color w:val="000000"/>
                <w:kern w:val="0"/>
                <w:szCs w:val="21"/>
              </w:rPr>
              <w:t>物业管理服务所涉及场所的相关职业健康安全管理活动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 xml:space="preserve">□中止审核  □终止审核  </w:t>
            </w:r>
            <w:r>
              <w:rPr>
                <w:rFonts w:hint="eastAsia" w:ascii="宋体"/>
                <w:b/>
                <w:color w:val="0000FF"/>
                <w:szCs w:val="21"/>
                <w:lang w:eastAsia="zh-CN"/>
              </w:rPr>
              <w:t>□</w:t>
            </w:r>
            <w:r>
              <w:rPr>
                <w:rFonts w:hint="eastAsia" w:ascii="宋体"/>
                <w:b/>
                <w:color w:val="0000FF"/>
                <w:szCs w:val="21"/>
              </w:rPr>
              <w:t>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438150</wp:posOffset>
                  </wp:positionH>
                  <wp:positionV relativeFrom="paragraph">
                    <wp:posOffset>117475</wp:posOffset>
                  </wp:positionV>
                  <wp:extent cx="812800" cy="400050"/>
                  <wp:effectExtent l="0" t="0" r="6350" b="0"/>
                  <wp:wrapNone/>
                  <wp:docPr id="2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lang w:val="en-US" w:eastAsia="zh-CN"/>
              </w:rPr>
              <w:t>2022年11月2日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jc w:val="both"/>
              <w:rPr>
                <w:rFonts w:hint="eastAsia" w:ascii="宋体" w:hAnsi="宋体" w:eastAsia="宋体" w:cs="宋体"/>
                <w:color w:val="000000"/>
                <w:sz w:val="21"/>
                <w:szCs w:val="21"/>
                <w:lang w:eastAsia="zh-CN"/>
              </w:rPr>
            </w:pPr>
            <w:r>
              <w:rPr>
                <w:rFonts w:hint="eastAsia"/>
              </w:rPr>
              <w:t>最高管理者制定了文件化的管理体系方针：</w:t>
            </w:r>
            <w:r>
              <w:rPr>
                <w:rFonts w:hint="eastAsia" w:ascii="Times New Roman" w:hAnsi="Times New Roman" w:eastAsia="宋体" w:cs="Times New Roman"/>
                <w:color w:val="000000"/>
                <w:szCs w:val="18"/>
                <w:lang w:eastAsia="zh-CN"/>
              </w:rPr>
              <w:t>“</w:t>
            </w:r>
            <w:r>
              <w:rPr>
                <w:rFonts w:hint="eastAsia" w:ascii="Times New Roman" w:hAnsi="Times New Roman" w:eastAsia="宋体" w:cs="Times New Roman"/>
                <w:color w:val="000000"/>
                <w:szCs w:val="18"/>
              </w:rPr>
              <w:t>优质服务　环境舒适  各方满意　持续发展</w:t>
            </w:r>
            <w:r>
              <w:rPr>
                <w:rFonts w:hint="eastAsia" w:ascii="Times New Roman" w:hAnsi="Times New Roman" w:eastAsia="宋体" w:cs="Times New Roman"/>
                <w:color w:val="000000"/>
                <w:szCs w:val="18"/>
                <w:lang w:eastAsia="zh-CN"/>
              </w:rPr>
              <w:t>”。</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项目部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360" w:lineRule="auto"/>
                    <w:rPr>
                      <w:highlight w:val="none"/>
                    </w:rPr>
                  </w:pPr>
                  <w:r>
                    <w:rPr>
                      <w:rFonts w:hint="eastAsia" w:ascii="Times New Roman" w:hAnsi="Times New Roman" w:eastAsia="宋体" w:cs="Times New Roman"/>
                      <w:szCs w:val="24"/>
                      <w:highlight w:val="none"/>
                      <w:lang w:eastAsia="zh-CN"/>
                    </w:rPr>
                    <w:t>顾客满意率达85分以上</w:t>
                  </w:r>
                </w:p>
              </w:tc>
              <w:tc>
                <w:tcPr>
                  <w:tcW w:w="3136" w:type="dxa"/>
                  <w:shd w:val="clear" w:color="auto" w:fill="auto"/>
                  <w:vAlign w:val="center"/>
                </w:tcPr>
                <w:p>
                  <w:pPr>
                    <w:shd w:val="clear" w:color="auto" w:fill="C7DAF1" w:themeFill="text2" w:themeFillTint="32"/>
                    <w:rPr>
                      <w:highlight w:val="none"/>
                      <w:lang w:val="en-GB"/>
                    </w:rPr>
                  </w:pPr>
                  <w:r>
                    <w:rPr>
                      <w:rFonts w:hint="eastAsia" w:ascii="宋体" w:hAnsi="宋体"/>
                      <w:szCs w:val="21"/>
                      <w:highlight w:val="none"/>
                      <w:lang w:val="en-US" w:eastAsia="zh-CN"/>
                    </w:rPr>
                    <w:t>客户满意度平均分数</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客服部</w:t>
                  </w:r>
                </w:p>
              </w:tc>
              <w:tc>
                <w:tcPr>
                  <w:tcW w:w="1774" w:type="dxa"/>
                  <w:shd w:val="clear" w:color="auto" w:fill="auto"/>
                  <w:vAlign w:val="center"/>
                </w:tcPr>
                <w:p>
                  <w:pPr>
                    <w:shd w:val="clear" w:color="auto" w:fill="C7DAF1" w:themeFill="text2" w:themeFillTint="32"/>
                    <w:jc w:val="center"/>
                    <w:rPr>
                      <w:rFonts w:hint="default" w:ascii="宋体" w:hAnsi="宋体" w:eastAsia="宋体"/>
                      <w:highlight w:val="none"/>
                      <w:lang w:val="en-US" w:eastAsia="zh-CN"/>
                    </w:rPr>
                  </w:pPr>
                  <w:r>
                    <w:rPr>
                      <w:rFonts w:hint="eastAsia" w:ascii="宋体" w:hAnsi="宋体"/>
                      <w:highlight w:val="none"/>
                      <w:lang w:val="en-US" w:eastAsia="zh-CN"/>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none"/>
                    </w:rPr>
                  </w:pPr>
                  <w:r>
                    <w:rPr>
                      <w:rFonts w:hint="eastAsia" w:ascii="Times New Roman" w:hAnsi="Times New Roman" w:eastAsia="宋体" w:cs="Times New Roman"/>
                      <w:szCs w:val="24"/>
                      <w:highlight w:val="none"/>
                      <w:lang w:eastAsia="zh-CN"/>
                    </w:rPr>
                    <w:t xml:space="preserve">顾客投诉处理及时率达100% </w:t>
                  </w:r>
                </w:p>
              </w:tc>
              <w:tc>
                <w:tcPr>
                  <w:tcW w:w="3136" w:type="dxa"/>
                  <w:shd w:val="clear" w:color="auto" w:fill="auto"/>
                  <w:vAlign w:val="center"/>
                </w:tcPr>
                <w:p>
                  <w:pPr>
                    <w:shd w:val="clear" w:color="auto" w:fill="C7DAF1" w:themeFill="text2" w:themeFillTint="32"/>
                    <w:rPr>
                      <w:rFonts w:ascii="宋体" w:hAnsi="宋体"/>
                      <w:highlight w:val="none"/>
                    </w:rPr>
                  </w:pPr>
                  <w:r>
                    <w:rPr>
                      <w:rFonts w:hint="eastAsia" w:ascii="宋体" w:hAnsi="宋体"/>
                      <w:highlight w:val="none"/>
                    </w:rPr>
                    <w:t>顾客投诉到解决问题不超过1小时</w:t>
                  </w:r>
                </w:p>
              </w:tc>
              <w:tc>
                <w:tcPr>
                  <w:tcW w:w="1350"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int="eastAsia" w:ascii="宋体" w:hAnsi="宋体"/>
                      <w:highlight w:val="none"/>
                      <w:lang w:val="en-US" w:eastAsia="zh-CN"/>
                    </w:rPr>
                    <w:t>项目部</w:t>
                  </w:r>
                </w:p>
              </w:tc>
              <w:tc>
                <w:tcPr>
                  <w:tcW w:w="1774" w:type="dxa"/>
                  <w:shd w:val="clear" w:color="auto" w:fill="auto"/>
                  <w:vAlign w:val="center"/>
                </w:tcPr>
                <w:p>
                  <w:pPr>
                    <w:shd w:val="clear" w:color="auto" w:fill="C7DAF1" w:themeFill="text2" w:themeFillTint="32"/>
                    <w:jc w:val="center"/>
                    <w:rPr>
                      <w:rFonts w:hint="default" w:ascii="宋体" w:hAnsi="宋体" w:eastAsia="宋体"/>
                      <w:highlight w:val="none"/>
                      <w:lang w:val="en-US" w:eastAsia="zh-CN"/>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none"/>
                    </w:rPr>
                  </w:pPr>
                </w:p>
              </w:tc>
              <w:tc>
                <w:tcPr>
                  <w:tcW w:w="3136" w:type="dxa"/>
                  <w:shd w:val="clear" w:color="auto" w:fill="auto"/>
                  <w:vAlign w:val="center"/>
                </w:tcPr>
                <w:p>
                  <w:pPr>
                    <w:shd w:val="clear" w:color="auto" w:fill="C7DAF1" w:themeFill="text2" w:themeFillTint="32"/>
                    <w:rPr>
                      <w:rFonts w:ascii="宋体" w:hAnsi="宋体"/>
                      <w:highlight w:val="none"/>
                    </w:rPr>
                  </w:pP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none"/>
                      <w:lang w:val="en-US" w:eastAsia="zh-CN" w:bidi="ar-SA"/>
                    </w:rPr>
                  </w:pP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highlight w:val="none"/>
                <w:u w:val="single"/>
              </w:rPr>
              <w:t xml:space="preserve"> </w:t>
            </w:r>
            <w:r>
              <w:rPr>
                <w:rFonts w:hint="eastAsia"/>
                <w:highlight w:val="none"/>
                <w:u w:val="single"/>
                <w:lang w:val="en-US" w:eastAsia="zh-CN"/>
              </w:rPr>
              <w:t>500</w:t>
            </w:r>
            <w:r>
              <w:rPr>
                <w:rFonts w:hint="eastAsia"/>
                <w:highlight w:val="none"/>
                <w:u w:val="single"/>
              </w:rPr>
              <w:t xml:space="preserve"> </w:t>
            </w:r>
            <w:r>
              <w:rPr>
                <w:rFonts w:hint="eastAsia"/>
                <w:highlight w:val="none"/>
              </w:rPr>
              <w:t>平方米；</w:t>
            </w:r>
            <w:r>
              <w:rPr>
                <w:rFonts w:hint="eastAsia"/>
                <w:highlight w:val="none"/>
                <w:lang w:val="en-US" w:eastAsia="zh-CN"/>
              </w:rPr>
              <w:t>办公区</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rFonts w:hint="eastAsia" w:ascii="宋体" w:hAnsi="宋体" w:eastAsia="宋体" w:cs="宋体"/>
                <w:kern w:val="0"/>
                <w:sz w:val="21"/>
                <w:szCs w:val="21"/>
                <w:lang w:eastAsia="zh-CN"/>
              </w:rPr>
            </w:pPr>
            <w:r>
              <w:rPr>
                <w:rFonts w:hint="eastAsia"/>
              </w:rPr>
              <w:t>主要生产设备有：</w:t>
            </w:r>
            <w:r>
              <w:rPr>
                <w:rFonts w:ascii="宋体" w:hAnsi="宋体" w:cs="宋体"/>
                <w:kern w:val="0"/>
                <w:sz w:val="21"/>
                <w:szCs w:val="21"/>
                <w:highlight w:val="none"/>
                <w:u w:val="single"/>
              </w:rPr>
              <w:t>电脑、打印机和</w:t>
            </w:r>
            <w:r>
              <w:rPr>
                <w:rFonts w:hint="eastAsia"/>
                <w:highlight w:val="none"/>
                <w:u w:val="single"/>
              </w:rPr>
              <w:t>保洁工具（垃圾桶、扫帚、拖把）、安保工具(对讲机、</w:t>
            </w:r>
            <w:r>
              <w:rPr>
                <w:rFonts w:hint="eastAsia"/>
                <w:highlight w:val="none"/>
                <w:u w:val="single"/>
                <w:lang w:val="en-US" w:eastAsia="zh-CN"/>
              </w:rPr>
              <w:t>手电筒</w:t>
            </w:r>
            <w:r>
              <w:rPr>
                <w:rFonts w:hint="eastAsia"/>
                <w:highlight w:val="none"/>
                <w:u w:val="single"/>
              </w:rPr>
              <w:t>等)、维修设备（电锤、手枪钻、疏通器</w:t>
            </w:r>
            <w:r>
              <w:rPr>
                <w:rFonts w:hint="eastAsia"/>
                <w:highlight w:val="none"/>
                <w:u w:val="single"/>
                <w:lang w:eastAsia="zh-CN"/>
              </w:rPr>
              <w:t>）</w:t>
            </w:r>
            <w:r>
              <w:rPr>
                <w:rFonts w:hint="eastAsia"/>
                <w:highlight w:val="none"/>
                <w:u w:val="single"/>
                <w:lang w:val="en-US" w:eastAsia="zh-CN"/>
              </w:rPr>
              <w:t>和万用表检测设备</w:t>
            </w:r>
            <w:r>
              <w:rPr>
                <w:rFonts w:hint="eastAsia" w:ascii="宋体" w:hAnsi="宋体" w:cs="宋体"/>
                <w:kern w:val="0"/>
                <w:sz w:val="21"/>
                <w:szCs w:val="21"/>
                <w:highlight w:val="none"/>
                <w:u w:val="single"/>
                <w:lang w:eastAsia="zh-CN"/>
              </w:rPr>
              <w:t>。</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highlight w:val="none"/>
                <w:u w:val="single"/>
              </w:rPr>
            </w:pPr>
            <w:r>
              <w:rPr>
                <w:rFonts w:hint="eastAsia"/>
              </w:rPr>
              <w:t>国家强检的</w:t>
            </w:r>
            <w:r>
              <w:rPr>
                <w:rFonts w:hint="eastAsia"/>
                <w:highlight w:val="none"/>
              </w:rPr>
              <w:t>计量器具有：</w:t>
            </w:r>
            <w:r>
              <w:rPr>
                <w:rFonts w:hint="eastAsia" w:ascii="宋体"/>
                <w:color w:val="000000"/>
                <w:sz w:val="21"/>
                <w:szCs w:val="21"/>
                <w:highlight w:val="none"/>
                <w:u w:val="single"/>
                <w:lang w:val="en-US" w:eastAsia="zh-CN"/>
              </w:rPr>
              <w:t>万用表</w:t>
            </w:r>
          </w:p>
          <w:p>
            <w:pPr>
              <w:shd w:val="clear" w:color="auto" w:fill="C7DAF1" w:themeFill="text2" w:themeFillTint="32"/>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未进行定期校准/检定的有：</w:t>
            </w:r>
            <w:r>
              <w:rPr>
                <w:rFonts w:hint="eastAsia"/>
                <w:highlight w:val="none"/>
                <w:u w:val="single"/>
              </w:rPr>
              <w:t>不能提供</w:t>
            </w:r>
            <w:r>
              <w:rPr>
                <w:rFonts w:hint="eastAsia"/>
                <w:color w:val="000000"/>
                <w:highlight w:val="none"/>
                <w:u w:val="single"/>
                <w:lang w:val="en-US" w:eastAsia="zh-CN"/>
              </w:rPr>
              <w:t>万用表</w:t>
            </w:r>
            <w:r>
              <w:rPr>
                <w:rFonts w:hint="eastAsia"/>
                <w:highlight w:val="none"/>
                <w:u w:val="single"/>
              </w:rPr>
              <w:t>有效校准证书，已开具不符合项报告，需整改</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审核期间内设计和开发新产品/项目名称：</w:t>
            </w:r>
            <w:r>
              <w:rPr>
                <w:rFonts w:hint="eastAsia"/>
                <w:lang w:val="en-US" w:eastAsia="zh-CN"/>
              </w:rPr>
              <w:t xml:space="preserve">  </w:t>
            </w:r>
            <w:r>
              <w:rPr>
                <w:rFonts w:hint="eastAsia"/>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ascii="宋体" w:hAnsi="宋体" w:cs="宋体"/>
                      <w:color w:val="000000"/>
                      <w:kern w:val="0"/>
                      <w:szCs w:val="21"/>
                    </w:rPr>
                    <w:t>物业管理服务</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物业服务过程</w:t>
                  </w:r>
                </w:p>
              </w:tc>
              <w:tc>
                <w:tcPr>
                  <w:tcW w:w="3265" w:type="dxa"/>
                </w:tcPr>
                <w:p>
                  <w:pPr>
                    <w:shd w:val="clear" w:color="auto" w:fill="C7DAF1" w:themeFill="text2" w:themeFillTint="32"/>
                    <w:jc w:val="left"/>
                    <w:rPr>
                      <w:rFonts w:hint="eastAsia" w:eastAsiaTheme="minorEastAsia"/>
                      <w:lang w:val="en-US" w:eastAsia="zh-CN"/>
                    </w:rPr>
                  </w:pPr>
                  <w:r>
                    <w:rPr>
                      <w:rFonts w:hint="eastAsia" w:eastAsia="宋体"/>
                      <w:color w:val="auto"/>
                      <w:sz w:val="21"/>
                      <w:szCs w:val="21"/>
                    </w:rPr>
                    <w:t>服务质量、及时性、投诉处理满意度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物业服务过程</w:t>
            </w:r>
            <w:r>
              <w:rPr>
                <w:rFonts w:hint="eastAsia"/>
              </w:rPr>
              <w:t xml:space="preserve"> ，</w:t>
            </w:r>
          </w:p>
          <w:p>
            <w:pPr>
              <w:shd w:val="clear" w:color="auto" w:fill="C7DAF1" w:themeFill="text2" w:themeFillTint="32"/>
              <w:jc w:val="left"/>
            </w:pPr>
            <w:r>
              <w:rPr>
                <w:rFonts w:hint="eastAsia" w:ascii="Wingdings" w:hAnsi="Wingdings"/>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r>
              <w:rPr>
                <w:rFonts w:hint="eastAsia"/>
                <w:lang w:val="en-US" w:eastAsia="zh-CN"/>
              </w:rPr>
              <w:t>返工</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年 </w:t>
            </w:r>
            <w:r>
              <w:rPr>
                <w:rFonts w:hint="eastAsia"/>
                <w:u w:val="single"/>
                <w:lang w:val="en-US" w:eastAsia="zh-CN"/>
              </w:rPr>
              <w:t>9</w:t>
            </w:r>
            <w:r>
              <w:rPr>
                <w:rFonts w:hint="eastAsia"/>
                <w:u w:val="single"/>
              </w:rPr>
              <w:t xml:space="preserve"> 月</w:t>
            </w:r>
            <w:r>
              <w:rPr>
                <w:rFonts w:hint="eastAsia"/>
                <w:u w:val="single"/>
                <w:lang w:val="en-US" w:eastAsia="zh-CN"/>
              </w:rPr>
              <w:t>23日</w:t>
            </w:r>
            <w:r>
              <w:rPr>
                <w:rFonts w:hint="eastAsia"/>
              </w:rPr>
              <w:t xml:space="preserve">实施了质量管理体系内部审核，对质量管理体系的符合性和有效性进行了审核。内审发现的 </w:t>
            </w:r>
            <w:r>
              <w:rPr>
                <w:rFonts w:hint="eastAsia"/>
                <w:u w:val="single"/>
                <w:lang w:val="en-US" w:eastAsia="zh-CN"/>
              </w:rPr>
              <w:t>1</w:t>
            </w:r>
            <w:r>
              <w:rPr>
                <w:rFonts w:hint="eastAsia"/>
                <w:u w:val="single"/>
              </w:rPr>
              <w:t xml:space="preserve"> </w:t>
            </w:r>
            <w:r>
              <w:rPr>
                <w:rFonts w:hint="eastAsia"/>
                <w:lang w:val="en-US" w:eastAsia="zh-CN"/>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最高管理者已按策划的时间间隔，在 </w:t>
            </w:r>
            <w:r>
              <w:rPr>
                <w:rFonts w:hint="eastAsia"/>
                <w:u w:val="single"/>
                <w:lang w:val="en-US" w:eastAsia="zh-CN"/>
              </w:rPr>
              <w:t>2022</w:t>
            </w:r>
            <w:r>
              <w:rPr>
                <w:rFonts w:hint="eastAsia"/>
                <w:u w:val="single"/>
              </w:rPr>
              <w:t xml:space="preserve"> 年</w:t>
            </w:r>
            <w:r>
              <w:rPr>
                <w:rFonts w:hint="eastAsia"/>
                <w:u w:val="single"/>
                <w:lang w:val="en-US" w:eastAsia="zh-CN"/>
              </w:rPr>
              <w:t>10</w:t>
            </w:r>
            <w:r>
              <w:rPr>
                <w:rFonts w:hint="eastAsia"/>
                <w:u w:val="single"/>
              </w:rPr>
              <w:t xml:space="preserve">月 </w:t>
            </w:r>
            <w:r>
              <w:rPr>
                <w:rFonts w:hint="eastAsia"/>
                <w:u w:val="single"/>
                <w:lang w:val="en-US" w:eastAsia="zh-CN"/>
              </w:rPr>
              <w:t>10</w:t>
            </w:r>
            <w:r>
              <w:rPr>
                <w:rFonts w:hint="eastAsia"/>
                <w:u w:val="single"/>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3</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both"/>
              <w:rPr>
                <w:u w:val="single"/>
              </w:rPr>
            </w:pPr>
            <w:r>
              <w:rPr>
                <w:rFonts w:hint="eastAsia"/>
              </w:rPr>
              <w:t>最高管理者制定了文件化的管理体系方针：</w:t>
            </w:r>
            <w:r>
              <w:rPr>
                <w:rFonts w:hint="eastAsia" w:ascii="Times New Roman" w:hAnsi="Times New Roman" w:eastAsia="宋体" w:cs="Times New Roman"/>
                <w:color w:val="000000"/>
                <w:szCs w:val="18"/>
                <w:lang w:eastAsia="zh-CN"/>
              </w:rPr>
              <w:t>“</w:t>
            </w:r>
            <w:r>
              <w:rPr>
                <w:rFonts w:hint="eastAsia" w:ascii="Times New Roman" w:hAnsi="Times New Roman" w:eastAsia="宋体" w:cs="Times New Roman"/>
                <w:color w:val="000000"/>
                <w:szCs w:val="18"/>
              </w:rPr>
              <w:t>优质服务　环境舒适  各方满意　持续发展</w:t>
            </w:r>
            <w:r>
              <w:rPr>
                <w:rFonts w:hint="eastAsia" w:ascii="Times New Roman" w:hAnsi="Times New Roman" w:eastAsia="宋体" w:cs="Times New Roman"/>
                <w:color w:val="000000"/>
                <w:szCs w:val="18"/>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潜在</w:t>
                  </w:r>
                  <w:r>
                    <w:rPr>
                      <w:rFonts w:hint="eastAsia" w:asciiTheme="minorEastAsia" w:hAnsiTheme="minorEastAsia" w:eastAsiaTheme="minorEastAsia"/>
                      <w:b w:val="0"/>
                      <w:bCs w:val="0"/>
                      <w:sz w:val="21"/>
                      <w:szCs w:val="21"/>
                      <w:highlight w:val="none"/>
                    </w:rPr>
                    <w:t>火灾</w:t>
                  </w:r>
                </w:p>
              </w:tc>
              <w:tc>
                <w:tcPr>
                  <w:tcW w:w="3965"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固废排放</w:t>
                  </w:r>
                </w:p>
              </w:tc>
              <w:tc>
                <w:tcPr>
                  <w:tcW w:w="3965"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green"/>
                      <w:lang w:val="en-US" w:eastAsia="zh-CN"/>
                    </w:rPr>
                  </w:pPr>
                </w:p>
              </w:tc>
              <w:tc>
                <w:tcPr>
                  <w:tcW w:w="3965" w:type="dxa"/>
                  <w:vAlign w:val="top"/>
                </w:tcPr>
                <w:p>
                  <w:pPr>
                    <w:shd w:val="clear" w:color="auto" w:fill="EBF1DE" w:themeFill="accent3" w:themeFillTint="32"/>
                    <w:rPr>
                      <w:rFonts w:ascii="Times New Roman" w:hAnsi="Times New Roman" w:eastAsia="宋体" w:cs="Times New Roman"/>
                      <w:kern w:val="2"/>
                      <w:sz w:val="21"/>
                      <w:szCs w:val="24"/>
                      <w:highlight w:val="green"/>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highlight w:val="gree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□资源消耗 □废水排放  □废气排放 </w:t>
            </w:r>
            <w:r>
              <w:rPr>
                <w:rFonts w:hint="eastAsia"/>
                <w:lang w:eastAsia="zh-CN"/>
              </w:rPr>
              <w:t>□</w:t>
            </w:r>
            <w:r>
              <w:rPr>
                <w:rFonts w:hint="eastAsia"/>
              </w:rPr>
              <w:t xml:space="preserve">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highlight w:val="none"/>
                    </w:rPr>
                  </w:pPr>
                  <w:r>
                    <w:rPr>
                      <w:rFonts w:hint="eastAsia" w:ascii="宋体" w:hAnsi="宋体" w:cs="宋体"/>
                      <w:color w:val="000000"/>
                      <w:szCs w:val="21"/>
                      <w:highlight w:val="none"/>
                    </w:rPr>
                    <w:t>固废正确分类处理率100%</w:t>
                  </w:r>
                </w:p>
              </w:tc>
              <w:tc>
                <w:tcPr>
                  <w:tcW w:w="3136"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项目部</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highlight w:val="none"/>
                    </w:rPr>
                  </w:pPr>
                  <w:r>
                    <w:rPr>
                      <w:rFonts w:hint="eastAsia" w:ascii="宋体" w:hAnsi="宋体" w:cs="宋体"/>
                      <w:color w:val="000000"/>
                      <w:szCs w:val="21"/>
                      <w:highlight w:val="none"/>
                    </w:rPr>
                    <w:t>火灾事故为零</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highlight w:val="green"/>
                      <w:lang w:val="en-US" w:eastAsia="zh-CN"/>
                    </w:rPr>
                  </w:pPr>
                </w:p>
              </w:tc>
              <w:tc>
                <w:tcPr>
                  <w:tcW w:w="3136" w:type="dxa"/>
                  <w:shd w:val="clear" w:color="auto" w:fill="auto"/>
                  <w:vAlign w:val="center"/>
                </w:tcPr>
                <w:p>
                  <w:pPr>
                    <w:shd w:val="clear" w:color="auto" w:fill="EBF1DE" w:themeFill="accent3" w:themeFillTint="32"/>
                    <w:rPr>
                      <w:rFonts w:ascii="宋体" w:hAnsi="宋体"/>
                      <w:highlight w:val="green"/>
                    </w:rPr>
                  </w:pPr>
                </w:p>
              </w:tc>
              <w:tc>
                <w:tcPr>
                  <w:tcW w:w="1350" w:type="dxa"/>
                  <w:shd w:val="clear" w:color="auto" w:fill="auto"/>
                  <w:vAlign w:val="center"/>
                </w:tcPr>
                <w:p>
                  <w:pPr>
                    <w:shd w:val="clear" w:color="auto" w:fill="EBF1DE" w:themeFill="accent3" w:themeFillTint="32"/>
                    <w:rPr>
                      <w:rFonts w:hint="default" w:ascii="宋体" w:hAnsi="宋体" w:eastAsia="宋体"/>
                      <w:highlight w:val="green"/>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建筑面积 </w:t>
            </w:r>
            <w:r>
              <w:rPr>
                <w:rFonts w:hint="eastAsia" w:ascii="Times New Roman" w:hAnsi="Times New Roman" w:eastAsia="宋体" w:cs="Times New Roman"/>
                <w:lang w:val="en-US" w:eastAsia="zh-CN"/>
              </w:rPr>
              <w:t>500</w:t>
            </w:r>
            <w:r>
              <w:rPr>
                <w:rFonts w:hint="eastAsia" w:ascii="Times New Roman" w:hAnsi="Times New Roman" w:eastAsia="宋体" w:cs="Times New Roman"/>
              </w:rPr>
              <w:t xml:space="preserve"> 平方米；</w:t>
            </w:r>
            <w:r>
              <w:rPr>
                <w:rFonts w:hint="eastAsia" w:ascii="Times New Roman" w:hAnsi="Times New Roman" w:eastAsia="宋体" w:cs="Times New Roman"/>
                <w:lang w:val="en-US" w:eastAsia="zh-CN"/>
              </w:rPr>
              <w:t>办公区</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1</w:t>
            </w:r>
            <w:r>
              <w:rPr>
                <w:rFonts w:hint="eastAsia" w:ascii="Times New Roman" w:hAnsi="Times New Roman" w:eastAsia="宋体" w:cs="Times New Roman"/>
              </w:rPr>
              <w:t xml:space="preserve">个；库房  </w:t>
            </w:r>
            <w:r>
              <w:rPr>
                <w:rFonts w:hint="eastAsia" w:ascii="Times New Roman" w:hAnsi="Times New Roman" w:eastAsia="宋体" w:cs="Times New Roman"/>
                <w:lang w:val="en-US" w:eastAsia="zh-CN"/>
              </w:rPr>
              <w:t>1</w:t>
            </w:r>
            <w:r>
              <w:rPr>
                <w:rFonts w:hint="eastAsia" w:ascii="Times New Roman" w:hAnsi="Times New Roman" w:eastAsia="宋体" w:cs="Times New Roman"/>
              </w:rPr>
              <w:t xml:space="preserve">  个；实验室   个；</w:t>
            </w:r>
          </w:p>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rPr>
              <w:t>主要生产设备有：</w:t>
            </w:r>
            <w:r>
              <w:rPr>
                <w:rFonts w:hint="eastAsia" w:ascii="Times New Roman" w:hAnsi="Times New Roman" w:eastAsia="宋体" w:cs="Times New Roman"/>
                <w:highlight w:val="none"/>
              </w:rPr>
              <w:t>电脑、打印机和保洁工具（垃圾桶、扫帚、拖把）、安保工具(对讲机、</w:t>
            </w:r>
            <w:r>
              <w:rPr>
                <w:rFonts w:hint="eastAsia" w:ascii="Times New Roman" w:hAnsi="Times New Roman" w:eastAsia="宋体" w:cs="Times New Roman"/>
                <w:highlight w:val="none"/>
                <w:lang w:val="en-US" w:eastAsia="zh-CN"/>
              </w:rPr>
              <w:t>手电筒</w:t>
            </w:r>
            <w:r>
              <w:rPr>
                <w:rFonts w:hint="eastAsia" w:ascii="Times New Roman" w:hAnsi="Times New Roman" w:eastAsia="宋体" w:cs="Times New Roman"/>
                <w:highlight w:val="none"/>
              </w:rPr>
              <w:t>等)、维修设备（电锤、手枪钻、疏通器</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和万用表检测设备</w:t>
            </w:r>
            <w:r>
              <w:rPr>
                <w:rFonts w:hint="eastAsia" w:ascii="Times New Roman" w:hAnsi="Times New Roman" w:eastAsia="宋体" w:cs="Times New Roman"/>
                <w:highlight w:val="none"/>
                <w:lang w:eastAsia="zh-CN"/>
              </w:rPr>
              <w:t>。</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叉车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行车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电梯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压力容器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压力管道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rPr>
            </w:pPr>
            <w:r>
              <w:rPr>
                <w:rFonts w:hint="eastAsia" w:eastAsia="宋体"/>
              </w:rPr>
              <w:t>已发生的更改包括：</w:t>
            </w:r>
            <w:r>
              <w:rPr>
                <w:rFonts w:hint="eastAsia" w:eastAsia="宋体"/>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eastAsia="宋体"/>
                <w:lang w:eastAsia="zh-CN"/>
              </w:rPr>
              <w:t>■</w:t>
            </w:r>
            <w:r>
              <w:rPr>
                <w:rFonts w:hint="eastAsia" w:eastAsia="宋体"/>
              </w:rPr>
              <w:t xml:space="preserve">图纸 </w:t>
            </w:r>
            <w:r>
              <w:rPr>
                <w:rFonts w:hint="eastAsia" w:eastAsia="宋体"/>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cs="宋体"/>
                <w:szCs w:val="21"/>
              </w:rPr>
              <w:t>》</w:t>
            </w:r>
          </w:p>
          <w:p>
            <w:pPr>
              <w:shd w:val="clear" w:color="auto" w:fill="EBF1DE" w:themeFill="accent3" w:themeFillTint="32"/>
            </w:pPr>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环保设备故障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eastAsia="宋体"/>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20</w:t>
            </w:r>
            <w:r>
              <w:rPr>
                <w:rFonts w:hint="eastAsia"/>
                <w:u w:val="single"/>
                <w:lang w:val="en-US" w:eastAsia="zh-CN"/>
              </w:rPr>
              <w:t>22</w:t>
            </w:r>
            <w:r>
              <w:rPr>
                <w:rFonts w:hint="eastAsia"/>
                <w:u w:val="single"/>
              </w:rPr>
              <w:t>年</w:t>
            </w:r>
            <w:r>
              <w:rPr>
                <w:rFonts w:hint="eastAsia"/>
                <w:u w:val="single"/>
                <w:lang w:val="en-US" w:eastAsia="zh-CN"/>
              </w:rPr>
              <w:t>4</w:t>
            </w:r>
            <w:r>
              <w:rPr>
                <w:rFonts w:hint="eastAsia"/>
                <w:u w:val="single"/>
              </w:rPr>
              <w:t>月1</w:t>
            </w:r>
            <w:r>
              <w:rPr>
                <w:rFonts w:hint="eastAsia"/>
                <w:u w:val="single"/>
                <w:lang w:val="en-US" w:eastAsia="zh-CN"/>
              </w:rPr>
              <w:t>6</w:t>
            </w:r>
            <w:r>
              <w:rPr>
                <w:rFonts w:hint="eastAsia"/>
                <w:u w:val="single"/>
              </w:rPr>
              <w:t>日</w:t>
            </w:r>
            <w:r>
              <w:rPr>
                <w:rFonts w:hint="eastAsia"/>
              </w:rPr>
              <w:t>进行了火灾消</w:t>
            </w:r>
            <w:r>
              <w:rPr>
                <w:rFonts w:hint="eastAsia" w:ascii="宋体" w:hAnsi="宋体" w:cs="宋体"/>
                <w:szCs w:val="21"/>
                <w:u w:val="single"/>
              </w:rPr>
              <w:t>防</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rPr>
            </w:pPr>
            <w:r>
              <w:rPr>
                <w:rFonts w:hint="eastAsia"/>
              </w:rPr>
              <w:t>实施合规性评价的时间：</w:t>
            </w:r>
          </w:p>
          <w:p>
            <w:pPr>
              <w:shd w:val="clear" w:color="auto" w:fill="EBF1DE" w:themeFill="accent3" w:themeFillTint="32"/>
              <w:rPr>
                <w:rFonts w:hint="eastAsia"/>
              </w:rPr>
            </w:pPr>
            <w:r>
              <w:rPr>
                <w:rFonts w:hint="eastAsia"/>
                <w:lang w:eastAsia="zh-CN"/>
              </w:rPr>
              <w:t>■</w:t>
            </w:r>
            <w:r>
              <w:rPr>
                <w:rFonts w:hint="eastAsia"/>
              </w:rPr>
              <w:t>定期（每年） ：</w:t>
            </w:r>
            <w:r>
              <w:rPr>
                <w:rFonts w:hint="eastAsia"/>
                <w:u w:val="single"/>
              </w:rPr>
              <w:t>20</w:t>
            </w:r>
            <w:r>
              <w:rPr>
                <w:rFonts w:hint="eastAsia"/>
                <w:u w:val="single"/>
                <w:lang w:val="en-US" w:eastAsia="zh-CN"/>
              </w:rPr>
              <w:t>22</w:t>
            </w:r>
            <w:r>
              <w:rPr>
                <w:rFonts w:hint="eastAsia"/>
                <w:u w:val="single"/>
              </w:rPr>
              <w:t>年</w:t>
            </w:r>
            <w:r>
              <w:rPr>
                <w:rFonts w:hint="eastAsia"/>
                <w:u w:val="single"/>
                <w:lang w:val="en-US" w:eastAsia="zh-CN"/>
              </w:rPr>
              <w:t>4</w:t>
            </w:r>
            <w:r>
              <w:rPr>
                <w:rFonts w:hint="eastAsia"/>
                <w:u w:val="single"/>
              </w:rPr>
              <w:t>月</w:t>
            </w:r>
            <w:r>
              <w:rPr>
                <w:rFonts w:hint="eastAsia"/>
                <w:u w:val="single"/>
                <w:lang w:val="en-US" w:eastAsia="zh-CN"/>
              </w:rPr>
              <w:t>10</w:t>
            </w:r>
            <w:r>
              <w:rPr>
                <w:rFonts w:hint="eastAsia"/>
                <w:u w:val="single"/>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2022</w:t>
            </w:r>
            <w:r>
              <w:rPr>
                <w:rFonts w:hint="eastAsia"/>
                <w:u w:val="single"/>
              </w:rPr>
              <w:t xml:space="preserve">年 </w:t>
            </w:r>
            <w:r>
              <w:rPr>
                <w:rFonts w:hint="eastAsia"/>
                <w:u w:val="single"/>
                <w:lang w:val="en-US" w:eastAsia="zh-CN"/>
              </w:rPr>
              <w:t>9</w:t>
            </w:r>
            <w:r>
              <w:rPr>
                <w:rFonts w:hint="eastAsia"/>
                <w:u w:val="single"/>
              </w:rPr>
              <w:t xml:space="preserve"> 月</w:t>
            </w:r>
            <w:r>
              <w:rPr>
                <w:rFonts w:hint="eastAsia"/>
                <w:u w:val="single"/>
                <w:lang w:val="en-US" w:eastAsia="zh-CN"/>
              </w:rPr>
              <w:t>23日</w:t>
            </w:r>
            <w:r>
              <w:rPr>
                <w:rFonts w:hint="eastAsia"/>
              </w:rPr>
              <w:t>实施了环境管理体系内部审核，对环境管理体系的符合性和有效性进行了审核。内审</w:t>
            </w:r>
            <w:r>
              <w:rPr>
                <w:rFonts w:hint="eastAsia"/>
                <w:lang w:val="en-US" w:eastAsia="zh-CN"/>
              </w:rPr>
              <w:t xml:space="preserve">发现的 </w:t>
            </w:r>
            <w:r>
              <w:rPr>
                <w:rFonts w:hint="eastAsia"/>
                <w:u w:val="single"/>
                <w:lang w:val="en-US" w:eastAsia="zh-CN"/>
              </w:rPr>
              <w:t xml:space="preserve">1 </w:t>
            </w:r>
            <w:r>
              <w:rPr>
                <w:rFonts w:hint="eastAsia"/>
                <w:lang w:val="en-US" w:eastAsia="zh-CN"/>
              </w:rPr>
              <w:t>项不符合</w:t>
            </w:r>
            <w:r>
              <w:rPr>
                <w:rFonts w:hint="eastAsia"/>
              </w:rPr>
              <w:t>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eastAsia="宋体"/>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最高管理者已按策划的时间间隔，在 </w:t>
            </w:r>
            <w:r>
              <w:rPr>
                <w:rFonts w:hint="eastAsia"/>
                <w:u w:val="single"/>
                <w:lang w:val="en-US" w:eastAsia="zh-CN"/>
              </w:rPr>
              <w:t>2022</w:t>
            </w:r>
            <w:r>
              <w:rPr>
                <w:rFonts w:hint="eastAsia"/>
                <w:u w:val="single"/>
              </w:rPr>
              <w:t>年</w:t>
            </w:r>
            <w:r>
              <w:rPr>
                <w:rFonts w:hint="eastAsia"/>
                <w:u w:val="single"/>
                <w:lang w:val="en-US" w:eastAsia="zh-CN"/>
              </w:rPr>
              <w:t>10</w:t>
            </w:r>
            <w:r>
              <w:rPr>
                <w:rFonts w:hint="eastAsia"/>
                <w:u w:val="single"/>
              </w:rPr>
              <w:t xml:space="preserve"> 月</w:t>
            </w:r>
            <w:r>
              <w:rPr>
                <w:rFonts w:hint="eastAsia"/>
                <w:u w:val="single"/>
                <w:lang w:val="en-US" w:eastAsia="zh-CN"/>
              </w:rPr>
              <w:t>10</w:t>
            </w:r>
            <w:r>
              <w:rPr>
                <w:rFonts w:hint="eastAsia"/>
                <w:u w:val="single"/>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eastAsia="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ascii="Times New Roman" w:hAnsi="Times New Roman" w:eastAsia="宋体" w:cs="Times New Roman"/>
                <w:color w:val="000000"/>
                <w:szCs w:val="18"/>
                <w:lang w:eastAsia="zh-CN"/>
              </w:rPr>
              <w:t>“</w:t>
            </w:r>
            <w:r>
              <w:rPr>
                <w:rFonts w:hint="eastAsia" w:ascii="Times New Roman" w:hAnsi="Times New Roman" w:eastAsia="宋体" w:cs="Times New Roman"/>
                <w:color w:val="000000"/>
                <w:szCs w:val="18"/>
              </w:rPr>
              <w:t>优质服务　环境舒适  各方满意　持续发展</w:t>
            </w:r>
            <w:r>
              <w:rPr>
                <w:rFonts w:hint="eastAsia" w:ascii="Times New Roman" w:hAnsi="Times New Roman" w:eastAsia="宋体" w:cs="Times New Roman"/>
                <w:color w:val="000000"/>
                <w:szCs w:val="18"/>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项目部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陈茜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highlight w:val="none"/>
                      <w:lang w:val="en-US" w:eastAsia="zh-CN"/>
                    </w:rPr>
                  </w:pPr>
                  <w:r>
                    <w:rPr>
                      <w:rFonts w:hint="eastAsia"/>
                      <w:highlight w:val="none"/>
                      <w:lang w:val="en-US" w:eastAsia="zh-CN"/>
                    </w:rPr>
                    <w:t>火灾</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highlight w:val="none"/>
                      <w:lang w:val="en-US" w:eastAsia="zh-CN"/>
                    </w:rPr>
                  </w:pPr>
                  <w:r>
                    <w:rPr>
                      <w:rFonts w:hint="eastAsia"/>
                      <w:highlight w:val="none"/>
                      <w:lang w:val="en-US" w:eastAsia="zh-CN"/>
                    </w:rPr>
                    <w:t>触电</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ascii="宋体" w:hAnsi="宋体" w:cs="宋体"/>
                      <w:szCs w:val="21"/>
                      <w:highlight w:val="none"/>
                      <w:lang w:val="en-US" w:eastAsia="zh-CN"/>
                    </w:rPr>
                    <w:t>人身</w:t>
                  </w:r>
                  <w:r>
                    <w:rPr>
                      <w:rFonts w:hint="eastAsia" w:ascii="宋体" w:hAnsi="宋体" w:cs="宋体"/>
                      <w:szCs w:val="21"/>
                      <w:highlight w:val="none"/>
                    </w:rPr>
                    <w:t>伤害（机械伤害、意外摔伤</w:t>
                  </w:r>
                  <w:r>
                    <w:rPr>
                      <w:rFonts w:hint="eastAsia" w:ascii="宋体" w:hAnsi="宋体" w:cs="宋体"/>
                      <w:szCs w:val="21"/>
                      <w:highlight w:val="none"/>
                      <w:lang w:eastAsia="zh-CN"/>
                    </w:rPr>
                    <w:t>）</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ascii="宋体" w:hAnsi="宋体" w:cs="宋体"/>
                <w:szCs w:val="21"/>
                <w:lang w:val="en-US" w:eastAsia="zh-CN"/>
              </w:rPr>
              <w:t>人身</w:t>
            </w:r>
            <w:r>
              <w:rPr>
                <w:rFonts w:hint="eastAsia" w:ascii="宋体" w:hAnsi="宋体" w:cs="宋体"/>
                <w:szCs w:val="21"/>
              </w:rPr>
              <w:t>伤害（意外摔伤</w:t>
            </w:r>
            <w:r>
              <w:rPr>
                <w:rFonts w:hint="eastAsia" w:ascii="宋体" w:hAnsi="宋体" w:cs="宋体"/>
                <w:szCs w:val="21"/>
                <w:lang w:val="en-US" w:eastAsia="zh-CN"/>
              </w:rPr>
              <w:t>等</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none"/>
                    </w:rPr>
                  </w:pPr>
                  <w:r>
                    <w:rPr>
                      <w:rFonts w:hint="eastAsia" w:ascii="宋体" w:hAnsi="宋体" w:cs="Arial"/>
                      <w:iCs/>
                      <w:sz w:val="21"/>
                      <w:szCs w:val="21"/>
                      <w:highlight w:val="none"/>
                      <w:lang w:val="en-US" w:eastAsia="zh-CN" w:bidi="ar"/>
                    </w:rPr>
                    <w:t>意外伤害事故为0</w:t>
                  </w:r>
                </w:p>
              </w:tc>
              <w:tc>
                <w:tcPr>
                  <w:tcW w:w="3136" w:type="dxa"/>
                  <w:shd w:val="clear" w:color="auto" w:fill="auto"/>
                  <w:vAlign w:val="center"/>
                </w:tcPr>
                <w:p>
                  <w:pPr>
                    <w:rPr>
                      <w:highlight w:val="none"/>
                      <w:lang w:val="en-GB"/>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eastAsia="宋体"/>
                      <w:highlight w:val="none"/>
                      <w:lang w:val="en-US" w:eastAsia="zh-CN"/>
                    </w:rPr>
                  </w:pPr>
                  <w:r>
                    <w:rPr>
                      <w:rFonts w:hint="eastAsia"/>
                      <w:highlight w:val="none"/>
                      <w:lang w:val="en-US" w:eastAsia="zh-CN"/>
                    </w:rPr>
                    <w:t>项目部</w:t>
                  </w:r>
                </w:p>
              </w:tc>
              <w:tc>
                <w:tcPr>
                  <w:tcW w:w="1774" w:type="dxa"/>
                  <w:shd w:val="clear" w:color="auto" w:fill="auto"/>
                  <w:vAlign w:val="center"/>
                </w:tcPr>
                <w:p>
                  <w:pPr>
                    <w:jc w:val="left"/>
                    <w:rPr>
                      <w:rFonts w:hint="default" w:ascii="宋体" w:hAnsi="宋体" w:eastAsia="宋体"/>
                      <w:highlight w:val="none"/>
                      <w:lang w:val="en-US" w:eastAsia="zh-CN"/>
                    </w:rPr>
                  </w:pPr>
                  <w:r>
                    <w:rPr>
                      <w:rFonts w:hint="eastAsia" w:ascii="宋体" w:hAnsi="宋体"/>
                      <w:highlight w:val="none"/>
                      <w:lang w:val="en-US" w:eastAsia="zh-CN"/>
                    </w:rPr>
                    <w:t>未发生</w:t>
                  </w:r>
                  <w:r>
                    <w:rPr>
                      <w:rFonts w:hint="eastAsia" w:ascii="宋体" w:hAnsi="宋体" w:cs="Arial"/>
                      <w:iCs/>
                      <w:sz w:val="21"/>
                      <w:szCs w:val="21"/>
                      <w:highlight w:val="none"/>
                      <w:lang w:val="en-US" w:eastAsia="zh-CN" w:bidi="ar"/>
                    </w:rPr>
                    <w:t>意外伤害</w:t>
                  </w:r>
                  <w:r>
                    <w:rPr>
                      <w:rFonts w:hint="eastAsia" w:ascii="宋体" w:hAnsi="宋体"/>
                      <w:highlight w:val="none"/>
                      <w:lang w:val="en-US" w:eastAsia="zh-CN"/>
                    </w:rPr>
                    <w:t>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none"/>
                    </w:rPr>
                  </w:pPr>
                  <w:r>
                    <w:rPr>
                      <w:rFonts w:hint="eastAsia" w:ascii="宋体" w:hAnsi="宋体" w:cs="宋体"/>
                      <w:color w:val="000000"/>
                      <w:szCs w:val="21"/>
                      <w:highlight w:val="none"/>
                    </w:rPr>
                    <w:t>火灾事故为零</w:t>
                  </w:r>
                </w:p>
              </w:tc>
              <w:tc>
                <w:tcPr>
                  <w:tcW w:w="3136" w:type="dxa"/>
                  <w:shd w:val="clear" w:color="auto" w:fill="auto"/>
                  <w:vAlign w:val="center"/>
                </w:tcPr>
                <w:p>
                  <w:pPr>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ascii="宋体" w:hAnsi="宋体"/>
                      <w:highlight w:val="none"/>
                    </w:rPr>
                  </w:pPr>
                  <w:r>
                    <w:rPr>
                      <w:rFonts w:hint="eastAsia"/>
                      <w:highlight w:val="none"/>
                      <w:lang w:val="en-US" w:eastAsia="zh-CN"/>
                    </w:rPr>
                    <w:t>综合部</w:t>
                  </w:r>
                </w:p>
              </w:tc>
              <w:tc>
                <w:tcPr>
                  <w:tcW w:w="1774" w:type="dxa"/>
                  <w:shd w:val="clear" w:color="auto" w:fill="auto"/>
                  <w:vAlign w:val="center"/>
                </w:tcPr>
                <w:p>
                  <w:pPr>
                    <w:jc w:val="center"/>
                    <w:rPr>
                      <w:rFonts w:hint="default" w:ascii="宋体" w:hAnsi="宋体"/>
                      <w:highlight w:val="none"/>
                      <w:lang w:val="en-US"/>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none"/>
                    </w:rPr>
                  </w:pPr>
                  <w:r>
                    <w:rPr>
                      <w:rFonts w:hint="eastAsia"/>
                      <w:highlight w:val="none"/>
                    </w:rPr>
                    <w:t xml:space="preserve">触电事故为0 </w:t>
                  </w:r>
                </w:p>
              </w:tc>
              <w:tc>
                <w:tcPr>
                  <w:tcW w:w="3136" w:type="dxa"/>
                  <w:shd w:val="clear" w:color="auto" w:fill="auto"/>
                  <w:vAlign w:val="center"/>
                </w:tcPr>
                <w:p>
                  <w:pPr>
                    <w:rPr>
                      <w:rFonts w:ascii="Times New Roman" w:hAnsi="Times New Roman" w:eastAsia="宋体" w:cs="Times New Roman"/>
                      <w:kern w:val="2"/>
                      <w:sz w:val="21"/>
                      <w:szCs w:val="24"/>
                      <w:highlight w:val="none"/>
                      <w:lang w:val="en-GB"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综合部</w:t>
                  </w:r>
                </w:p>
              </w:tc>
              <w:tc>
                <w:tcPr>
                  <w:tcW w:w="1774" w:type="dxa"/>
                  <w:shd w:val="clear" w:color="auto" w:fill="auto"/>
                  <w:vAlign w:val="center"/>
                </w:tcPr>
                <w:p>
                  <w:pPr>
                    <w:jc w:val="cente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未发生触电事故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主要生产设备有：电脑、打印机和保洁工具（垃圾桶、扫帚、拖把）、安保工具(对讲机、</w:t>
            </w:r>
            <w:r>
              <w:rPr>
                <w:rFonts w:hint="eastAsia" w:ascii="Times New Roman" w:hAnsi="Times New Roman" w:eastAsia="宋体" w:cs="Times New Roman"/>
                <w:highlight w:val="none"/>
                <w:lang w:val="en-US" w:eastAsia="zh-CN"/>
              </w:rPr>
              <w:t>手电筒</w:t>
            </w:r>
            <w:r>
              <w:rPr>
                <w:rFonts w:hint="eastAsia" w:ascii="Times New Roman" w:hAnsi="Times New Roman" w:eastAsia="宋体" w:cs="Times New Roman"/>
                <w:highlight w:val="none"/>
              </w:rPr>
              <w:t>等)、维修设备（电锤、手枪钻、疏通器</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和万用表检测设备</w:t>
            </w:r>
            <w:r>
              <w:rPr>
                <w:rFonts w:hint="eastAsia" w:ascii="Times New Roman" w:hAnsi="Times New Roman" w:eastAsia="宋体" w:cs="Times New Roman"/>
                <w:highlight w:val="none"/>
                <w:lang w:eastAsia="zh-CN"/>
              </w:rPr>
              <w:t>。</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 xml:space="preserve">□除尘装置  </w:t>
                  </w:r>
                  <w:r>
                    <w:rPr>
                      <w:rFonts w:hint="eastAsia"/>
                      <w:lang w:eastAsia="zh-CN"/>
                    </w:rPr>
                    <w:t>□</w:t>
                  </w:r>
                  <w:r>
                    <w:rPr>
                      <w:rFonts w:hint="eastAsia"/>
                    </w:rPr>
                    <w:t>穿戴劳保用品（防尘面罩）</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rFonts w:hint="eastAsia"/>
              </w:rPr>
            </w:pPr>
            <w:r>
              <w:rPr>
                <w:rFonts w:hint="eastAsia"/>
              </w:rPr>
              <w:t>特种设备管理：</w:t>
            </w:r>
            <w:r>
              <w:rPr>
                <w:rFonts w:hint="eastAsia"/>
                <w:lang w:eastAsia="zh-CN"/>
              </w:rPr>
              <w:t>□</w:t>
            </w:r>
            <w:r>
              <w:rPr>
                <w:rFonts w:hint="eastAsia"/>
              </w:rPr>
              <w:t xml:space="preserve">进行了定期检验  </w:t>
            </w:r>
            <w:r>
              <w:rPr>
                <w:rFonts w:hint="eastAsia"/>
                <w:lang w:eastAsia="zh-CN"/>
              </w:rPr>
              <w:t>□</w:t>
            </w:r>
            <w:r>
              <w:rPr>
                <w:rFonts w:hint="eastAsia"/>
              </w:rPr>
              <w:t xml:space="preserve">未进行定期检验的有：                 </w:t>
            </w:r>
          </w:p>
          <w:p>
            <w:r>
              <w:rPr>
                <w:rFonts w:hint="eastAsia"/>
              </w:rPr>
              <w:t>特种设备检测报告，如：     （举1例）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rPr>
            </w:pPr>
            <w:r>
              <w:rPr>
                <w:rFonts w:hint="eastAsia" w:eastAsia="宋体"/>
              </w:rPr>
              <w:t xml:space="preserve">组织对产品和服务交付后活动的要求。 </w:t>
            </w:r>
            <w:r>
              <w:rPr>
                <w:rFonts w:hint="eastAsia" w:eastAsia="宋体"/>
                <w:lang w:eastAsia="zh-CN"/>
              </w:rPr>
              <w:t>■</w:t>
            </w:r>
            <w:r>
              <w:rPr>
                <w:rFonts w:hint="eastAsia" w:eastAsia="宋体"/>
              </w:rPr>
              <w:t xml:space="preserve">废物回收 </w:t>
            </w:r>
            <w:r>
              <w:rPr>
                <w:rFonts w:hint="eastAsia" w:eastAsia="宋体"/>
                <w:lang w:eastAsia="zh-CN"/>
              </w:rPr>
              <w:t>■</w:t>
            </w:r>
            <w:r>
              <w:rPr>
                <w:rFonts w:hint="eastAsia" w:eastAsia="宋体"/>
              </w:rPr>
              <w:t xml:space="preserve">最终处置 </w:t>
            </w:r>
            <w:r>
              <w:rPr>
                <w:rFonts w:hint="eastAsia" w:eastAsia="宋体"/>
                <w:lang w:eastAsia="zh-CN"/>
              </w:rPr>
              <w:t>□</w:t>
            </w:r>
            <w:r>
              <w:rPr>
                <w:rFonts w:hint="eastAsia" w:eastAsia="宋体"/>
              </w:rPr>
              <w:t>其他</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pPr>
              <w:rPr>
                <w:rFonts w:hint="eastAsia" w:eastAsia="宋体"/>
              </w:rPr>
            </w:pPr>
            <w:r>
              <w:rPr>
                <w:rFonts w:hint="eastAsia" w:eastAsia="宋体"/>
              </w:rPr>
              <w:t>于</w:t>
            </w:r>
            <w:r>
              <w:rPr>
                <w:rFonts w:hint="eastAsia" w:eastAsia="宋体"/>
                <w:u w:val="single"/>
              </w:rPr>
              <w:t>20</w:t>
            </w:r>
            <w:r>
              <w:rPr>
                <w:rFonts w:hint="eastAsia" w:eastAsia="宋体"/>
                <w:u w:val="single"/>
                <w:lang w:val="en-US" w:eastAsia="zh-CN"/>
              </w:rPr>
              <w:t>22</w:t>
            </w:r>
            <w:r>
              <w:rPr>
                <w:rFonts w:hint="eastAsia" w:eastAsia="宋体"/>
                <w:u w:val="single"/>
              </w:rPr>
              <w:t>年</w:t>
            </w:r>
            <w:r>
              <w:rPr>
                <w:rFonts w:hint="eastAsia"/>
                <w:u w:val="single"/>
                <w:lang w:val="en-US" w:eastAsia="zh-CN"/>
              </w:rPr>
              <w:t>4</w:t>
            </w:r>
            <w:r>
              <w:rPr>
                <w:rFonts w:hint="eastAsia" w:eastAsia="宋体"/>
                <w:u w:val="single"/>
              </w:rPr>
              <w:t>月1</w:t>
            </w:r>
            <w:r>
              <w:rPr>
                <w:rFonts w:hint="eastAsia"/>
                <w:u w:val="single"/>
                <w:lang w:val="en-US" w:eastAsia="zh-CN"/>
              </w:rPr>
              <w:t>6</w:t>
            </w:r>
            <w:r>
              <w:rPr>
                <w:rFonts w:hint="eastAsia" w:eastAsia="宋体"/>
                <w:u w:val="single"/>
              </w:rPr>
              <w:t>日</w:t>
            </w:r>
            <w:r>
              <w:rPr>
                <w:rFonts w:hint="eastAsia" w:eastAsia="宋体"/>
              </w:rPr>
              <w:t xml:space="preserve">进行了火灾消防的演练；并总结了预案的可行性和有效性。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rFonts w:hint="eastAsia"/>
              </w:rPr>
            </w:pPr>
            <w:r>
              <w:rPr>
                <w:rFonts w:hint="eastAsia"/>
              </w:rPr>
              <w:t>实施合规性评价的时间：</w:t>
            </w:r>
          </w:p>
          <w:p>
            <w:pPr>
              <w:rPr>
                <w:rFonts w:hint="eastAsia"/>
              </w:rPr>
            </w:pPr>
            <w:r>
              <w:rPr>
                <w:rFonts w:hint="eastAsia"/>
                <w:lang w:eastAsia="zh-CN"/>
              </w:rPr>
              <w:t>■</w:t>
            </w:r>
            <w:r>
              <w:rPr>
                <w:rFonts w:hint="eastAsia"/>
              </w:rPr>
              <w:t>定期（每年） ：20</w:t>
            </w:r>
            <w:r>
              <w:rPr>
                <w:rFonts w:hint="eastAsia"/>
                <w:lang w:val="en-US" w:eastAsia="zh-CN"/>
              </w:rPr>
              <w:t>22</w:t>
            </w:r>
            <w:r>
              <w:rPr>
                <w:rFonts w:hint="eastAsia"/>
              </w:rPr>
              <w:t>年</w:t>
            </w:r>
            <w:r>
              <w:rPr>
                <w:rFonts w:hint="eastAsia"/>
                <w:lang w:val="en-US" w:eastAsia="zh-CN"/>
              </w:rPr>
              <w:t>4</w:t>
            </w:r>
            <w:r>
              <w:rPr>
                <w:rFonts w:hint="eastAsia"/>
              </w:rPr>
              <w:t>月</w:t>
            </w:r>
            <w:r>
              <w:rPr>
                <w:rFonts w:hint="eastAsia"/>
                <w:lang w:val="en-US" w:eastAsia="zh-CN"/>
              </w:rPr>
              <w:t>10</w:t>
            </w:r>
            <w:r>
              <w:rPr>
                <w:rFonts w:hint="eastAsia"/>
              </w:rPr>
              <w:t>日</w:t>
            </w:r>
          </w:p>
          <w:p>
            <w:pPr>
              <w:rPr>
                <w:rFonts w:hint="eastAsia"/>
              </w:rPr>
            </w:pPr>
            <w:r>
              <w:rPr>
                <w:rFonts w:hint="eastAsia"/>
                <w:lang w:eastAsia="zh-CN"/>
              </w:rPr>
              <w:t>□</w:t>
            </w:r>
            <w:r>
              <w:rPr>
                <w:rFonts w:hint="eastAsia"/>
              </w:rPr>
              <w:t>特殊情况（法规变化）：       年   月   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2022</w:t>
            </w:r>
            <w:r>
              <w:rPr>
                <w:rFonts w:hint="eastAsia"/>
                <w:u w:val="single"/>
              </w:rPr>
              <w:t>年</w:t>
            </w:r>
            <w:r>
              <w:rPr>
                <w:rFonts w:hint="eastAsia"/>
                <w:u w:val="single"/>
                <w:lang w:val="en-US" w:eastAsia="zh-CN"/>
              </w:rPr>
              <w:t>9</w:t>
            </w:r>
            <w:r>
              <w:rPr>
                <w:rFonts w:hint="eastAsia"/>
                <w:u w:val="single"/>
              </w:rPr>
              <w:t xml:space="preserve"> 月</w:t>
            </w:r>
            <w:r>
              <w:rPr>
                <w:rFonts w:hint="eastAsia"/>
                <w:u w:val="single"/>
                <w:lang w:val="en-US" w:eastAsia="zh-CN"/>
              </w:rPr>
              <w:t>23</w:t>
            </w:r>
            <w:bookmarkStart w:id="29" w:name="_GoBack"/>
            <w:bookmarkEnd w:id="29"/>
            <w:r>
              <w:rPr>
                <w:rFonts w:hint="eastAsia"/>
                <w:u w:val="single"/>
                <w:lang w:val="en-US" w:eastAsia="zh-CN"/>
              </w:rPr>
              <w:t>日</w:t>
            </w:r>
            <w:r>
              <w:rPr>
                <w:rFonts w:hint="eastAsia"/>
              </w:rPr>
              <w:t xml:space="preserve">实施了职业健康安全管理体系内部审核，对职业健康安全管理体系的符合性和有效性进行了审核。内审发现的 </w:t>
            </w:r>
            <w:r>
              <w:rPr>
                <w:rFonts w:hint="eastAsia"/>
                <w:lang w:val="en-US" w:eastAsia="zh-CN"/>
              </w:rPr>
              <w:t>1</w:t>
            </w:r>
            <w:r>
              <w:rPr>
                <w:rFonts w:hint="eastAsia"/>
              </w:rPr>
              <w:t xml:space="preserve"> 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最高管理者已按策划的时间间隔，在 </w:t>
            </w:r>
            <w:r>
              <w:rPr>
                <w:rFonts w:hint="eastAsia"/>
                <w:u w:val="single"/>
                <w:lang w:val="en-US" w:eastAsia="zh-CN"/>
              </w:rPr>
              <w:t>2022</w:t>
            </w:r>
            <w:r>
              <w:rPr>
                <w:rFonts w:hint="eastAsia"/>
                <w:u w:val="single"/>
              </w:rPr>
              <w:t>年</w:t>
            </w:r>
            <w:r>
              <w:rPr>
                <w:rFonts w:hint="eastAsia"/>
                <w:u w:val="single"/>
                <w:lang w:val="en-US" w:eastAsia="zh-CN"/>
              </w:rPr>
              <w:t>10</w:t>
            </w:r>
            <w:r>
              <w:rPr>
                <w:rFonts w:hint="eastAsia"/>
                <w:u w:val="single"/>
              </w:rPr>
              <w:t>月</w:t>
            </w:r>
            <w:r>
              <w:rPr>
                <w:rFonts w:hint="eastAsia"/>
                <w:u w:val="single"/>
                <w:lang w:val="en-US" w:eastAsia="zh-CN"/>
              </w:rPr>
              <w:t>10</w:t>
            </w:r>
            <w:r>
              <w:rPr>
                <w:rFonts w:hint="eastAsia"/>
                <w:u w:val="single"/>
              </w:rPr>
              <w:t>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3F253D28"/>
    <w:rsid w:val="55AE68E9"/>
    <w:rsid w:val="55FB6C78"/>
    <w:rsid w:val="594616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19666</Words>
  <Characters>20607</Characters>
  <Lines>150</Lines>
  <Paragraphs>42</Paragraphs>
  <TotalTime>3</TotalTime>
  <ScaleCrop>false</ScaleCrop>
  <LinksUpToDate>false</LinksUpToDate>
  <CharactersWithSpaces>23895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2022-11-03T05:45:41Z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2052-11.1.0.12598</vt:lpwstr>
  </property>
</Properties>
</file>